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399"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8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Pursuant to Sections 13 or 15(d) of</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May 1, 2013</w:t>
      </w:r>
    </w:p>
    <w:p>
      <w:pPr>
        <w:spacing w:after="0" w:line="281"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68"/>
        </w:trPr>
        <w:tc>
          <w:tcPr>
            <w:tcW w:w="216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280 Park Avenue, 38</w:t>
            </w:r>
            <w:r>
              <w:rPr>
                <w:rFonts w:ascii="Arial" w:cs="Arial" w:eastAsia="Arial" w:hAnsi="Arial"/>
                <w:sz w:val="25"/>
                <w:szCs w:val="25"/>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86"/>
        </w:trPr>
        <w:tc>
          <w:tcPr>
            <w:tcW w:w="2160" w:type="dxa"/>
            <w:vAlign w:val="bottom"/>
          </w:tcPr>
          <w:p>
            <w:pPr>
              <w:spacing w:after="0"/>
              <w:rPr>
                <w:sz w:val="24"/>
                <w:szCs w:val="24"/>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680" w:type="dxa"/>
            <w:vAlign w:val="bottom"/>
          </w:tcPr>
          <w:p>
            <w:pPr>
              <w:spacing w:after="0"/>
              <w:rPr>
                <w:sz w:val="24"/>
                <w:szCs w:val="24"/>
                <w:color w:val="auto"/>
              </w:rPr>
            </w:pPr>
          </w:p>
        </w:tc>
      </w:tr>
      <w:tr>
        <w:trPr>
          <w:trHeight w:val="468"/>
        </w:trPr>
        <w:tc>
          <w:tcPr>
            <w:tcW w:w="216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0" w:lineRule="exact"/>
        <w:rPr>
          <w:sz w:val="24"/>
          <w:szCs w:val="24"/>
          <w:color w:val="auto"/>
        </w:rPr>
      </w:pPr>
    </w:p>
    <w:p>
      <w:pPr>
        <w:spacing w:after="0" w:line="32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4" w:right="79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On May 1, 2013, ExlService Holdings, Inc. (the “Company”) reported its results of operations for the three months ended March 31, 2013. A copy of the press release issued by the Company concerning the foregoing is furnished herewith as Exhibit 99.1 and is incorporated herein by reference.</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jc w:val="center"/>
        <w:ind w:right="942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40" w:right="3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00" w:val="left"/>
          <w:tab w:leader="none" w:pos="7100" w:val="left"/>
        </w:tabs>
        <w:rPr>
          <w:sz w:val="20"/>
          <w:szCs w:val="20"/>
          <w:color w:val="auto"/>
        </w:rPr>
      </w:pPr>
      <w:r>
        <w:rPr>
          <w:rFonts w:ascii="Arial" w:cs="Arial" w:eastAsia="Arial" w:hAnsi="Arial"/>
          <w:sz w:val="18"/>
          <w:szCs w:val="18"/>
          <w:color w:val="auto"/>
        </w:rPr>
        <w:t>Date: May 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Executive Vice President and Chief Financial</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Officer</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(Duly Authorized Signatory, Principal Financial</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40" w:right="81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May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2013 FIRST QUARTER RESULTS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Revenues of $116.0 Million, Up 11% Year over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Earnings Per Share (EPS) of $0.40, Up 11% Year over Year</w:t>
      </w:r>
    </w:p>
    <w:p>
      <w:pPr>
        <w:spacing w:after="0" w:line="2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New York, NY – May 1, 2013 – ExlService Holdings, Inc. (NASDAQ: EXLS), a leading provider of outsourcing and transformation services, today announced its financial results for the first quarter of 2013.</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Rohit Kapoor, Vice Chairman and CEO, commented: “In the first quarter, EXL posted sequential growth in our outsourcing business, due to contributions from our insurance and healthcare and utilities verticals. Our transformation business started the year slowly, similar to last year. While we have experienced some delays in discretionary project-based spending on the part of clients and prospects, the pipeline remains strong across our businesses. We are encouraged by our progress with both new and existing clients.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expect our transformation business to pick up through the year, due to demand for proprietary, industry-tailored analytical insights. We are investing in strategic growth initiatives such as decision analytics and healthcare business process management. And, as always, we remain focused on delivering significant business impact across our client base.”</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Vishal Chhibbar, CFO, commented: “In the first quarter, EXL generated revenues of $116.0 million, up 11% year-over-year, driven by 9% growth in outsourcing and 24% growth in transformation services. Excluding previously announced client transitions, constant currency revenues grew 18% year-over-year. This quarter we delivered adjusted diluted earnings per share of $0.40, up 11% year-over-year, driven by revenue growth.</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2013, we are maintaining our revenues guidance to $495 million to $505 million and our adjusted diluted EPS guidance of $1.77 to $1.85. While we are maintaining our guidance for 2013, we anticipate most of our growth will occur in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 First Quarter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279" w:lineRule="exact"/>
        <w:rPr>
          <w:sz w:val="20"/>
          <w:szCs w:val="20"/>
          <w:color w:val="auto"/>
        </w:rPr>
      </w:pPr>
    </w:p>
    <w:p>
      <w:pPr>
        <w:ind w:left="660" w:right="200" w:hanging="324"/>
        <w:spacing w:after="0" w:line="257" w:lineRule="auto"/>
        <w:rPr>
          <w:sz w:val="20"/>
          <w:szCs w:val="20"/>
          <w:color w:val="auto"/>
        </w:rPr>
      </w:pPr>
      <w:r>
        <w:rPr>
          <w:rFonts w:ascii="Arial" w:cs="Arial" w:eastAsia="Arial" w:hAnsi="Arial"/>
          <w:sz w:val="18"/>
          <w:szCs w:val="18"/>
          <w:color w:val="auto"/>
        </w:rPr>
        <w:t>— Revenues for the quarter ended March 31, 2013 were $116.0 million compared to $104.6 million for the quarter ended March 31, 2012 and $117.7 million for the quarter ended December 31, 2012. Outsourcing services revenues for the quarter ended March 31, 2013 were $97.6 million compared to $89.7 million for the quarter ended March 31, 2012 and $96.1 million for the quarter ended December 31, 2012. Transformation services revenues for the quarter ended March 31, 2013 were $18.4 million compared to $14.9 million for the quarter ended March 31, 2012 and $21.5 million for the quarter ended December 31, 2012.</w:t>
      </w:r>
    </w:p>
    <w:p>
      <w:pPr>
        <w:spacing w:after="0" w:line="242" w:lineRule="exact"/>
        <w:rPr>
          <w:sz w:val="20"/>
          <w:szCs w:val="20"/>
          <w:color w:val="auto"/>
        </w:rPr>
      </w:pPr>
    </w:p>
    <w:p>
      <w:pPr>
        <w:ind w:left="660" w:right="140" w:hanging="324"/>
        <w:spacing w:after="0" w:line="302" w:lineRule="auto"/>
        <w:rPr>
          <w:sz w:val="20"/>
          <w:szCs w:val="20"/>
          <w:color w:val="auto"/>
        </w:rPr>
      </w:pPr>
      <w:r>
        <w:rPr>
          <w:rFonts w:ascii="Arial" w:cs="Arial" w:eastAsia="Arial" w:hAnsi="Arial"/>
          <w:sz w:val="16"/>
          <w:szCs w:val="16"/>
          <w:color w:val="auto"/>
        </w:rPr>
        <w:t>— Gross margin for the quarter ended March 31, 2013 was 37.1% compared to 36.3% for the quarter ended March 31, 2012 and 40.1% for the quarter ended December 31, 2012. Outsourcing services gross margin for the quarter ended March 31, 2013 was 39.0% compared to 37.1% for the quarter ended March 31, 2012 and 41.5% for the quarter ended December 31, 2012. Transformation services gross margin for the quarter ended March 31, 2013 was 27.1% compared to 31.5% for the quarter ended March 31, 2012 and 33.6% for the quarter ended December 31, 2012.</w:t>
      </w:r>
    </w:p>
    <w:p>
      <w:pPr>
        <w:spacing w:after="0" w:line="208" w:lineRule="exact"/>
        <w:rPr>
          <w:sz w:val="20"/>
          <w:szCs w:val="20"/>
          <w:color w:val="auto"/>
        </w:rPr>
      </w:pPr>
    </w:p>
    <w:p>
      <w:pPr>
        <w:ind w:left="660" w:right="180" w:hanging="324"/>
        <w:spacing w:after="0" w:line="264" w:lineRule="auto"/>
        <w:rPr>
          <w:sz w:val="20"/>
          <w:szCs w:val="20"/>
          <w:color w:val="auto"/>
        </w:rPr>
      </w:pPr>
      <w:r>
        <w:rPr>
          <w:rFonts w:ascii="Arial" w:cs="Arial" w:eastAsia="Arial" w:hAnsi="Arial"/>
          <w:sz w:val="18"/>
          <w:szCs w:val="18"/>
          <w:color w:val="auto"/>
        </w:rPr>
        <w:t>— Operating margin for the quarter ended March 31, 2013 was 10.2% compared to 10.0% for the quarter ended March 31, 2012 and 13.2% for the quarter ended December 31, 2012. Adjusted operating margin for the quarter ended March 31, 2013 was 14.7% compared to 13.9% for the quarter ended March 31, 2012 and 16.3% for the quarter ended December 31, 2012.</w:t>
      </w:r>
    </w:p>
    <w:p>
      <w:pPr>
        <w:spacing w:after="0" w:line="235" w:lineRule="exact"/>
        <w:rPr>
          <w:sz w:val="20"/>
          <w:szCs w:val="20"/>
          <w:color w:val="auto"/>
        </w:rPr>
      </w:pPr>
    </w:p>
    <w:p>
      <w:pPr>
        <w:ind w:left="660" w:right="20" w:hanging="324"/>
        <w:spacing w:after="0" w:line="264" w:lineRule="auto"/>
        <w:rPr>
          <w:sz w:val="20"/>
          <w:szCs w:val="20"/>
          <w:color w:val="auto"/>
        </w:rPr>
      </w:pPr>
      <w:r>
        <w:rPr>
          <w:rFonts w:ascii="Arial" w:cs="Arial" w:eastAsia="Arial" w:hAnsi="Arial"/>
          <w:sz w:val="18"/>
          <w:szCs w:val="18"/>
          <w:color w:val="auto"/>
        </w:rPr>
        <w:t>— Net income for the quarter ended March 31, 2013 was $9.8 million compared to $8.9 million for the quarter ended March 31, 2012 and $12.2 million for the quarter ended December 31, 2012. Adjusted EBITDA for the quarter ended March 31, 2013 was $21.9 million compared to $19.5 million for the quarter ended March 31, 2012 and $24.5 million for the quarter ended December 31, 2012.</w:t>
      </w:r>
    </w:p>
    <w:p>
      <w:pPr>
        <w:spacing w:after="0" w:line="235" w:lineRule="exact"/>
        <w:rPr>
          <w:sz w:val="20"/>
          <w:szCs w:val="20"/>
          <w:color w:val="auto"/>
        </w:rPr>
      </w:pPr>
    </w:p>
    <w:p>
      <w:pPr>
        <w:ind w:left="660" w:right="140" w:hanging="324"/>
        <w:spacing w:after="0" w:line="264" w:lineRule="auto"/>
        <w:rPr>
          <w:sz w:val="20"/>
          <w:szCs w:val="20"/>
          <w:color w:val="auto"/>
        </w:rPr>
      </w:pPr>
      <w:r>
        <w:rPr>
          <w:rFonts w:ascii="Arial" w:cs="Arial" w:eastAsia="Arial" w:hAnsi="Arial"/>
          <w:sz w:val="18"/>
          <w:szCs w:val="18"/>
          <w:color w:val="auto"/>
        </w:rPr>
        <w:t>— Diluted earnings per share for the quarter ended March 31, 2013 were $0.29 compared to $0.27 for the quarter ended March 31, 2012 and $0.36 for the quarter ended December 31, 2012. Adjusted diluted earnings per share for the quarter ended March 31, 2013 were $0.40 compared to $0.36 for the quarter ended March 31, 2012 and $0.44 for the quarter ended December 31,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Won seven new clients during the quarter, including three transformation clients and four outsourcing clients.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Expanded multiple outsourcing services relationships, including migrating 33 new processes in the first quarter of 2013.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Named a “High Performer” by research firm Horses for Sources (HfS) in “HfS Blueprint Axis: Finance and Accounting BPO, 2013.”</w:t>
      </w:r>
    </w:p>
    <w:p>
      <w:pPr>
        <w:spacing w:after="0" w:line="279" w:lineRule="exact"/>
        <w:rPr>
          <w:sz w:val="20"/>
          <w:szCs w:val="20"/>
          <w:color w:val="auto"/>
        </w:rPr>
      </w:pPr>
    </w:p>
    <w:p>
      <w:pPr>
        <w:ind w:left="660" w:right="120" w:hanging="324"/>
        <w:spacing w:after="0" w:line="308" w:lineRule="auto"/>
        <w:rPr>
          <w:sz w:val="20"/>
          <w:szCs w:val="20"/>
          <w:color w:val="auto"/>
        </w:rPr>
      </w:pPr>
      <w:r>
        <w:rPr>
          <w:rFonts w:ascii="Arial" w:cs="Arial" w:eastAsia="Arial" w:hAnsi="Arial"/>
          <w:sz w:val="17"/>
          <w:szCs w:val="17"/>
          <w:color w:val="auto"/>
        </w:rPr>
        <w:t>— Completed successful university recruiting season in India, including hiring approximately 160 graduates to EXL’s decision analytics business from top universities such as the Indian Institutes of Management, Indian Institutes of Technology and National Institutes of Technology.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Commenced decision analytics operations in Bangalore, India, across several client relationships.</w:t>
      </w:r>
    </w:p>
    <w:p>
      <w:pPr>
        <w:spacing w:after="0" w:line="279" w:lineRule="exact"/>
        <w:rPr>
          <w:sz w:val="20"/>
          <w:szCs w:val="20"/>
          <w:color w:val="auto"/>
        </w:rPr>
      </w:pPr>
    </w:p>
    <w:p>
      <w:pPr>
        <w:ind w:left="660" w:right="960" w:hanging="324"/>
        <w:spacing w:after="0" w:line="277" w:lineRule="auto"/>
        <w:rPr>
          <w:sz w:val="20"/>
          <w:szCs w:val="20"/>
          <w:color w:val="auto"/>
        </w:rPr>
      </w:pPr>
      <w:r>
        <w:rPr>
          <w:rFonts w:ascii="Arial" w:cs="Arial" w:eastAsia="Arial" w:hAnsi="Arial"/>
          <w:sz w:val="18"/>
          <w:szCs w:val="18"/>
          <w:color w:val="auto"/>
        </w:rPr>
        <w:t>— Commenced services from an operations center in Cebu, Philippines, specializing in insurance, healthcare and banking business process management.</w:t>
      </w:r>
    </w:p>
    <w:p>
      <w:pPr>
        <w:spacing w:after="0" w:line="224" w:lineRule="exact"/>
        <w:rPr>
          <w:sz w:val="20"/>
          <w:szCs w:val="20"/>
          <w:color w:val="auto"/>
        </w:rPr>
      </w:pPr>
    </w:p>
    <w:p>
      <w:pPr>
        <w:ind w:left="660" w:hanging="324"/>
        <w:spacing w:after="0" w:line="342" w:lineRule="auto"/>
        <w:rPr>
          <w:sz w:val="20"/>
          <w:szCs w:val="20"/>
          <w:color w:val="auto"/>
        </w:rPr>
      </w:pPr>
      <w:r>
        <w:rPr>
          <w:rFonts w:ascii="Arial" w:cs="Arial" w:eastAsia="Arial" w:hAnsi="Arial"/>
          <w:sz w:val="16"/>
          <w:szCs w:val="16"/>
          <w:color w:val="auto"/>
        </w:rPr>
        <w:t>— Announced Rev-Lift, an integrated analytics and business process services solution using proprietary algorithms to identify and recover unbilled revenues for trucking and ocean carriers. EXL successfully implemented Rev-Lift with a leading North American Less-than-Truckload (LTL) carrier.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Grew headcount as of March 31, 2013 to 21,356, compared to 19,164 as of March 31, 2012 and 21,049 as of December 31, 2012.</w:t>
      </w:r>
    </w:p>
    <w:p>
      <w:pPr>
        <w:spacing w:after="0" w:line="279" w:lineRule="exact"/>
        <w:rPr>
          <w:sz w:val="20"/>
          <w:szCs w:val="20"/>
          <w:color w:val="auto"/>
        </w:rPr>
      </w:pPr>
    </w:p>
    <w:p>
      <w:pPr>
        <w:ind w:left="660" w:right="100" w:hanging="324"/>
        <w:spacing w:after="0" w:line="277" w:lineRule="auto"/>
        <w:rPr>
          <w:sz w:val="20"/>
          <w:szCs w:val="20"/>
          <w:color w:val="auto"/>
        </w:rPr>
      </w:pPr>
      <w:r>
        <w:rPr>
          <w:rFonts w:ascii="Arial" w:cs="Arial" w:eastAsia="Arial" w:hAnsi="Arial"/>
          <w:sz w:val="18"/>
          <w:szCs w:val="18"/>
          <w:color w:val="auto"/>
        </w:rPr>
        <w:t>— Employee attrition for the quarter ended March 31, 2013 declined to 23.6%, compared with 29.7% for the quarter ended March 31, 2012 and 30.4% for the quarter ended December 31,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guidance for calendar year 2013, based on current visibility and an Indian rupee rate to the U.S. dollar of 54:</w:t>
      </w:r>
    </w:p>
    <w:p>
      <w:pPr>
        <w:spacing w:after="0" w:line="27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Revenues of $495 million to $505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ind w:left="660" w:right="520" w:hanging="324"/>
        <w:spacing w:after="0" w:line="277" w:lineRule="auto"/>
        <w:rPr>
          <w:sz w:val="20"/>
          <w:szCs w:val="20"/>
          <w:color w:val="auto"/>
        </w:rPr>
      </w:pPr>
      <w:r>
        <w:rPr>
          <w:rFonts w:ascii="Arial" w:cs="Arial" w:eastAsia="Arial" w:hAnsi="Arial"/>
          <w:sz w:val="18"/>
          <w:szCs w:val="18"/>
          <w:color w:val="auto"/>
        </w:rPr>
        <w:t>— Adjusted diluted earnings per share, excluding the impact of stock-based compensation expense, amortization of intangibles and associated tax impacts, of $1.77 to $1.85.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EXL will host a conference call on Thursday, May 2, 2013 at 10:00 a.m. (ET) to discuss the Company’s quarterly operating and financial results. The conference call will be available live via the internet by accessing an investor relations section of EXL’s website at ir.exlservice.com,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8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0000FF"/>
        </w:rPr>
        <w:t>www.exlservice.com</w:t>
      </w:r>
      <w:r>
        <w:rPr>
          <w:rFonts w:ascii="Arial" w:cs="Arial" w:eastAsia="Arial" w:hAnsi="Arial"/>
          <w:sz w:val="16"/>
          <w:szCs w:val="16"/>
          <w:color w:val="auto"/>
        </w:rPr>
        <w:t>.</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2012.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rPr>
              <w:t>EXLSERVICE HOLDINGS, INC.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rPr>
              <w:t>CONSOLIDATED STATEMENTS OF INCOME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6F4F9"/>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116,006</w:t>
            </w:r>
          </w:p>
        </w:tc>
        <w:tc>
          <w:tcPr>
            <w:tcW w:w="32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104,608</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66,672</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43,093</w:t>
            </w:r>
          </w:p>
        </w:tc>
        <w:tc>
          <w:tcPr>
            <w:tcW w:w="12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37,936</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15,045</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13,347</w:t>
            </w: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Selling and marketing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7,799</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6F4F9"/>
            </w:tcBorders>
            <w:shd w:val="clear" w:color="auto" w:fill="C6F4F9"/>
          </w:tcPr>
          <w:p>
            <w:pPr>
              <w:ind w:left="6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6,512</w:t>
            </w:r>
          </w:p>
        </w:tc>
        <w:tc>
          <w:tcPr>
            <w:tcW w:w="12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6,359</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27,505</w:t>
            </w: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11,781</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10,431</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income/(expense) :</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Foreign exchange (loss)/gain</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1,058</w:t>
            </w: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Interest and other income, net</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12,759</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11,936</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3,020</w:t>
            </w:r>
          </w:p>
        </w:tc>
      </w:tr>
      <w:tr>
        <w:trPr>
          <w:trHeight w:val="257"/>
        </w:trPr>
        <w:tc>
          <w:tcPr>
            <w:tcW w:w="20" w:type="dxa"/>
            <w:vAlign w:val="bottom"/>
          </w:tcPr>
          <w:p>
            <w:pPr>
              <w:spacing w:after="0"/>
              <w:rPr>
                <w:sz w:val="22"/>
                <w:szCs w:val="22"/>
                <w:color w:val="auto"/>
              </w:rPr>
            </w:pPr>
          </w:p>
        </w:tc>
        <w:tc>
          <w:tcPr>
            <w:tcW w:w="8240" w:type="dxa"/>
            <w:vAlign w:val="bottom"/>
            <w:shd w:val="clear" w:color="auto" w:fill="C6F4F9"/>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6F4F9"/>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9,762</w:t>
            </w:r>
          </w:p>
        </w:tc>
        <w:tc>
          <w:tcPr>
            <w:tcW w:w="32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8,916</w:t>
            </w:r>
          </w:p>
        </w:tc>
      </w:tr>
      <w:tr>
        <w:trPr>
          <w:trHeight w:val="210"/>
        </w:trPr>
        <w:tc>
          <w:tcPr>
            <w:tcW w:w="20" w:type="dxa"/>
            <w:vAlign w:val="bottom"/>
          </w:tcPr>
          <w:p>
            <w:pPr>
              <w:spacing w:after="0"/>
              <w:rPr>
                <w:sz w:val="18"/>
                <w:szCs w:val="18"/>
                <w:color w:val="auto"/>
              </w:rPr>
            </w:pPr>
          </w:p>
        </w:tc>
        <w:tc>
          <w:tcPr>
            <w:tcW w:w="8240" w:type="dxa"/>
            <w:vAlign w:val="bottom"/>
            <w:tcBorders>
              <w:top w:val="single" w:sz="8" w:color="C6F4F9"/>
            </w:tcBorders>
          </w:tcPr>
          <w:p>
            <w:pPr>
              <w:spacing w:after="0"/>
              <w:rPr>
                <w:sz w:val="20"/>
                <w:szCs w:val="20"/>
                <w:color w:val="auto"/>
              </w:rPr>
            </w:pPr>
            <w:r>
              <w:rPr>
                <w:rFonts w:ascii="Arial" w:cs="Arial" w:eastAsia="Arial" w:hAnsi="Arial"/>
                <w:sz w:val="18"/>
                <w:szCs w:val="18"/>
                <w:color w:val="auto"/>
              </w:rPr>
              <w:t>Earnings per share:</w:t>
            </w:r>
          </w:p>
        </w:tc>
        <w:tc>
          <w:tcPr>
            <w:tcW w:w="560" w:type="dxa"/>
            <w:vAlign w:val="bottom"/>
            <w:tcBorders>
              <w:top w:val="single" w:sz="8" w:color="C6F4F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6F4F9"/>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0.30</w:t>
            </w:r>
          </w:p>
        </w:tc>
        <w:tc>
          <w:tcPr>
            <w:tcW w:w="32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0.28</w:t>
            </w: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Diluted</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32,521,481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31,445,592</w:t>
            </w:r>
          </w:p>
        </w:tc>
      </w:tr>
      <w:tr>
        <w:trPr>
          <w:trHeight w:val="216"/>
        </w:trPr>
        <w:tc>
          <w:tcPr>
            <w:tcW w:w="20" w:type="dxa"/>
            <w:vAlign w:val="bottom"/>
          </w:tcPr>
          <w:p>
            <w:pPr>
              <w:spacing w:after="0"/>
              <w:rPr>
                <w:sz w:val="18"/>
                <w:szCs w:val="18"/>
                <w:color w:val="auto"/>
              </w:rPr>
            </w:pPr>
          </w:p>
        </w:tc>
        <w:tc>
          <w:tcPr>
            <w:tcW w:w="82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33,719,794</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32,783,855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rPr>
              <w:t>EXLSERVICE HOLDINGS, INC.</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4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6F4F9"/>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102,307</w:t>
            </w:r>
          </w:p>
        </w:tc>
        <w:tc>
          <w:tcPr>
            <w:tcW w:w="360" w:type="dxa"/>
            <w:vAlign w:val="bottom"/>
            <w:gridSpan w:val="2"/>
            <w:shd w:val="clear" w:color="auto" w:fill="C6F4F9"/>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103,037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76,612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Advance income tax, net</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210,677</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207,390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39,118</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110,055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20,930</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437,852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435,854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6F4F9"/>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3,322</w:t>
            </w:r>
          </w:p>
        </w:tc>
        <w:tc>
          <w:tcPr>
            <w:tcW w:w="360" w:type="dxa"/>
            <w:vAlign w:val="bottom"/>
            <w:gridSpan w:val="2"/>
            <w:shd w:val="clear" w:color="auto" w:fill="C6F4F9"/>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Accrued employee cost</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17,596</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ind w:left="64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58,139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color w:val="auto"/>
              </w:rPr>
              <w:t>Capital lease obligations, less current portion</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13,764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74,302</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91,337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6F4F9"/>
          </w:tcPr>
          <w:p>
            <w:pPr>
              <w:ind w:left="640"/>
              <w:spacing w:after="0" w:line="201" w:lineRule="exact"/>
              <w:rPr>
                <w:sz w:val="20"/>
                <w:szCs w:val="20"/>
                <w:color w:val="auto"/>
              </w:rPr>
            </w:pPr>
            <w:r>
              <w:rPr>
                <w:rFonts w:ascii="Arial" w:cs="Arial" w:eastAsia="Arial" w:hAnsi="Arial"/>
                <w:sz w:val="18"/>
                <w:szCs w:val="18"/>
                <w:color w:val="auto"/>
              </w:rPr>
              <w:t>Common stock, $0.001 par value; 100,000,000 shares authorized, 32,971,996 shares issued and</w:t>
            </w:r>
          </w:p>
        </w:tc>
        <w:tc>
          <w:tcPr>
            <w:tcW w:w="36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114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00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780"/>
              <w:spacing w:after="0"/>
              <w:rPr>
                <w:sz w:val="20"/>
                <w:szCs w:val="20"/>
                <w:color w:val="auto"/>
              </w:rPr>
            </w:pPr>
            <w:r>
              <w:rPr>
                <w:rFonts w:ascii="Arial" w:cs="Arial" w:eastAsia="Arial" w:hAnsi="Arial"/>
                <w:sz w:val="18"/>
                <w:szCs w:val="18"/>
                <w:color w:val="auto"/>
              </w:rPr>
              <w:t>32,622,716 shares outstanding as of March 31, 2013 and 32,540,082 shares issued and</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6F4F9"/>
          </w:tcPr>
          <w:p>
            <w:pPr>
              <w:ind w:left="780"/>
              <w:spacing w:after="0"/>
              <w:rPr>
                <w:sz w:val="20"/>
                <w:szCs w:val="20"/>
                <w:color w:val="auto"/>
              </w:rPr>
            </w:pPr>
            <w:r>
              <w:rPr>
                <w:rFonts w:ascii="Arial" w:cs="Arial" w:eastAsia="Arial" w:hAnsi="Arial"/>
                <w:sz w:val="18"/>
                <w:szCs w:val="18"/>
                <w:color w:val="auto"/>
              </w:rPr>
              <w:t>32,203,820 shares outstanding as of December 31, 2012</w:t>
            </w:r>
          </w:p>
        </w:tc>
        <w:tc>
          <w:tcPr>
            <w:tcW w:w="360" w:type="dxa"/>
            <w:vAlign w:val="bottom"/>
            <w:shd w:val="clear" w:color="auto" w:fill="C6F4F9"/>
          </w:tcPr>
          <w:p>
            <w:pPr>
              <w:spacing w:after="0"/>
              <w:rPr>
                <w:sz w:val="20"/>
                <w:szCs w:val="20"/>
                <w:color w:val="auto"/>
              </w:rPr>
            </w:pPr>
          </w:p>
        </w:tc>
        <w:tc>
          <w:tcPr>
            <w:tcW w:w="100" w:type="dxa"/>
            <w:vAlign w:val="bottom"/>
            <w:shd w:val="clear" w:color="auto" w:fill="C6F4F9"/>
          </w:tcPr>
          <w:p>
            <w:pPr>
              <w:spacing w:after="0"/>
              <w:rPr>
                <w:sz w:val="20"/>
                <w:szCs w:val="20"/>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6F4F9"/>
          </w:tcPr>
          <w:p>
            <w:pPr>
              <w:spacing w:after="0"/>
              <w:rPr>
                <w:sz w:val="20"/>
                <w:szCs w:val="20"/>
                <w:color w:val="auto"/>
              </w:rPr>
            </w:pPr>
          </w:p>
        </w:tc>
        <w:tc>
          <w:tcPr>
            <w:tcW w:w="240" w:type="dxa"/>
            <w:vAlign w:val="bottom"/>
            <w:shd w:val="clear" w:color="auto" w:fill="C6F4F9"/>
          </w:tcPr>
          <w:p>
            <w:pPr>
              <w:spacing w:after="0"/>
              <w:rPr>
                <w:sz w:val="20"/>
                <w:szCs w:val="20"/>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ind w:left="6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198,644</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188,882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366,937</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347,516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Less: 349,280 shares as of March 31, 2013 and 336,262 shares as of December 31, 2012, held in treasury, at cost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6F4F9"/>
          </w:tcPr>
          <w:p>
            <w:pPr>
              <w:spacing w:after="0"/>
              <w:rPr>
                <w:sz w:val="20"/>
                <w:szCs w:val="20"/>
                <w:color w:val="auto"/>
              </w:rPr>
            </w:pPr>
            <w:r>
              <w:rPr>
                <w:rFonts w:ascii="Arial" w:cs="Arial" w:eastAsia="Arial" w:hAnsi="Arial"/>
                <w:sz w:val="18"/>
                <w:szCs w:val="18"/>
                <w:color w:val="auto"/>
              </w:rPr>
              <w:t>ExlService Holdings, Inc. stockholders' equity</w:t>
            </w:r>
          </w:p>
        </w:tc>
        <w:tc>
          <w:tcPr>
            <w:tcW w:w="3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363,524</w:t>
            </w:r>
          </w:p>
        </w:tc>
        <w:tc>
          <w:tcPr>
            <w:tcW w:w="1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10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344,492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6F4F9"/>
            </w:tcBorders>
            <w:shd w:val="clear" w:color="auto" w:fill="C6F4F9"/>
          </w:tcPr>
          <w:p>
            <w:pPr>
              <w:spacing w:after="0"/>
              <w:rPr>
                <w:sz w:val="19"/>
                <w:szCs w:val="19"/>
                <w:color w:val="auto"/>
              </w:rPr>
            </w:pPr>
          </w:p>
        </w:tc>
        <w:tc>
          <w:tcPr>
            <w:tcW w:w="100" w:type="dxa"/>
            <w:vAlign w:val="bottom"/>
            <w:tcBorders>
              <w:bottom w:val="single" w:sz="8" w:color="auto"/>
            </w:tcBorders>
            <w:shd w:val="clear" w:color="auto" w:fill="C6F4F9"/>
          </w:tcPr>
          <w:p>
            <w:pPr>
              <w:spacing w:after="0"/>
              <w:rPr>
                <w:sz w:val="19"/>
                <w:szCs w:val="19"/>
                <w:color w:val="auto"/>
              </w:rPr>
            </w:pPr>
          </w:p>
        </w:tc>
        <w:tc>
          <w:tcPr>
            <w:tcW w:w="114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363,550</w:t>
            </w:r>
          </w:p>
        </w:tc>
        <w:tc>
          <w:tcPr>
            <w:tcW w:w="120" w:type="dxa"/>
            <w:vAlign w:val="bottom"/>
            <w:tcBorders>
              <w:bottom w:val="single" w:sz="8" w:color="C6F4F9"/>
            </w:tcBorders>
            <w:shd w:val="clear" w:color="auto" w:fill="C6F4F9"/>
          </w:tcPr>
          <w:p>
            <w:pPr>
              <w:spacing w:after="0"/>
              <w:rPr>
                <w:sz w:val="19"/>
                <w:szCs w:val="19"/>
                <w:color w:val="auto"/>
              </w:rPr>
            </w:pPr>
          </w:p>
        </w:tc>
        <w:tc>
          <w:tcPr>
            <w:tcW w:w="240" w:type="dxa"/>
            <w:vAlign w:val="bottom"/>
            <w:tcBorders>
              <w:bottom w:val="single" w:sz="8" w:color="auto"/>
            </w:tcBorders>
            <w:shd w:val="clear" w:color="auto" w:fill="C6F4F9"/>
          </w:tcPr>
          <w:p>
            <w:pPr>
              <w:spacing w:after="0"/>
              <w:rPr>
                <w:sz w:val="19"/>
                <w:szCs w:val="19"/>
                <w:color w:val="auto"/>
              </w:rPr>
            </w:pPr>
          </w:p>
        </w:tc>
        <w:tc>
          <w:tcPr>
            <w:tcW w:w="100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344,517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437,852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435,854</w:t>
            </w:r>
          </w:p>
        </w:tc>
        <w:tc>
          <w:tcPr>
            <w:tcW w:w="0" w:type="dxa"/>
            <w:vAlign w:val="bottom"/>
          </w:tcPr>
          <w:p>
            <w:pPr>
              <w:spacing w:after="0"/>
              <w:rPr>
                <w:sz w:val="1"/>
                <w:szCs w:val="1"/>
                <w:color w:val="auto"/>
              </w:rPr>
            </w:pPr>
          </w:p>
        </w:tc>
      </w:tr>
      <w:tr>
        <w:trPr>
          <w:trHeight w:val="21"/>
        </w:trPr>
        <w:tc>
          <w:tcPr>
            <w:tcW w:w="8460" w:type="dxa"/>
            <w:vAlign w:val="bottom"/>
            <w:gridSpan w:val="2"/>
            <w:vMerge w:val="restart"/>
          </w:tcPr>
          <w:p>
            <w:pPr>
              <w:jc w:val="center"/>
              <w:ind w:left="2870"/>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4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the Company’s ability to generate cash flow.</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months ended March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and for the three months ended December 31, 2012:</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2012</w:t>
            </w:r>
          </w:p>
        </w:tc>
      </w:tr>
      <w:tr>
        <w:trPr>
          <w:trHeight w:val="216"/>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b w:val="1"/>
                <w:bCs w:val="1"/>
                <w:color w:val="auto"/>
              </w:rPr>
              <w:t>Net income (GAAP)</w:t>
            </w:r>
          </w:p>
        </w:tc>
        <w:tc>
          <w:tcPr>
            <w:tcW w:w="240" w:type="dxa"/>
            <w:vAlign w:val="bottom"/>
            <w:shd w:val="clear" w:color="auto" w:fill="C6F4F9"/>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b w:val="1"/>
                <w:bCs w:val="1"/>
                <w:color w:val="auto"/>
              </w:rPr>
              <w:t>9,762</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8,916</w:t>
            </w:r>
          </w:p>
        </w:tc>
        <w:tc>
          <w:tcPr>
            <w:tcW w:w="340" w:type="dxa"/>
            <w:vAlign w:val="bottom"/>
            <w:gridSpan w:val="2"/>
            <w:shd w:val="clear" w:color="auto" w:fill="C6F4F9"/>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12,163</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color w:val="auto"/>
              </w:rPr>
              <w:t>add: Income tax provision and other income/(expense)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3,375</w:t>
            </w:r>
          </w:p>
        </w:tc>
      </w:tr>
      <w:tr>
        <w:trPr>
          <w:trHeight w:val="216"/>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b w:val="1"/>
                <w:bCs w:val="1"/>
                <w:color w:val="auto"/>
              </w:rPr>
              <w:t>Income from operations (GAAP)</w:t>
            </w:r>
          </w:p>
        </w:tc>
        <w:tc>
          <w:tcPr>
            <w:tcW w:w="240" w:type="dxa"/>
            <w:vAlign w:val="bottom"/>
            <w:shd w:val="clear" w:color="auto" w:fill="C6F4F9"/>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b w:val="1"/>
                <w:bCs w:val="1"/>
                <w:color w:val="auto"/>
              </w:rPr>
              <w:t>11,781</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10,431</w:t>
            </w:r>
          </w:p>
        </w:tc>
        <w:tc>
          <w:tcPr>
            <w:tcW w:w="340" w:type="dxa"/>
            <w:vAlign w:val="bottom"/>
            <w:gridSpan w:val="2"/>
            <w:shd w:val="clear" w:color="auto" w:fill="C6F4F9"/>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15,538</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add: Stock-based compensation expense (a)</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2,087</w:t>
            </w:r>
          </w:p>
        </w:tc>
      </w:tr>
      <w:tr>
        <w:trPr>
          <w:trHeight w:val="223"/>
        </w:trPr>
        <w:tc>
          <w:tcPr>
            <w:tcW w:w="7440" w:type="dxa"/>
            <w:vAlign w:val="bottom"/>
            <w:tcBorders>
              <w:bottom w:val="single" w:sz="8" w:color="C6F4F9"/>
            </w:tcBorders>
            <w:shd w:val="clear" w:color="auto" w:fill="C6F4F9"/>
          </w:tcPr>
          <w:p>
            <w:pPr>
              <w:ind w:left="340"/>
              <w:spacing w:after="0"/>
              <w:rPr>
                <w:sz w:val="20"/>
                <w:szCs w:val="20"/>
                <w:color w:val="auto"/>
              </w:rPr>
            </w:pPr>
            <w:r>
              <w:rPr>
                <w:rFonts w:ascii="Arial" w:cs="Arial" w:eastAsia="Arial" w:hAnsi="Arial"/>
                <w:sz w:val="18"/>
                <w:szCs w:val="18"/>
                <w:color w:val="auto"/>
              </w:rPr>
              <w:t>add: Amortization of acquisition-related intangibles (b)</w:t>
            </w:r>
          </w:p>
        </w:tc>
        <w:tc>
          <w:tcPr>
            <w:tcW w:w="24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6F4F9"/>
            </w:tcBorders>
            <w:shd w:val="clear" w:color="auto" w:fill="C6F4F9"/>
          </w:tcPr>
          <w:p>
            <w:pPr>
              <w:spacing w:after="0"/>
              <w:rPr>
                <w:sz w:val="19"/>
                <w:szCs w:val="19"/>
                <w:color w:val="auto"/>
              </w:rPr>
            </w:pPr>
          </w:p>
        </w:tc>
        <w:tc>
          <w:tcPr>
            <w:tcW w:w="380" w:type="dxa"/>
            <w:vAlign w:val="bottom"/>
            <w:tcBorders>
              <w:bottom w:val="single" w:sz="8" w:color="auto"/>
            </w:tcBorders>
            <w:shd w:val="clear" w:color="auto" w:fill="C6F4F9"/>
          </w:tcPr>
          <w:p>
            <w:pPr>
              <w:spacing w:after="0"/>
              <w:rPr>
                <w:sz w:val="19"/>
                <w:szCs w:val="19"/>
                <w:color w:val="auto"/>
              </w:rPr>
            </w:pPr>
          </w:p>
        </w:tc>
        <w:tc>
          <w:tcPr>
            <w:tcW w:w="86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6F4F9"/>
            </w:tcBorders>
            <w:shd w:val="clear" w:color="auto" w:fill="C6F4F9"/>
          </w:tcPr>
          <w:p>
            <w:pPr>
              <w:spacing w:after="0"/>
              <w:rPr>
                <w:sz w:val="19"/>
                <w:szCs w:val="19"/>
                <w:color w:val="auto"/>
              </w:rPr>
            </w:pPr>
          </w:p>
        </w:tc>
        <w:tc>
          <w:tcPr>
            <w:tcW w:w="220" w:type="dxa"/>
            <w:vAlign w:val="bottom"/>
            <w:tcBorders>
              <w:bottom w:val="single" w:sz="8" w:color="auto"/>
            </w:tcBorders>
            <w:shd w:val="clear" w:color="auto" w:fill="C6F4F9"/>
          </w:tcPr>
          <w:p>
            <w:pPr>
              <w:spacing w:after="0"/>
              <w:rPr>
                <w:sz w:val="19"/>
                <w:szCs w:val="19"/>
                <w:color w:val="auto"/>
              </w:rPr>
            </w:pPr>
          </w:p>
        </w:tc>
        <w:tc>
          <w:tcPr>
            <w:tcW w:w="10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1,555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income (Non-GAAP)</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17,060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14,568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19,180</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i w:val="1"/>
                <w:iCs w:val="1"/>
                <w:color w:val="auto"/>
              </w:rPr>
              <w:t>Adjusted operating income margin %</w:t>
            </w:r>
          </w:p>
        </w:tc>
        <w:tc>
          <w:tcPr>
            <w:tcW w:w="24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i w:val="1"/>
                <w:iCs w:val="1"/>
                <w:color w:val="auto"/>
              </w:rPr>
              <w:t>14.7%</w:t>
            </w:r>
          </w:p>
        </w:tc>
        <w:tc>
          <w:tcPr>
            <w:tcW w:w="100" w:type="dxa"/>
            <w:vAlign w:val="bottom"/>
            <w:shd w:val="clear" w:color="auto" w:fill="C6F4F9"/>
          </w:tcPr>
          <w:p>
            <w:pPr>
              <w:spacing w:after="0"/>
              <w:rPr>
                <w:sz w:val="18"/>
                <w:szCs w:val="18"/>
                <w:color w:val="auto"/>
              </w:rPr>
            </w:pPr>
          </w:p>
        </w:tc>
        <w:tc>
          <w:tcPr>
            <w:tcW w:w="380" w:type="dxa"/>
            <w:vAlign w:val="bottom"/>
            <w:shd w:val="clear" w:color="auto" w:fill="C6F4F9"/>
          </w:tcPr>
          <w:p>
            <w:pPr>
              <w:spacing w:after="0"/>
              <w:rPr>
                <w:sz w:val="18"/>
                <w:szCs w:val="18"/>
                <w:color w:val="auto"/>
              </w:rPr>
            </w:pPr>
          </w:p>
        </w:tc>
        <w:tc>
          <w:tcPr>
            <w:tcW w:w="860" w:type="dxa"/>
            <w:vAlign w:val="bottom"/>
            <w:shd w:val="clear" w:color="auto" w:fill="C6F4F9"/>
          </w:tcPr>
          <w:p>
            <w:pPr>
              <w:jc w:val="right"/>
              <w:ind w:right="10"/>
              <w:spacing w:after="0"/>
              <w:rPr>
                <w:sz w:val="20"/>
                <w:szCs w:val="20"/>
                <w:color w:val="auto"/>
              </w:rPr>
            </w:pPr>
            <w:r>
              <w:rPr>
                <w:rFonts w:ascii="Arial" w:cs="Arial" w:eastAsia="Arial" w:hAnsi="Arial"/>
                <w:sz w:val="18"/>
                <w:szCs w:val="18"/>
                <w:i w:val="1"/>
                <w:iCs w:val="1"/>
                <w:color w:val="auto"/>
              </w:rPr>
              <w:t>13.9%</w:t>
            </w:r>
          </w:p>
        </w:tc>
        <w:tc>
          <w:tcPr>
            <w:tcW w:w="12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20" w:type="dxa"/>
            <w:vAlign w:val="bottom"/>
            <w:shd w:val="clear" w:color="auto" w:fill="C6F4F9"/>
          </w:tcPr>
          <w:p>
            <w:pPr>
              <w:jc w:val="right"/>
              <w:ind w:right="10"/>
              <w:spacing w:after="0"/>
              <w:rPr>
                <w:sz w:val="20"/>
                <w:szCs w:val="20"/>
                <w:color w:val="auto"/>
              </w:rPr>
            </w:pPr>
            <w:r>
              <w:rPr>
                <w:rFonts w:ascii="Arial" w:cs="Arial" w:eastAsia="Arial" w:hAnsi="Arial"/>
                <w:sz w:val="18"/>
                <w:szCs w:val="18"/>
                <w:i w:val="1"/>
                <w:iCs w:val="1"/>
                <w:color w:val="auto"/>
              </w:rPr>
              <w:t>16.3%</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color w:val="auto"/>
              </w:rPr>
              <w:t>add: Depreciation</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5,336</w:t>
            </w:r>
          </w:p>
        </w:tc>
      </w:tr>
      <w:tr>
        <w:trPr>
          <w:trHeight w:val="257"/>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b w:val="1"/>
                <w:bCs w:val="1"/>
                <w:color w:val="auto"/>
              </w:rPr>
              <w:t>Adjusted EBITDA (Non-GAAP)</w:t>
            </w:r>
          </w:p>
        </w:tc>
        <w:tc>
          <w:tcPr>
            <w:tcW w:w="240" w:type="dxa"/>
            <w:vAlign w:val="bottom"/>
            <w:shd w:val="clear" w:color="auto" w:fill="C6F4F9"/>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b w:val="1"/>
                <w:bCs w:val="1"/>
                <w:color w:val="auto"/>
              </w:rPr>
              <w:t>21,938</w:t>
            </w:r>
          </w:p>
        </w:tc>
        <w:tc>
          <w:tcPr>
            <w:tcW w:w="480" w:type="dxa"/>
            <w:vAlign w:val="bottom"/>
            <w:gridSpan w:val="2"/>
            <w:shd w:val="clear" w:color="auto" w:fill="C6F4F9"/>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19,533</w:t>
            </w:r>
          </w:p>
        </w:tc>
        <w:tc>
          <w:tcPr>
            <w:tcW w:w="340" w:type="dxa"/>
            <w:vAlign w:val="bottom"/>
            <w:gridSpan w:val="2"/>
            <w:shd w:val="clear" w:color="auto" w:fill="C6F4F9"/>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24,516</w:t>
            </w:r>
          </w:p>
        </w:tc>
      </w:tr>
      <w:tr>
        <w:trPr>
          <w:trHeight w:val="224"/>
        </w:trPr>
        <w:tc>
          <w:tcPr>
            <w:tcW w:w="7440" w:type="dxa"/>
            <w:vAlign w:val="bottom"/>
            <w:tcBorders>
              <w:top w:val="single" w:sz="8" w:color="C6F4F9"/>
            </w:tcBorders>
          </w:tcPr>
          <w:p>
            <w:pPr>
              <w:ind w:left="180"/>
              <w:spacing w:after="0"/>
              <w:rPr>
                <w:sz w:val="20"/>
                <w:szCs w:val="20"/>
                <w:color w:val="auto"/>
              </w:rPr>
            </w:pPr>
            <w:r>
              <w:rPr>
                <w:rFonts w:ascii="Arial" w:cs="Arial" w:eastAsia="Arial" w:hAnsi="Arial"/>
                <w:sz w:val="18"/>
                <w:szCs w:val="18"/>
                <w:i w:val="1"/>
                <w:iCs w:val="1"/>
                <w:color w:val="auto"/>
              </w:rPr>
              <w:t>Adjusted EBITDA margin %</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18.9%</w:t>
            </w:r>
          </w:p>
        </w:tc>
        <w:tc>
          <w:tcPr>
            <w:tcW w:w="100" w:type="dxa"/>
            <w:vAlign w:val="bottom"/>
            <w:tcBorders>
              <w:top w:val="single" w:sz="8" w:color="C6F4F9"/>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18.7%</w:t>
            </w:r>
          </w:p>
        </w:tc>
        <w:tc>
          <w:tcPr>
            <w:tcW w:w="120" w:type="dxa"/>
            <w:vAlign w:val="bottom"/>
            <w:tcBorders>
              <w:top w:val="single" w:sz="8" w:color="C6F4F9"/>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20.8%</w:t>
            </w:r>
          </w:p>
        </w:tc>
      </w:tr>
    </w:tbl>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Ended</w:t>
            </w: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16"/>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b w:val="1"/>
                <w:bCs w:val="1"/>
                <w:color w:val="auto"/>
              </w:rPr>
              <w:t>Net income (GAAP)</w:t>
            </w:r>
          </w:p>
        </w:tc>
        <w:tc>
          <w:tcPr>
            <w:tcW w:w="240" w:type="dxa"/>
            <w:vAlign w:val="bottom"/>
            <w:shd w:val="clear" w:color="auto" w:fill="C6F4F9"/>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b w:val="1"/>
                <w:bCs w:val="1"/>
                <w:color w:val="auto"/>
              </w:rPr>
              <w:t>9,762</w:t>
            </w:r>
          </w:p>
        </w:tc>
        <w:tc>
          <w:tcPr>
            <w:tcW w:w="440" w:type="dxa"/>
            <w:vAlign w:val="bottom"/>
            <w:gridSpan w:val="2"/>
            <w:shd w:val="clear" w:color="auto" w:fill="C6F4F9"/>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8,916</w:t>
            </w:r>
          </w:p>
        </w:tc>
        <w:tc>
          <w:tcPr>
            <w:tcW w:w="320" w:type="dxa"/>
            <w:vAlign w:val="bottom"/>
            <w:gridSpan w:val="2"/>
            <w:shd w:val="clear" w:color="auto" w:fill="C6F4F9"/>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12,163</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add: Stock-based compensation expense (a)</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2,087</w:t>
            </w:r>
          </w:p>
        </w:tc>
      </w:tr>
      <w:tr>
        <w:trPr>
          <w:trHeight w:val="216"/>
        </w:trPr>
        <w:tc>
          <w:tcPr>
            <w:tcW w:w="7440" w:type="dxa"/>
            <w:vAlign w:val="bottom"/>
            <w:shd w:val="clear" w:color="auto" w:fill="C6F4F9"/>
          </w:tcPr>
          <w:p>
            <w:pPr>
              <w:ind w:left="340"/>
              <w:spacing w:after="0"/>
              <w:rPr>
                <w:sz w:val="20"/>
                <w:szCs w:val="20"/>
                <w:color w:val="auto"/>
              </w:rPr>
            </w:pPr>
            <w:r>
              <w:rPr>
                <w:rFonts w:ascii="Arial" w:cs="Arial" w:eastAsia="Arial" w:hAnsi="Arial"/>
                <w:sz w:val="18"/>
                <w:szCs w:val="18"/>
                <w:color w:val="auto"/>
              </w:rPr>
              <w:t>add: Amortization of acquisition-related intangibles (b)</w:t>
            </w:r>
          </w:p>
        </w:tc>
        <w:tc>
          <w:tcPr>
            <w:tcW w:w="24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6F4F9"/>
          </w:tcPr>
          <w:p>
            <w:pPr>
              <w:spacing w:after="0"/>
              <w:rPr>
                <w:sz w:val="18"/>
                <w:szCs w:val="18"/>
                <w:color w:val="auto"/>
              </w:rPr>
            </w:pPr>
          </w:p>
        </w:tc>
        <w:tc>
          <w:tcPr>
            <w:tcW w:w="340" w:type="dxa"/>
            <w:vAlign w:val="bottom"/>
            <w:shd w:val="clear" w:color="auto" w:fill="C6F4F9"/>
          </w:tcPr>
          <w:p>
            <w:pPr>
              <w:spacing w:after="0"/>
              <w:rPr>
                <w:sz w:val="18"/>
                <w:szCs w:val="18"/>
                <w:color w:val="auto"/>
              </w:rPr>
            </w:pPr>
          </w:p>
        </w:tc>
        <w:tc>
          <w:tcPr>
            <w:tcW w:w="90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1,555</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subtract: Tax impact on stock-based compensation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3"/>
        </w:trPr>
        <w:tc>
          <w:tcPr>
            <w:tcW w:w="7440" w:type="dxa"/>
            <w:vAlign w:val="bottom"/>
            <w:tcBorders>
              <w:bottom w:val="single" w:sz="8" w:color="C6F4F9"/>
            </w:tcBorders>
            <w:shd w:val="clear" w:color="auto" w:fill="C6F4F9"/>
          </w:tcPr>
          <w:p>
            <w:pPr>
              <w:ind w:left="3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24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6F4F9"/>
            </w:tcBorders>
            <w:shd w:val="clear" w:color="auto" w:fill="C6F4F9"/>
          </w:tcPr>
          <w:p>
            <w:pPr>
              <w:spacing w:after="0"/>
              <w:rPr>
                <w:sz w:val="19"/>
                <w:szCs w:val="19"/>
                <w:color w:val="auto"/>
              </w:rPr>
            </w:pPr>
          </w:p>
        </w:tc>
        <w:tc>
          <w:tcPr>
            <w:tcW w:w="340" w:type="dxa"/>
            <w:vAlign w:val="bottom"/>
            <w:tcBorders>
              <w:bottom w:val="single" w:sz="8" w:color="auto"/>
            </w:tcBorders>
            <w:shd w:val="clear" w:color="auto" w:fill="C6F4F9"/>
          </w:tcPr>
          <w:p>
            <w:pPr>
              <w:spacing w:after="0"/>
              <w:rPr>
                <w:sz w:val="19"/>
                <w:szCs w:val="19"/>
                <w:color w:val="auto"/>
              </w:rPr>
            </w:pPr>
          </w:p>
        </w:tc>
        <w:tc>
          <w:tcPr>
            <w:tcW w:w="9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6F4F9"/>
            </w:tcBorders>
            <w:shd w:val="clear" w:color="auto" w:fill="C6F4F9"/>
          </w:tcPr>
          <w:p>
            <w:pPr>
              <w:spacing w:after="0"/>
              <w:rPr>
                <w:sz w:val="19"/>
                <w:szCs w:val="19"/>
                <w:color w:val="auto"/>
              </w:rPr>
            </w:pPr>
          </w:p>
        </w:tc>
        <w:tc>
          <w:tcPr>
            <w:tcW w:w="200" w:type="dxa"/>
            <w:vAlign w:val="bottom"/>
            <w:tcBorders>
              <w:bottom w:val="single" w:sz="8" w:color="auto"/>
            </w:tcBorders>
            <w:shd w:val="clear" w:color="auto" w:fill="C6F4F9"/>
          </w:tcPr>
          <w:p>
            <w:pPr>
              <w:spacing w:after="0"/>
              <w:rPr>
                <w:sz w:val="19"/>
                <w:szCs w:val="19"/>
                <w:color w:val="auto"/>
              </w:rPr>
            </w:pPr>
          </w:p>
        </w:tc>
        <w:tc>
          <w:tcPr>
            <w:tcW w:w="10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13,454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11,780</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14,900</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40" w:type="dxa"/>
            <w:vAlign w:val="bottom"/>
            <w:shd w:val="clear" w:color="auto" w:fill="C6F4F9"/>
          </w:tcPr>
          <w:p>
            <w:pPr>
              <w:ind w:left="180"/>
              <w:spacing w:after="0"/>
              <w:rPr>
                <w:sz w:val="20"/>
                <w:szCs w:val="20"/>
                <w:color w:val="auto"/>
              </w:rPr>
            </w:pPr>
            <w:r>
              <w:rPr>
                <w:rFonts w:ascii="Arial" w:cs="Arial" w:eastAsia="Arial" w:hAnsi="Arial"/>
                <w:sz w:val="18"/>
                <w:szCs w:val="18"/>
                <w:b w:val="1"/>
                <w:bCs w:val="1"/>
                <w:color w:val="auto"/>
              </w:rPr>
              <w:t>Adjusted diluted earnings per share</w:t>
            </w:r>
          </w:p>
        </w:tc>
        <w:tc>
          <w:tcPr>
            <w:tcW w:w="240" w:type="dxa"/>
            <w:vAlign w:val="bottom"/>
            <w:shd w:val="clear" w:color="auto" w:fill="C6F4F9"/>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6F4F9"/>
          </w:tcPr>
          <w:p>
            <w:pPr>
              <w:jc w:val="right"/>
              <w:ind w:right="30"/>
              <w:spacing w:after="0"/>
              <w:rPr>
                <w:sz w:val="20"/>
                <w:szCs w:val="20"/>
                <w:color w:val="auto"/>
              </w:rPr>
            </w:pPr>
            <w:r>
              <w:rPr>
                <w:rFonts w:ascii="Arial" w:cs="Arial" w:eastAsia="Arial" w:hAnsi="Arial"/>
                <w:sz w:val="18"/>
                <w:szCs w:val="18"/>
                <w:b w:val="1"/>
                <w:bCs w:val="1"/>
                <w:color w:val="auto"/>
              </w:rPr>
              <w:t>0.40</w:t>
            </w:r>
          </w:p>
        </w:tc>
        <w:tc>
          <w:tcPr>
            <w:tcW w:w="440" w:type="dxa"/>
            <w:vAlign w:val="bottom"/>
            <w:gridSpan w:val="2"/>
            <w:shd w:val="clear" w:color="auto" w:fill="C6F4F9"/>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0.36</w:t>
            </w:r>
          </w:p>
        </w:tc>
        <w:tc>
          <w:tcPr>
            <w:tcW w:w="320" w:type="dxa"/>
            <w:vAlign w:val="bottom"/>
            <w:gridSpan w:val="2"/>
            <w:shd w:val="clear" w:color="auto" w:fill="C6F4F9"/>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6F4F9"/>
          </w:tcPr>
          <w:p>
            <w:pPr>
              <w:jc w:val="right"/>
              <w:ind w:right="10"/>
              <w:spacing w:after="0"/>
              <w:rPr>
                <w:sz w:val="20"/>
                <w:szCs w:val="20"/>
                <w:color w:val="auto"/>
              </w:rPr>
            </w:pPr>
            <w:r>
              <w:rPr>
                <w:rFonts w:ascii="Arial" w:cs="Arial" w:eastAsia="Arial" w:hAnsi="Arial"/>
                <w:sz w:val="18"/>
                <w:szCs w:val="18"/>
                <w:b w:val="1"/>
                <w:bCs w:val="1"/>
                <w:color w:val="auto"/>
              </w:rPr>
              <w:t>0.44</w:t>
            </w:r>
          </w:p>
        </w:tc>
      </w:tr>
    </w:tbl>
    <w:p>
      <w:pPr>
        <w:spacing w:after="0" w:line="2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emdash "/>
      <w:numFmt w:val="bullet"/>
      <w:start w:val="1"/>
    </w:lvl>
  </w:abstractNum>
  <w:abstractNum w:abstractNumId="3">
    <w:nsid w:val="3D1B58BA"/>
    <w:multiLevelType w:val="hybridMultilevel"/>
    <w:lvl w:ilvl="0">
      <w:lvlJc w:val="left"/>
      <w:lvlText w:val="\emdash "/>
      <w:numFmt w:val="bullet"/>
      <w:start w:val="1"/>
    </w:lvl>
  </w:abstractNum>
  <w:abstractNum w:abstractNumId="4">
    <w:nsid w:val="507ED7AB"/>
    <w:multiLevelType w:val="hybridMultilevel"/>
    <w:lvl w:ilvl="0">
      <w:lvlJc w:val="left"/>
      <w:lvlText w:val="\emdash "/>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2019-12-07T08:20:00Z</dcterms:created>
  <dcterms:modified xsi:type="dcterms:W3CDTF">2019-12-07T08:20:00Z</dcterms:modified>
</cp:coreProperties>
</file>