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Global Head of Client Mgmnt</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02/03/2013</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1,947</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6,807</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02/03/2013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751</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29.96</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6,056</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02/04/2013</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2,400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1160" w:type="dxa"/>
            <w:vAlign w:val="bottom"/>
          </w:tcPr>
          <w:p>
            <w:pPr>
              <w:ind w:left="400"/>
              <w:spacing w:after="0"/>
              <w:rPr>
                <w:sz w:val="20"/>
                <w:szCs w:val="20"/>
                <w:color w:val="auto"/>
              </w:rPr>
            </w:pPr>
            <w:r>
              <w:rPr>
                <w:rFonts w:ascii="Arial" w:cs="Arial" w:eastAsia="Arial" w:hAnsi="Arial"/>
                <w:sz w:val="18"/>
                <w:szCs w:val="18"/>
                <w:color w:val="0000FF"/>
              </w:rPr>
              <w:t>8,456</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02/04/2013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88"/>
              </w:rPr>
              <w:t>1,048</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29.96</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7,408</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1,947</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02/03/2013</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1,947</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4,072</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2,400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02/04/2013</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2,400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3,200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3, 2013, ExlService Holdings, Inc. (the "Company") issued 1,947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3, 2013.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February 4, 2013, the Company issued 2,400 shares of Common Stock to the reporting person upon the vesting of shares of restricted stock previously granted to the reporting person.</w:t>
      </w:r>
    </w:p>
    <w:p>
      <w:pPr>
        <w:spacing w:after="0" w:line="64" w:lineRule="exact"/>
        <w:rPr>
          <w:rFonts w:ascii="Arial" w:cs="Arial" w:eastAsia="Arial" w:hAnsi="Arial"/>
          <w:sz w:val="12"/>
          <w:szCs w:val="12"/>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4, 2013.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6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1,947 shares of restricted stock vested on February 3, 2013; an additional 2,372 shares of restricted stock will vest on February 3, 2014; and the remaining 1,700 shares of restricted stock will vest on February 3, 2015.</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2,400 shares of restricted stock vested on February 4, 2013 and the remaining 3,200 shares of restricted stock will vest on February 4,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02/06/2013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2019-12-16T15:11:16Z</dcterms:created>
  <dcterms:modified xsi:type="dcterms:W3CDTF">2019-12-16T15:11:16Z</dcterms:modified>
</cp:coreProperties>
</file>