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63"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Date of Report (Date of earliest event reported): February 24, 2022</w:t>
      </w:r>
    </w:p>
    <w:p>
      <w:pPr>
        <w:spacing w:after="0" w:line="51"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240"/>
          </w:cols>
          <w:pgMar w:left="320" w:top="1174" w:right="339" w:bottom="1440" w:gutter="0" w:footer="0" w:header="0"/>
        </w:sectPr>
      </w:pPr>
    </w:p>
    <w:p>
      <w:pPr>
        <w:spacing w:after="0" w:line="127"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51" w:lineRule="exact"/>
        <w:rPr>
          <w:sz w:val="24"/>
          <w:szCs w:val="24"/>
          <w:color w:val="auto"/>
        </w:rPr>
      </w:pPr>
    </w:p>
    <w:p>
      <w:pPr>
        <w:sectPr>
          <w:pgSz w:w="11900" w:h="16838" w:orient="portrait"/>
          <w:cols w:equalWidth="0" w:num="3">
            <w:col w:w="4540" w:space="720"/>
            <w:col w:w="3000" w:space="720"/>
            <w:col w:w="2260"/>
          </w:cols>
          <w:pgMar w:left="320" w:top="1174" w:right="33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w:t>
      </w:r>
    </w:p>
    <w:p>
      <w:pPr>
        <w:jc w:val="center"/>
        <w:ind w:right="2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74" w:right="339" w:bottom="1440" w:gutter="0" w:footer="0" w:header="0"/>
          <w:type w:val="continuous"/>
        </w:sectPr>
      </w:pPr>
    </w:p>
    <w:p>
      <w:pPr>
        <w:spacing w:after="0" w:line="190"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10022</w:t>
      </w:r>
    </w:p>
    <w:p>
      <w:pPr>
        <w:spacing w:after="0" w:line="55" w:lineRule="exact"/>
        <w:rPr>
          <w:sz w:val="24"/>
          <w:szCs w:val="24"/>
          <w:color w:val="auto"/>
        </w:rPr>
      </w:pPr>
    </w:p>
    <w:p>
      <w:pPr>
        <w:sectPr>
          <w:pgSz w:w="11900" w:h="16838" w:orient="portrait"/>
          <w:cols w:equalWidth="0" w:num="2">
            <w:col w:w="7620" w:space="720"/>
            <w:col w:w="2900"/>
          </w:cols>
          <w:pgMar w:left="320" w:top="1174" w:right="339" w:bottom="1440" w:gutter="0" w:footer="0" w:header="0"/>
          <w:type w:val="continuous"/>
        </w:sectPr>
      </w:pPr>
    </w:p>
    <w:p>
      <w:pPr>
        <w:ind w:left="496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44" w:lineRule="exact"/>
        <w:rPr>
          <w:sz w:val="24"/>
          <w:szCs w:val="24"/>
          <w:color w:val="auto"/>
        </w:rPr>
      </w:pPr>
    </w:p>
    <w:p>
      <w:pPr>
        <w:sectPr>
          <w:pgSz w:w="11900" w:h="16838" w:orient="portrait"/>
          <w:cols w:equalWidth="0" w:num="2">
            <w:col w:w="7480" w:space="720"/>
            <w:col w:w="3040"/>
          </w:cols>
          <w:pgMar w:left="320" w:top="1174" w:right="339" w:bottom="1440" w:gutter="0" w:footer="0" w:header="0"/>
          <w:type w:val="continuous"/>
        </w:sectPr>
      </w:pPr>
    </w:p>
    <w:p>
      <w:pPr>
        <w:ind w:left="4580"/>
        <w:spacing w:after="0"/>
        <w:rPr>
          <w:sz w:val="20"/>
          <w:szCs w:val="20"/>
          <w:color w:val="auto"/>
        </w:rPr>
      </w:pPr>
      <w:r>
        <w:rPr>
          <w:rFonts w:ascii="Arial" w:cs="Arial" w:eastAsia="Arial" w:hAnsi="Arial"/>
          <w:sz w:val="16"/>
          <w:szCs w:val="16"/>
          <w:color w:val="auto"/>
        </w:rPr>
        <w:t>(Address of principal executive offices)</w:t>
      </w:r>
    </w:p>
    <w:p>
      <w:pPr>
        <w:spacing w:after="0" w:line="163"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240"/>
          </w:cols>
          <w:pgMar w:left="320" w:top="1174" w:right="339" w:bottom="1440" w:gutter="0" w:footer="0" w:header="0"/>
          <w:type w:val="continuous"/>
        </w:sectPr>
      </w:pP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Written communication pursuant to Rule 425 under the Securities Act (17 CFR 230.425)</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Soliciting material pursuant to Rule 14a-12 under the Exchange Act (17 CFR 240.14a-12)</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14d-2(b) under the Exchange Act (17 CFR 240.14d-2(b))</w:t>
      </w:r>
    </w:p>
    <w:p>
      <w:pPr>
        <w:spacing w:after="0" w:line="155"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13e-4(c) under the Exchange Act (17 CFR 240.13e-4(c))</w:t>
      </w:r>
    </w:p>
    <w:p>
      <w:pPr>
        <w:spacing w:after="0" w:line="38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Emerging growth company</w:t>
      </w:r>
    </w:p>
    <w:p>
      <w:pPr>
        <w:spacing w:after="0" w:line="225" w:lineRule="exact"/>
        <w:rPr>
          <w:rFonts w:ascii="MS PGothic" w:cs="MS PGothic" w:eastAsia="MS PGothic" w:hAnsi="MS PGothic"/>
          <w:sz w:val="22"/>
          <w:szCs w:val="22"/>
          <w:color w:val="auto"/>
        </w:rPr>
      </w:pPr>
    </w:p>
    <w:p>
      <w:pPr>
        <w:ind w:left="620" w:right="480" w:hanging="594"/>
        <w:spacing w:after="0" w:line="217"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71234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44577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9"/>
        </w:trPr>
        <w:tc>
          <w:tcPr>
            <w:tcW w:w="20" w:type="dxa"/>
            <w:vAlign w:val="bottom"/>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NASDAQ</w:t>
            </w:r>
          </w:p>
        </w:tc>
      </w:tr>
      <w:tr>
        <w:trPr>
          <w:trHeight w:val="361"/>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2"/>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24, 2022, ExlService Holdings, Inc. (the “Company”) reported its results of operations for the three months and twelve months ended December 31, 2021.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40" w:type="dxa"/>
            <w:vAlign w:val="bottom"/>
          </w:tcPr>
          <w:p>
            <w:pPr>
              <w:spacing w:after="0"/>
              <w:rPr>
                <w:sz w:val="18"/>
                <w:szCs w:val="18"/>
                <w:color w:val="auto"/>
              </w:rPr>
            </w:pPr>
          </w:p>
        </w:tc>
        <w:tc>
          <w:tcPr>
            <w:tcW w:w="820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February 24, 2022 (furnished pursuant to Item 2.02).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300" w:type="dxa"/>
            <w:vAlign w:val="bottom"/>
            <w:gridSpan w:val="2"/>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vMerge w:val="restart"/>
          </w:tcPr>
          <w:p>
            <w:pPr>
              <w:ind w:left="20"/>
              <w:spacing w:after="0"/>
              <w:rPr>
                <w:sz w:val="20"/>
                <w:szCs w:val="20"/>
                <w:color w:val="auto"/>
              </w:rPr>
            </w:pPr>
            <w:r>
              <w:rPr>
                <w:rFonts w:ascii="Arial" w:cs="Arial" w:eastAsia="Arial" w:hAnsi="Arial"/>
                <w:sz w:val="18"/>
                <w:szCs w:val="18"/>
                <w:color w:val="auto"/>
              </w:rPr>
              <w:t>104</w:t>
            </w:r>
          </w:p>
        </w:tc>
        <w:tc>
          <w:tcPr>
            <w:tcW w:w="2140" w:type="dxa"/>
            <w:vAlign w:val="bottom"/>
          </w:tcPr>
          <w:p>
            <w:pPr>
              <w:spacing w:after="0"/>
              <w:rPr>
                <w:sz w:val="17"/>
                <w:szCs w:val="17"/>
                <w:color w:val="auto"/>
              </w:rPr>
            </w:pPr>
          </w:p>
        </w:tc>
        <w:tc>
          <w:tcPr>
            <w:tcW w:w="8200" w:type="dxa"/>
            <w:vAlign w:val="bottom"/>
            <w:gridSpan w:val="3"/>
          </w:tcPr>
          <w:p>
            <w:pPr>
              <w:spacing w:after="0" w:line="196" w:lineRule="exact"/>
              <w:rPr>
                <w:sz w:val="20"/>
                <w:szCs w:val="20"/>
                <w:color w:val="auto"/>
              </w:rPr>
            </w:pPr>
            <w:r>
              <w:rPr>
                <w:rFonts w:ascii="Arial" w:cs="Arial" w:eastAsia="Arial" w:hAnsi="Arial"/>
                <w:sz w:val="18"/>
                <w:szCs w:val="18"/>
                <w:color w:val="auto"/>
              </w:rPr>
              <w:t>Cover Page Interactive Data File (the cover page XBRL tags are embedded within the inline</w:t>
            </w:r>
          </w:p>
        </w:tc>
        <w:tc>
          <w:tcPr>
            <w:tcW w:w="0" w:type="dxa"/>
            <w:vAlign w:val="bottom"/>
          </w:tcPr>
          <w:p>
            <w:pPr>
              <w:spacing w:after="0"/>
              <w:rPr>
                <w:sz w:val="1"/>
                <w:szCs w:val="1"/>
                <w:color w:val="auto"/>
              </w:rPr>
            </w:pPr>
          </w:p>
        </w:tc>
      </w:tr>
      <w:tr>
        <w:trPr>
          <w:trHeight w:val="230"/>
        </w:trPr>
        <w:tc>
          <w:tcPr>
            <w:tcW w:w="900" w:type="dxa"/>
            <w:vAlign w:val="bottom"/>
            <w:gridSpan w:val="2"/>
            <w:vMerge w:val="continue"/>
          </w:tcPr>
          <w:p>
            <w:pPr>
              <w:spacing w:after="0"/>
              <w:rPr>
                <w:sz w:val="20"/>
                <w:szCs w:val="20"/>
                <w:color w:val="auto"/>
              </w:rPr>
            </w:pPr>
          </w:p>
        </w:tc>
        <w:tc>
          <w:tcPr>
            <w:tcW w:w="2140" w:type="dxa"/>
            <w:vAlign w:val="bottom"/>
          </w:tcPr>
          <w:p>
            <w:pPr>
              <w:spacing w:after="0"/>
              <w:rPr>
                <w:sz w:val="20"/>
                <w:szCs w:val="20"/>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452"/>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8060" w:type="dxa"/>
            <w:vAlign w:val="bottom"/>
            <w:gridSpan w:val="2"/>
          </w:tcPr>
          <w:p>
            <w:pPr>
              <w:ind w:left="18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Arial" w:cs="Arial" w:eastAsia="Arial" w:hAnsi="Arial"/>
                <w:sz w:val="18"/>
                <w:szCs w:val="18"/>
                <w:color w:val="auto"/>
              </w:rPr>
              <w:t>(Registrant)</w:t>
            </w:r>
          </w:p>
        </w:tc>
        <w:tc>
          <w:tcPr>
            <w:tcW w:w="4960" w:type="dxa"/>
            <w:vAlign w:val="bottom"/>
          </w:tcPr>
          <w:p>
            <w:pPr>
              <w:spacing w:after="0"/>
              <w:rPr>
                <w:sz w:val="20"/>
                <w:szCs w:val="20"/>
                <w:color w:val="auto"/>
              </w:rPr>
            </w:pPr>
          </w:p>
        </w:tc>
      </w:tr>
      <w:tr>
        <w:trPr>
          <w:trHeight w:val="742"/>
        </w:trPr>
        <w:tc>
          <w:tcPr>
            <w:tcW w:w="3160" w:type="dxa"/>
            <w:vAlign w:val="bottom"/>
          </w:tcPr>
          <w:p>
            <w:pPr>
              <w:spacing w:after="0"/>
              <w:rPr>
                <w:sz w:val="20"/>
                <w:szCs w:val="20"/>
                <w:color w:val="auto"/>
              </w:rPr>
            </w:pPr>
            <w:r>
              <w:rPr>
                <w:rFonts w:ascii="Arial" w:cs="Arial" w:eastAsia="Arial" w:hAnsi="Arial"/>
                <w:sz w:val="18"/>
                <w:szCs w:val="18"/>
                <w:color w:val="auto"/>
              </w:rPr>
              <w:t>February 24, 2022</w:t>
            </w:r>
          </w:p>
        </w:tc>
        <w:tc>
          <w:tcPr>
            <w:tcW w:w="3100" w:type="dxa"/>
            <w:vAlign w:val="bottom"/>
          </w:tcPr>
          <w:p>
            <w:pPr>
              <w:ind w:left="1820"/>
              <w:spacing w:after="0"/>
              <w:rPr>
                <w:sz w:val="20"/>
                <w:szCs w:val="20"/>
                <w:color w:val="auto"/>
              </w:rPr>
            </w:pPr>
            <w:r>
              <w:rPr>
                <w:rFonts w:ascii="Arial" w:cs="Arial" w:eastAsia="Arial" w:hAnsi="Arial"/>
                <w:sz w:val="18"/>
                <w:szCs w:val="18"/>
                <w:color w:val="auto"/>
              </w:rPr>
              <w:t>By:</w:t>
            </w:r>
          </w:p>
        </w:tc>
        <w:tc>
          <w:tcPr>
            <w:tcW w:w="4960" w:type="dxa"/>
            <w:vAlign w:val="bottom"/>
          </w:tcPr>
          <w:p>
            <w:pPr>
              <w:ind w:left="20"/>
              <w:spacing w:after="0"/>
              <w:rPr>
                <w:sz w:val="20"/>
                <w:szCs w:val="20"/>
                <w:color w:val="auto"/>
              </w:rPr>
            </w:pPr>
            <w:r>
              <w:rPr>
                <w:rFonts w:ascii="Arial" w:cs="Arial" w:eastAsia="Arial" w:hAnsi="Arial"/>
                <w:sz w:val="18"/>
                <w:szCs w:val="18"/>
                <w:color w:val="auto"/>
              </w:rPr>
              <w:t>/s/ Ajay Ayyappan</w:t>
            </w:r>
          </w:p>
        </w:tc>
      </w:tr>
      <w:tr>
        <w:trPr>
          <w:trHeight w:val="27"/>
        </w:trPr>
        <w:tc>
          <w:tcPr>
            <w:tcW w:w="3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6"/>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Ajay Ayyappan</w:t>
            </w:r>
          </w:p>
        </w:tc>
      </w:tr>
      <w:tr>
        <w:trPr>
          <w:trHeight w:val="230"/>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EXL REPORTS 2021 FOURTH QUARTER</w:t>
      </w:r>
      <w:r>
        <w:rPr>
          <w:rFonts w:ascii="Arial" w:cs="Arial" w:eastAsia="Arial" w:hAnsi="Arial"/>
          <w:sz w:val="22"/>
          <w:szCs w:val="22"/>
          <w:color w:val="242424"/>
        </w:rPr>
        <w:t>,</w:t>
      </w:r>
      <w:r>
        <w:rPr>
          <w:rFonts w:ascii="Arial" w:cs="Arial" w:eastAsia="Arial" w:hAnsi="Arial"/>
          <w:sz w:val="22"/>
          <w:szCs w:val="22"/>
          <w:b w:val="1"/>
          <w:bCs w:val="1"/>
          <w:color w:val="auto"/>
        </w:rPr>
        <w:t xml:space="preserve"> </w:t>
      </w:r>
      <w:r>
        <w:rPr>
          <w:rFonts w:ascii="Arial" w:cs="Arial" w:eastAsia="Arial" w:hAnsi="Arial"/>
          <w:sz w:val="22"/>
          <w:szCs w:val="22"/>
          <w:b w:val="1"/>
          <w:bCs w:val="1"/>
          <w:color w:val="242424"/>
        </w:rPr>
        <w:t>ISSUES 2022 GUIDANCE AND UPDATES ITS MEDIUM TERM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FINANCIAL TARGETS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2021 Fourth Quarter Revenues of $295.5 Million, up 18.7% year-over-year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Q4 Diluted EPS (GAAP) of $0.83, down from $0.94 in Q4 of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Q4 Adjusted Diluted EPS (Non-GAAP) </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of $1.21, up from $1.14 in Q4 of 2020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2021 Revenues of $1.12 Billion, up 17.1% year-over-year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2021 Diluted EPS (GAAP) of $3.35, up from $2.59 in 2020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2021 Adjusted Diluted EPS (Non-GAAP) </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of $4.83, up from $3.53 in 2020</w:t>
      </w:r>
    </w:p>
    <w:p>
      <w:pPr>
        <w:spacing w:after="0" w:line="200" w:lineRule="exact"/>
        <w:rPr>
          <w:sz w:val="20"/>
          <w:szCs w:val="20"/>
          <w:color w:val="auto"/>
        </w:rPr>
      </w:pPr>
    </w:p>
    <w:p>
      <w:pPr>
        <w:spacing w:after="0" w:line="22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February 24, 2022 - ExlService Holdings, Inc. (NASDAQ: EXLS), a leading data analytics and digital operations and solutions company, today announced its financial results for the quarter and full year ended December 31, 2021.</w:t>
      </w:r>
    </w:p>
    <w:p>
      <w:pPr>
        <w:spacing w:after="0" w:line="197" w:lineRule="exact"/>
        <w:rPr>
          <w:sz w:val="20"/>
          <w:szCs w:val="20"/>
          <w:color w:val="auto"/>
        </w:rPr>
      </w:pPr>
    </w:p>
    <w:p>
      <w:pPr>
        <w:jc w:val="both"/>
        <w:spacing w:after="0" w:line="367" w:lineRule="auto"/>
        <w:rPr>
          <w:sz w:val="20"/>
          <w:szCs w:val="20"/>
          <w:color w:val="auto"/>
        </w:rPr>
      </w:pPr>
      <w:r>
        <w:rPr>
          <w:rFonts w:ascii="Arial" w:cs="Arial" w:eastAsia="Arial" w:hAnsi="Arial"/>
          <w:sz w:val="16"/>
          <w:szCs w:val="16"/>
          <w:color w:val="auto"/>
        </w:rPr>
        <w:t>Rohit Kapoor, Vice Chairman and Chief Executive Officer, said, “EXL had a strong fourth quarter of 2021 with revenue of $295.5 million and full year revenue of $1.12 billion. Our adjusted diluted EPS for the year was $4.83, a 37% increase. This was a pivotal year for us, not just from a revenue growth perspective, but also in terms of the evolution of our business into a data analytics and digital operations and solutions company. Our focus on high value, strategic initiatives that leverage our expertise in advanced analytics, AI (artificial intelligence), digital and cloud has helped us win significant new contracts and expand our relationships with existing clients. As we enter fiscal 2022, we see a strong pipeline across our business lines.”</w:t>
      </w:r>
    </w:p>
    <w:p>
      <w:pPr>
        <w:spacing w:after="0" w:line="186"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Maurizio Nicolelli, Chief Financial Officer, said, “We ended 2021 with solid momentum in our business and a healthy balance sheet. Our guidance for 2022 revenue is in the range of $1.28 billion to $1.31 billion, representing a 14% to 17% increase year-over-year on a reported basis and 11% to 13% on an organic constant currency basis. We expect adjusted diluted EPS to be in the range of $5.35 to $5.60, representing a 11% to 16% increase over the prior year.</w:t>
      </w:r>
    </w:p>
    <w:p>
      <w:pPr>
        <w:spacing w:after="0" w:line="212"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We are also updating our medium term financial targets from our Investor Day in November 2020. We now expect annual organic constant currency revenue growth of 11% to 13%, an increase of approximately 200 basis points from the midpoint of our previous target of 10% or more. We expect Analytics revenue to grow in the range of 15% to 20% per annum and digital operations and solutions revenue to grow by 7% to 9% per annum. We are also increasing our annual adjusted operating income margin target to be in the range of 17% to 18%, an increase of 100 basis points from our prior target of 16% to 17%.”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__________________________________________________________</w:t>
      </w:r>
    </w:p>
    <w:p>
      <w:pPr>
        <w:spacing w:after="0" w:line="285" w:lineRule="exact"/>
        <w:rPr>
          <w:sz w:val="20"/>
          <w:szCs w:val="20"/>
          <w:color w:val="auto"/>
        </w:rPr>
      </w:pPr>
    </w:p>
    <w:p>
      <w:pPr>
        <w:jc w:val="both"/>
        <w:ind w:left="500" w:hanging="330"/>
        <w:spacing w:after="0" w:line="249" w:lineRule="auto"/>
        <w:tabs>
          <w:tab w:leader="none" w:pos="498"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Fourth Quarter 2021</w:t>
      </w:r>
    </w:p>
    <w:p>
      <w:pPr>
        <w:spacing w:after="0" w:line="378" w:lineRule="exact"/>
        <w:rPr>
          <w:sz w:val="20"/>
          <w:szCs w:val="20"/>
          <w:color w:val="auto"/>
        </w:rPr>
      </w:pPr>
    </w:p>
    <w:p>
      <w:pPr>
        <w:jc w:val="both"/>
        <w:ind w:left="660" w:hanging="328"/>
        <w:spacing w:after="0" w:line="32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December 31, 2021 increased to $295.5 million compared to $249.0 million for the fourth quarter of 2020, an increase of 18.7% on a reported basis and 18.8% on a constant currency basis from the fourth quarter of 2020. Revenues increased by 1.8% sequentially on a reported basis and 1.9% on a constant currency basis, from the third quarter of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7"/>
              </w:rPr>
              <w:t>Revenues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116"/>
              <w:spacing w:after="0"/>
              <w:rPr>
                <w:sz w:val="20"/>
                <w:szCs w:val="20"/>
                <w:color w:val="auto"/>
              </w:rPr>
            </w:pPr>
            <w:r>
              <w:rPr>
                <w:rFonts w:ascii="Arial" w:cs="Arial" w:eastAsia="Arial" w:hAnsi="Arial"/>
                <w:sz w:val="16"/>
                <w:szCs w:val="16"/>
                <w:b w:val="1"/>
                <w:bCs w:val="1"/>
                <w:color w:val="auto"/>
                <w:w w:val="93"/>
              </w:rPr>
              <w:t>Gross Margin</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jc w:val="center"/>
              <w:ind w:right="113"/>
              <w:spacing w:after="0"/>
              <w:rPr>
                <w:sz w:val="20"/>
                <w:szCs w:val="20"/>
                <w:color w:val="auto"/>
              </w:rPr>
            </w:pPr>
            <w:r>
              <w:rPr>
                <w:rFonts w:ascii="Arial" w:cs="Arial" w:eastAsia="Arial" w:hAnsi="Arial"/>
                <w:sz w:val="16"/>
                <w:szCs w:val="16"/>
                <w:b w:val="1"/>
                <w:bCs w:val="1"/>
                <w:color w:val="auto"/>
                <w:w w:val="90"/>
              </w:rPr>
              <w:t>Three months ended</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1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December 31,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ind w:left="96"/>
              <w:spacing w:after="0"/>
              <w:rPr>
                <w:sz w:val="20"/>
                <w:szCs w:val="20"/>
                <w:color w:val="auto"/>
              </w:rPr>
            </w:pPr>
            <w:r>
              <w:rPr>
                <w:rFonts w:ascii="Arial" w:cs="Arial" w:eastAsia="Arial" w:hAnsi="Arial"/>
                <w:sz w:val="16"/>
                <w:szCs w:val="16"/>
                <w:b w:val="1"/>
                <w:bCs w:val="1"/>
                <w:color w:val="auto"/>
                <w:w w:val="90"/>
              </w:rPr>
              <w:t>December 31,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60" w:type="dxa"/>
            <w:vAlign w:val="bottom"/>
          </w:tcPr>
          <w:p>
            <w:pPr>
              <w:jc w:val="right"/>
              <w:ind w:right="233"/>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1260" w:type="dxa"/>
            <w:vAlign w:val="bottom"/>
            <w:gridSpan w:val="2"/>
          </w:tcPr>
          <w:p>
            <w:pPr>
              <w:jc w:val="center"/>
              <w:ind w:left="173"/>
              <w:spacing w:after="0"/>
              <w:rPr>
                <w:sz w:val="20"/>
                <w:szCs w:val="20"/>
                <w:color w:val="auto"/>
              </w:rPr>
            </w:pPr>
            <w:r>
              <w:rPr>
                <w:rFonts w:ascii="Arial" w:cs="Arial" w:eastAsia="Arial" w:hAnsi="Arial"/>
                <w:sz w:val="16"/>
                <w:szCs w:val="16"/>
                <w:b w:val="1"/>
                <w:bCs w:val="1"/>
                <w:color w:val="auto"/>
                <w:w w:val="89"/>
              </w:rPr>
              <w:t>2020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5"/>
          </w:tcPr>
          <w:p>
            <w:pPr>
              <w:jc w:val="center"/>
              <w:ind w:right="113"/>
              <w:spacing w:after="0"/>
              <w:rPr>
                <w:sz w:val="20"/>
                <w:szCs w:val="20"/>
                <w:color w:val="auto"/>
              </w:rPr>
            </w:pPr>
            <w:r>
              <w:rPr>
                <w:rFonts w:ascii="Arial" w:cs="Arial" w:eastAsia="Arial" w:hAnsi="Arial"/>
                <w:sz w:val="16"/>
                <w:szCs w:val="16"/>
                <w:b w:val="1"/>
                <w:bCs w:val="1"/>
                <w:color w:val="auto"/>
                <w:w w:val="92"/>
              </w:rPr>
              <w:t>(dollars in millions)</w:t>
            </w: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Analytics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Revenues, net</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39.4 %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38.8 %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margin for the quarter ended December 31, 2021 was 12.2%, compared to 15.4% for the fourth quarter of 2020 and 14.6% for the third quarter of 2021. Adjusted operating income margin for the quarter ended December 31, 2021 was 17.0% compared to 19.7% for the fourth quarter of 2020 and 19.4% for the third quarter of 2021.</w:t>
      </w:r>
    </w:p>
    <w:p>
      <w:pPr>
        <w:spacing w:after="0" w:line="209" w:lineRule="exact"/>
        <w:rPr>
          <w:rFonts w:ascii="Arial" w:cs="Arial" w:eastAsia="Arial" w:hAnsi="Arial"/>
          <w:sz w:val="18"/>
          <w:szCs w:val="18"/>
          <w:color w:val="auto"/>
        </w:rPr>
      </w:pPr>
    </w:p>
    <w:p>
      <w:pPr>
        <w:jc w:val="both"/>
        <w:ind w:left="66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quarter ended December 31, 2021 was $0.83 compared to $0.94 for the fourth quarter of 2020 and $0.77 for the third quarter of 2021. Adjusted diluted earnings per share for the quarter ended December 31, 2021 was $1.21 compared to $1.14 for the fourth quarter of 2020 and $1.30 for the third quarter of 2021.</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Financial Highlights: Full Year 2021</w:t>
      </w:r>
    </w:p>
    <w:p>
      <w:pPr>
        <w:spacing w:after="0" w:line="273" w:lineRule="exact"/>
        <w:rPr>
          <w:sz w:val="20"/>
          <w:szCs w:val="20"/>
          <w:color w:val="auto"/>
        </w:rPr>
      </w:pPr>
    </w:p>
    <w:p>
      <w:pPr>
        <w:ind w:left="660" w:hanging="328"/>
        <w:spacing w:after="0" w:line="34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for the year ended December 31, 2021 increased to $1.12 billion compared to $958.4 million for the year ended December 31, 2020, an increase of 17.1% on a reported basis and 16.5% on a constant currency basis.</w:t>
      </w:r>
    </w:p>
    <w:p>
      <w:pPr>
        <w:spacing w:after="0" w:line="184" w:lineRule="exact"/>
        <w:rPr>
          <w:sz w:val="20"/>
          <w:szCs w:val="20"/>
          <w:color w:val="auto"/>
        </w:rPr>
      </w:pPr>
    </w:p>
    <w:tbl>
      <w:tblPr>
        <w:tblLayout w:type="fixed"/>
        <w:tblInd w:w="4360" w:type="dxa"/>
        <w:tblCellMar>
          <w:top w:w="0" w:type="dxa"/>
          <w:left w:w="0" w:type="dxa"/>
          <w:bottom w:w="0" w:type="dxa"/>
          <w:right w:w="0" w:type="dxa"/>
        </w:tblCellMar>
      </w:tblPr>
      <w:tr>
        <w:trPr>
          <w:trHeight w:val="213"/>
        </w:trPr>
        <w:tc>
          <w:tcPr>
            <w:tcW w:w="3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Revenues</w:t>
            </w: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94"/>
              </w:rPr>
              <w:t>Gross Margin</w:t>
            </w:r>
          </w:p>
        </w:tc>
      </w:tr>
      <w:tr>
        <w:trPr>
          <w:trHeight w:val="210"/>
        </w:trPr>
        <w:tc>
          <w:tcPr>
            <w:tcW w:w="3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100" w:type="dxa"/>
            <w:vAlign w:val="bottom"/>
          </w:tcPr>
          <w:p>
            <w:pPr>
              <w:spacing w:after="0"/>
              <w:rPr>
                <w:sz w:val="18"/>
                <w:szCs w:val="18"/>
                <w:color w:val="auto"/>
              </w:rPr>
            </w:pPr>
          </w:p>
        </w:tc>
        <w:tc>
          <w:tcPr>
            <w:tcW w:w="3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Year ended</w:t>
            </w: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7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w w:val="99"/>
              </w:rPr>
              <w:t>December 31, 2021</w:t>
            </w: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80" w:type="dxa"/>
            <w:vAlign w:val="bottom"/>
          </w:tcPr>
          <w:p>
            <w:pPr>
              <w:spacing w:after="0"/>
              <w:rPr>
                <w:sz w:val="19"/>
                <w:szCs w:val="19"/>
                <w:color w:val="auto"/>
              </w:rPr>
            </w:pPr>
          </w:p>
        </w:tc>
        <w:tc>
          <w:tcPr>
            <w:tcW w:w="1320" w:type="dxa"/>
            <w:vAlign w:val="bottom"/>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740" w:type="dxa"/>
            <w:vAlign w:val="bottom"/>
            <w:gridSpan w:val="3"/>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8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900" w:type="dxa"/>
            <w:vAlign w:val="bottom"/>
            <w:tcBorders>
              <w:top w:val="single" w:sz="8" w:color="auto"/>
              <w:bottom w:val="single" w:sz="8" w:color="auto"/>
            </w:tcBorders>
            <w:gridSpan w:val="4"/>
          </w:tcPr>
          <w:p>
            <w:pPr>
              <w:jc w:val="right"/>
              <w:ind w:right="770"/>
              <w:spacing w:after="0"/>
              <w:rPr>
                <w:sz w:val="20"/>
                <w:szCs w:val="20"/>
                <w:color w:val="auto"/>
              </w:rPr>
            </w:pPr>
            <w:r>
              <w:rPr>
                <w:rFonts w:ascii="Arial" w:cs="Arial" w:eastAsia="Arial" w:hAnsi="Arial"/>
                <w:sz w:val="16"/>
                <w:szCs w:val="16"/>
                <w:b w:val="1"/>
                <w:bCs w:val="1"/>
                <w:color w:val="auto"/>
              </w:rPr>
              <w:t>(dollars in millions)</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Analytics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1,122.3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38.4 %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34.9 %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660" w:hanging="328"/>
        <w:spacing w:after="0" w:line="41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Operating income margin for the year ended December 31, 2021 was 13.9% compared to 11.5% for the year ended December 31, 2020. Adjusted operating income margin for the year ended December 31, 2021 was 18.6% compared to 15.9% for the year ended December 31, 2020.</w:t>
      </w:r>
    </w:p>
    <w:p>
      <w:pPr>
        <w:spacing w:after="0" w:line="151" w:lineRule="exact"/>
        <w:rPr>
          <w:rFonts w:ascii="Arial" w:cs="Arial" w:eastAsia="Arial" w:hAnsi="Arial"/>
          <w:sz w:val="16"/>
          <w:szCs w:val="16"/>
          <w:color w:val="auto"/>
        </w:rPr>
      </w:pPr>
    </w:p>
    <w:p>
      <w:pPr>
        <w:ind w:left="660" w:hanging="328"/>
        <w:spacing w:after="0" w:line="41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Diluted earnings per share for the year ended December 31, 2021 was $3.35 compared to $2.59 for the year ended December 31, 2020. Adjusted diluted earnings per share for the year ended December 31, 2021 was $4.83 compared to $3.53 for the year ended December 31, 2020.</w:t>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Business Highlights: Fourth Quarter 2021</w:t>
      </w:r>
    </w:p>
    <w:p>
      <w:pPr>
        <w:spacing w:after="0" w:line="276"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Acquired Clairvoyant, a global data, AI, and cloud services firm</w:t>
      </w:r>
      <w:r>
        <w:rPr>
          <w:rFonts w:ascii="Arial" w:cs="Arial" w:eastAsia="Arial" w:hAnsi="Arial"/>
          <w:sz w:val="21"/>
          <w:szCs w:val="21"/>
          <w:color w:val="auto"/>
        </w:rPr>
        <w:t>.</w:t>
      </w:r>
    </w:p>
    <w:p>
      <w:pPr>
        <w:spacing w:after="0" w:line="76" w:lineRule="exact"/>
        <w:rPr>
          <w:rFonts w:ascii="Arial" w:cs="Arial" w:eastAsia="Arial" w:hAnsi="Arial"/>
          <w:sz w:val="18"/>
          <w:szCs w:val="18"/>
          <w:color w:val="auto"/>
        </w:rPr>
      </w:pPr>
    </w:p>
    <w:p>
      <w:pPr>
        <w:ind w:left="340" w:hanging="332"/>
        <w:spacing w:after="0" w:line="313"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Won 18 new clients in the fourth quarter of 2021, with nine each in our digital operations and solutions business and analytics. For the year, we won 58 new clients, with 28 in our digital operations and solutions business and 30 in analytics.</w:t>
      </w: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Board authorization of new $300 million stock repurchase program effective January 1, 2022.</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Published our second annual Sustainability Report.</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Named to Newsweek’s 2022 list of America’s Most Responsible Companies.</w:t>
      </w:r>
    </w:p>
    <w:p>
      <w:pPr>
        <w:spacing w:after="0" w:line="63" w:lineRule="exact"/>
        <w:rPr>
          <w:rFonts w:ascii="Arial" w:cs="Arial" w:eastAsia="Arial" w:hAnsi="Arial"/>
          <w:sz w:val="18"/>
          <w:szCs w:val="18"/>
          <w:color w:val="auto"/>
        </w:rPr>
      </w:pPr>
    </w:p>
    <w:p>
      <w:pPr>
        <w:ind w:left="340" w:hanging="332"/>
        <w:spacing w:after="0" w:line="313"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Positioned in the Winners Circle in the HFS Research’s 2021 OneOffice™ Services Top 10 for Data and Decisions, with the top score for the Voice of the Customer.</w:t>
      </w: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Named a Top Performer in the 2021 KLAS Risk Adjustment &amp; Analytics Performance Report.</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Positioned as Leader and Star Performer in the Everest Group Life and Pensions Insurance BPS/TPA PEAK Matrix® Assessment 2022.</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Recognized as a Leader in all four categories in the ISG Provider Lens™ for Digital Finance and Accounting Outsourcing Services.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Guidance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75.0, British Pound to U.S. Dollar exchange rate of 1.37, U.S. Dollar to the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Philippine Peso exchange rate of 51.0 and all other currencies at current exchange rates, we are providing the following guidance for the full year 2022:</w:t>
      </w:r>
    </w:p>
    <w:p>
      <w:pPr>
        <w:spacing w:after="0" w:line="329" w:lineRule="exact"/>
        <w:rPr>
          <w:sz w:val="20"/>
          <w:szCs w:val="20"/>
          <w:color w:val="auto"/>
        </w:rPr>
      </w:pPr>
    </w:p>
    <w:p>
      <w:pPr>
        <w:ind w:left="660" w:right="20" w:hanging="328"/>
        <w:spacing w:after="0" w:line="34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of $1.28 billion to $1.31 billion, representing an increase of 14% to 17% on a reported basis, which includes $40.0 million to $45.0 million of revenue from Clairvoyant, and 11% to 13% on an organic constant currency basis, from 2021.</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diluted earnings per share of $5.35 to $5.60, representing an increase of 11% to 16% from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Medium Term Financial Targets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are providing the following medium term financial targets:</w:t>
      </w:r>
    </w:p>
    <w:p>
      <w:pPr>
        <w:spacing w:after="0" w:line="2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organic constant currency revenue growth of 11% to 13%.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Analytics revenue growth of 15% to 20% and digital operations and solutions revenue growth of 7% to 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adjusted operating income margin to be in the range of 17% to 18%.</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29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Thursday, February 24, 2022 at 10:00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213" w:lineRule="exact"/>
        <w:rPr>
          <w:sz w:val="20"/>
          <w:szCs w:val="20"/>
          <w:color w:val="auto"/>
        </w:rPr>
      </w:pPr>
    </w:p>
    <w:p>
      <w:pPr>
        <w:jc w:val="both"/>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twelve months.</w:t>
      </w:r>
    </w:p>
    <w:p>
      <w:pPr>
        <w:sectPr>
          <w:pgSz w:w="11900" w:h="16838" w:orient="portrait"/>
          <w:cols w:equalWidth="0" w:num="1">
            <w:col w:w="11240"/>
          </w:cols>
          <w:pgMar w:left="320" w:top="14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02" w:lineRule="exact"/>
        <w:rPr>
          <w:sz w:val="20"/>
          <w:szCs w:val="20"/>
          <w:color w:val="auto"/>
        </w:rPr>
      </w:pPr>
    </w:p>
    <w:p>
      <w:pPr>
        <w:jc w:val="both"/>
        <w:spacing w:after="0" w:line="356" w:lineRule="auto"/>
        <w:rPr>
          <w:sz w:val="20"/>
          <w:szCs w:val="20"/>
          <w:color w:val="auto"/>
        </w:rPr>
      </w:pPr>
      <w:r>
        <w:rPr>
          <w:rFonts w:ascii="Arial" w:cs="Arial" w:eastAsia="Arial" w:hAnsi="Arial"/>
          <w:sz w:val="17"/>
          <w:szCs w:val="17"/>
          <w:color w:val="auto"/>
        </w:rPr>
        <w:t xml:space="preserve">EXL (NASDAQ: EXLS) is a leading data analytics and digital operations and solutions company that partners with clients to improve business outcomes and unlock growth. By bringing together deep domain expertise with robust data, powerful analytics, cloud, artificial intelligence (“AI”) and machine 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37,400 strong, with more than 50 offices spanning six continents. For more information, visit </w:t>
      </w:r>
      <w:r>
        <w:rPr>
          <w:rFonts w:ascii="Arial" w:cs="Arial" w:eastAsia="Arial" w:hAnsi="Arial"/>
          <w:sz w:val="17"/>
          <w:szCs w:val="17"/>
          <w:u w:val="single" w:color="auto"/>
          <w:color w:val="0000FF"/>
        </w:rPr>
        <w:t>www.exlservice.com.</w:t>
      </w:r>
    </w:p>
    <w:p>
      <w:pPr>
        <w:spacing w:after="0" w:line="295" w:lineRule="exact"/>
        <w:rPr>
          <w:sz w:val="20"/>
          <w:szCs w:val="20"/>
          <w:color w:val="auto"/>
        </w:rPr>
      </w:pPr>
    </w:p>
    <w:p>
      <w:pPr>
        <w:jc w:val="both"/>
        <w:spacing w:after="0" w:line="318" w:lineRule="auto"/>
        <w:rPr>
          <w:sz w:val="20"/>
          <w:szCs w:val="20"/>
          <w:color w:val="auto"/>
        </w:rPr>
      </w:pPr>
      <w:r>
        <w:rPr>
          <w:rFonts w:ascii="Arial" w:cs="Arial" w:eastAsia="Arial" w:hAnsi="Arial"/>
          <w:sz w:val="17"/>
          <w:szCs w:val="17"/>
          <w:b w:val="1"/>
          <w:bCs w:val="1"/>
          <w:color w:val="auto"/>
        </w:rPr>
        <w:t xml:space="preserve">Cautionary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our ability to respond to and manage public health crises, including the outbreak and continued effects of COVID-19,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4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3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560" w:type="dxa"/>
            <w:vAlign w:val="bottom"/>
            <w:tcBorders>
              <w:top w:val="single" w:sz="8" w:color="auto"/>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2500" w:type="dxa"/>
            <w:vAlign w:val="bottom"/>
            <w:tcBorders>
              <w:top w:val="single" w:sz="8" w:color="auto"/>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w w:val="94"/>
              </w:rPr>
              <w:t>Three months ended December 31,</w:t>
            </w:r>
          </w:p>
        </w:tc>
        <w:tc>
          <w:tcPr>
            <w:tcW w:w="0" w:type="dxa"/>
            <w:vAlign w:val="bottom"/>
          </w:tcPr>
          <w:p>
            <w:pPr>
              <w:spacing w:after="0"/>
              <w:rPr>
                <w:sz w:val="1"/>
                <w:szCs w:val="1"/>
                <w:color w:val="auto"/>
              </w:rPr>
            </w:pPr>
          </w:p>
        </w:tc>
      </w:tr>
      <w:tr>
        <w:trPr>
          <w:trHeight w:val="183"/>
        </w:trPr>
        <w:tc>
          <w:tcPr>
            <w:tcW w:w="5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1,122,293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295,489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248,953</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690,934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183,669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150,792</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431,359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334,498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111,820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98,161</w:t>
            </w: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142,040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29,390</w:t>
            </w:r>
          </w:p>
        </w:tc>
        <w:tc>
          <w:tcPr>
            <w:tcW w:w="0" w:type="dxa"/>
            <w:vAlign w:val="bottom"/>
          </w:tcPr>
          <w:p>
            <w:pPr>
              <w:spacing w:after="0"/>
              <w:rPr>
                <w:sz w:val="1"/>
                <w:szCs w:val="1"/>
                <w:color w:val="auto"/>
              </w:rPr>
            </w:pPr>
          </w:p>
        </w:tc>
      </w:tr>
      <w:tr>
        <w:trPr>
          <w:trHeight w:val="229"/>
        </w:trPr>
        <w:tc>
          <w:tcPr>
            <w:tcW w:w="534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84,306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24,675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17,326</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13,182</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275,478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59,898</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155,881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36,058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38,263</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settlement of convertible notes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3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Income before income tax expense and earnings from equity</w:t>
            </w: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146,561</w:t>
            </w: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115,329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38,083</w:t>
            </w: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39,462</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affiliates</w:t>
            </w: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114,711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89,703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28,252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32,253</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from equity-method investment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w w:val="94"/>
              </w:rPr>
              <w:t>Net income attributable to ExlService Holdings, Inc.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114,758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89,476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28,299</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32,218</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1"/>
              </w:rPr>
              <w:t>Earnings per share attributable to ExlService Holdings, Inc. stockholders: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0.85</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176"/>
        </w:trPr>
        <w:tc>
          <w:tcPr>
            <w:tcW w:w="5340" w:type="dxa"/>
            <w:vAlign w:val="bottom"/>
          </w:tcPr>
          <w:p>
            <w:pPr>
              <w:ind w:left="20"/>
              <w:spacing w:after="0" w:line="176" w:lineRule="exact"/>
              <w:rPr>
                <w:sz w:val="20"/>
                <w:szCs w:val="20"/>
                <w:color w:val="auto"/>
              </w:rPr>
            </w:pPr>
            <w:r>
              <w:rPr>
                <w:rFonts w:ascii="Arial" w:cs="Arial" w:eastAsia="Arial" w:hAnsi="Arial"/>
                <w:sz w:val="18"/>
                <w:szCs w:val="18"/>
                <w:color w:val="auto"/>
                <w:w w:val="96"/>
              </w:rPr>
              <w:t>Weighted-average number of shares used in computing earnings per</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share attributable to ExlService Holdings, Inc. stockholders: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33,549,275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34,273,388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33,446,852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33,882,013</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34,244,478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34,555,164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33,968,189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34,370,023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Exclusive of depreciation and amortization expense.</w:t>
      </w:r>
    </w:p>
    <w:p>
      <w:pPr>
        <w:sectPr>
          <w:pgSz w:w="11900" w:h="16838" w:orient="portrait"/>
          <w:cols w:equalWidth="0" w:num="1">
            <w:col w:w="10960"/>
          </w:cols>
          <w:pgMar w:left="460" w:top="1107" w:right="4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199"/>
        </w:trPr>
        <w:tc>
          <w:tcPr>
            <w:tcW w:w="7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218,530</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178,538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184,286</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194,232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147,635</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Advance income tax,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37,109</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578,144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609,278</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92,875</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76,692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91,918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7,749</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59,594</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403,902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349,088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32,099</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in equity affiliate</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1,282,904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1,247,857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6,873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borrowings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32,649</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 costs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67,645</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66,410</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taxes payable, net</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495,686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221,078</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Long-term borrowings, less current portion</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201,961</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84,874</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18,135</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589,748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528,685</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ExlService Holdings, Inc. Stockholders’ equity:</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120" w:type="dxa"/>
            <w:vAlign w:val="bottom"/>
            <w:shd w:val="clear" w:color="auto" w:fill="CCEEFF"/>
          </w:tcPr>
          <w:p>
            <w:pPr>
              <w:ind w:left="340"/>
              <w:spacing w:after="0" w:line="166" w:lineRule="exact"/>
              <w:rPr>
                <w:sz w:val="20"/>
                <w:szCs w:val="20"/>
                <w:color w:val="auto"/>
              </w:rPr>
            </w:pPr>
            <w:r>
              <w:rPr>
                <w:rFonts w:ascii="Arial" w:cs="Arial" w:eastAsia="Arial" w:hAnsi="Arial"/>
                <w:sz w:val="16"/>
                <w:szCs w:val="16"/>
                <w:color w:val="auto"/>
                <w:w w:val="98"/>
              </w:rPr>
              <w:t>Common stock, $0.001 par value; 100,000,000 shares authorized, 39,508,340 shares issued and</w:t>
            </w: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20" w:type="dxa"/>
            <w:vAlign w:val="bottom"/>
            <w:shd w:val="clear" w:color="auto" w:fill="CCEEFF"/>
          </w:tcPr>
          <w:p>
            <w:pPr>
              <w:ind w:left="340"/>
              <w:spacing w:after="0" w:line="162" w:lineRule="exact"/>
              <w:rPr>
                <w:sz w:val="20"/>
                <w:szCs w:val="20"/>
                <w:color w:val="auto"/>
              </w:rPr>
            </w:pPr>
            <w:r>
              <w:rPr>
                <w:rFonts w:ascii="Arial" w:cs="Arial" w:eastAsia="Arial" w:hAnsi="Arial"/>
                <w:sz w:val="16"/>
                <w:szCs w:val="16"/>
                <w:color w:val="auto"/>
                <w:w w:val="91"/>
              </w:rPr>
              <w:t>33,291,482 shares outstanding as of December 31, 2021 and 38,968,052 shares issued and 33,559,434</w:t>
            </w:r>
          </w:p>
        </w:tc>
        <w:tc>
          <w:tcPr>
            <w:tcW w:w="14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outstanding as of December 31, 2020</w:t>
            </w:r>
          </w:p>
        </w:tc>
        <w:tc>
          <w:tcPr>
            <w:tcW w:w="14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395,742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420,976</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641,379</w:t>
            </w:r>
          </w:p>
        </w:tc>
        <w:tc>
          <w:tcPr>
            <w:tcW w:w="0" w:type="dxa"/>
            <w:vAlign w:val="bottom"/>
          </w:tcPr>
          <w:p>
            <w:pPr>
              <w:spacing w:after="0"/>
              <w:rPr>
                <w:sz w:val="1"/>
                <w:szCs w:val="1"/>
                <w:color w:val="auto"/>
              </w:rPr>
            </w:pPr>
          </w:p>
        </w:tc>
      </w:tr>
      <w:tr>
        <w:trPr>
          <w:trHeight w:val="24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(89,474)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(74,984)</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including shares held in treasury</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1,062,445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987,410</w:t>
            </w:r>
          </w:p>
        </w:tc>
        <w:tc>
          <w:tcPr>
            <w:tcW w:w="0" w:type="dxa"/>
            <w:vAlign w:val="bottom"/>
          </w:tcPr>
          <w:p>
            <w:pPr>
              <w:spacing w:after="0"/>
              <w:rPr>
                <w:sz w:val="1"/>
                <w:szCs w:val="1"/>
                <w:color w:val="auto"/>
              </w:rPr>
            </w:pPr>
          </w:p>
        </w:tc>
      </w:tr>
      <w:tr>
        <w:trPr>
          <w:trHeight w:val="146"/>
        </w:trPr>
        <w:tc>
          <w:tcPr>
            <w:tcW w:w="7120" w:type="dxa"/>
            <w:vAlign w:val="bottom"/>
          </w:tcPr>
          <w:p>
            <w:pPr>
              <w:ind w:left="20"/>
              <w:spacing w:after="0" w:line="146" w:lineRule="exact"/>
              <w:rPr>
                <w:sz w:val="20"/>
                <w:szCs w:val="20"/>
                <w:color w:val="auto"/>
              </w:rPr>
            </w:pPr>
            <w:r>
              <w:rPr>
                <w:rFonts w:ascii="Arial" w:cs="Arial" w:eastAsia="Arial" w:hAnsi="Arial"/>
                <w:sz w:val="16"/>
                <w:szCs w:val="16"/>
                <w:color w:val="auto"/>
                <w:w w:val="94"/>
              </w:rPr>
              <w:t>Less: 6,216,858 shares as of December 31, 2021 and 5,408,618 shares as of December 31, 2020, held in</w:t>
            </w:r>
          </w:p>
        </w:tc>
        <w:tc>
          <w:tcPr>
            <w:tcW w:w="14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(369,289)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(268,238)</w:t>
            </w:r>
          </w:p>
        </w:tc>
        <w:tc>
          <w:tcPr>
            <w:tcW w:w="0" w:type="dxa"/>
            <w:vAlign w:val="bottom"/>
          </w:tcPr>
          <w:p>
            <w:pPr>
              <w:spacing w:after="0"/>
              <w:rPr>
                <w:sz w:val="1"/>
                <w:szCs w:val="1"/>
                <w:color w:val="auto"/>
              </w:rPr>
            </w:pPr>
          </w:p>
        </w:tc>
      </w:tr>
      <w:tr>
        <w:trPr>
          <w:trHeight w:val="212"/>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treasury, at cost</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693,156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719,172</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693,156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719,172</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1,282,904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1,247,857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20"/>
          </w:cols>
          <w:pgMar w:left="680" w:top="891" w:right="6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9"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growth on an organic constant currency basis.</w:t>
      </w:r>
    </w:p>
    <w:p>
      <w:pPr>
        <w:spacing w:after="0" w:line="293" w:lineRule="exact"/>
        <w:rPr>
          <w:sz w:val="20"/>
          <w:szCs w:val="20"/>
          <w:color w:val="auto"/>
        </w:rPr>
      </w:pPr>
    </w:p>
    <w:p>
      <w:pPr>
        <w:jc w:val="both"/>
        <w:ind w:firstLine="405"/>
        <w:spacing w:after="0" w:line="340" w:lineRule="auto"/>
        <w:rPr>
          <w:sz w:val="20"/>
          <w:szCs w:val="20"/>
          <w:color w:val="auto"/>
        </w:rPr>
      </w:pPr>
      <w:r>
        <w:rPr>
          <w:rFonts w:ascii="Arial" w:cs="Arial" w:eastAsia="Arial" w:hAnsi="Arial"/>
          <w:sz w:val="16"/>
          <w:szCs w:val="16"/>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193" w:lineRule="exact"/>
        <w:rPr>
          <w:sz w:val="20"/>
          <w:szCs w:val="20"/>
          <w:color w:val="auto"/>
        </w:rPr>
      </w:pPr>
    </w:p>
    <w:p>
      <w:pPr>
        <w:jc w:val="both"/>
        <w:ind w:firstLine="405"/>
        <w:spacing w:after="0" w:line="344" w:lineRule="auto"/>
        <w:rPr>
          <w:sz w:val="20"/>
          <w:szCs w:val="20"/>
          <w:color w:val="auto"/>
        </w:rPr>
      </w:pPr>
      <w:r>
        <w:rPr>
          <w:rFonts w:ascii="Arial" w:cs="Arial" w:eastAsia="Arial" w:hAnsi="Arial"/>
          <w:sz w:val="16"/>
          <w:szCs w:val="16"/>
          <w:color w:val="auto"/>
        </w:rPr>
        <w:t>EXL non-GAAP financial measures exclude, where applicable, stock-based compensation expense, amortization of acquisition-related intangible assets, impairment charges on acquired long-lived and intangible assets including goodwill, provision for litigation settlement, non-cash interest expense on convertible senior notes, gains or losses on settlement of convertible senior notes, restructuring charges, effects of termination of leases,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income tax impact of the above pre-tax items, as applicable. The income tax impact of each item is calculated by applying the statutory rate and local tax regulations in the jurisdiction in which the item was incurred.</w:t>
      </w:r>
    </w:p>
    <w:p>
      <w:pPr>
        <w:spacing w:after="0" w:line="193" w:lineRule="exact"/>
        <w:rPr>
          <w:sz w:val="20"/>
          <w:szCs w:val="20"/>
          <w:color w:val="auto"/>
        </w:rPr>
      </w:pPr>
    </w:p>
    <w:p>
      <w:pPr>
        <w:jc w:val="both"/>
        <w:ind w:firstLine="405"/>
        <w:spacing w:after="0" w:line="304" w:lineRule="auto"/>
        <w:rPr>
          <w:sz w:val="20"/>
          <w:szCs w:val="20"/>
          <w:color w:val="auto"/>
        </w:rPr>
      </w:pPr>
      <w:r>
        <w:rPr>
          <w:rFonts w:ascii="Arial" w:cs="Arial" w:eastAsia="Arial" w:hAnsi="Arial"/>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5" w:lineRule="exact"/>
        <w:rPr>
          <w:sz w:val="20"/>
          <w:szCs w:val="20"/>
          <w:color w:val="auto"/>
        </w:rPr>
      </w:pPr>
    </w:p>
    <w:p>
      <w:pPr>
        <w:jc w:val="both"/>
        <w:ind w:firstLine="405"/>
        <w:spacing w:after="0" w:line="349" w:lineRule="auto"/>
        <w:rPr>
          <w:sz w:val="20"/>
          <w:szCs w:val="20"/>
          <w:color w:val="auto"/>
        </w:rPr>
      </w:pPr>
      <w:r>
        <w:rPr>
          <w:rFonts w:ascii="Arial" w:cs="Arial" w:eastAsia="Arial" w:hAnsi="Arial"/>
          <w:sz w:val="16"/>
          <w:szCs w:val="16"/>
          <w:color w:val="auto"/>
        </w:rPr>
        <w:t>The information provided on an organic constant currency basis reflects a comparison of current period results translated at the prior period currency rates and exclude the impact from an acquisition for a twelve month period from the date of the acquisition.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73.74 during the quarter ended December 31, 2020 to 74.79 during the quarter ended December 31, 2021, representing an</w:t>
      </w:r>
    </w:p>
    <w:p>
      <w:pPr>
        <w:sectPr>
          <w:pgSz w:w="11900" w:h="16838" w:orient="portrait"/>
          <w:cols w:equalWidth="0" w:num="1">
            <w:col w:w="11240"/>
          </w:cols>
          <w:pgMar w:left="320" w:top="1309" w:right="339" w:bottom="1440" w:gutter="0" w:footer="0" w:header="0"/>
        </w:sectPr>
      </w:pPr>
    </w:p>
    <w:bookmarkStart w:id="12" w:name="page13"/>
    <w:bookmarkEnd w:id="12"/>
    <w:p>
      <w:pPr>
        <w:jc w:val="both"/>
        <w:spacing w:after="0" w:line="306" w:lineRule="auto"/>
        <w:rPr>
          <w:sz w:val="20"/>
          <w:szCs w:val="20"/>
          <w:color w:val="auto"/>
        </w:rPr>
      </w:pPr>
      <w:r>
        <w:rPr>
          <w:rFonts w:ascii="Arial" w:cs="Arial" w:eastAsia="Arial" w:hAnsi="Arial"/>
          <w:sz w:val="18"/>
          <w:szCs w:val="18"/>
          <w:color w:val="auto"/>
        </w:rPr>
        <w:t>appreciation of 1.4%. The average exchange rate of the U.S. Dollar against the Philippine Peso increased from 48.16 during the quarter ended December 31, 2020 to 50.60 during the quarter ended December 31, 2021, representing an appreciation of 5.1%. The average exchange rate of the British Pound against the U.S. Dollar increased from 1.33 during the quarter ended December 31, 2020 to 1.35 during the quarter ended December 31, 2021, representing a depreciation of 1.4%.</w:t>
      </w:r>
    </w:p>
    <w:p>
      <w:pPr>
        <w:spacing w:after="0" w:line="213"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year ended December 31, 2021 and 2020, the three months ended December 31, 2021 and 2020 and the three months ended September 30,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8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4"/>
              </w:rPr>
              <w:t>Three months ended</w:t>
            </w:r>
          </w:p>
        </w:tc>
        <w:tc>
          <w:tcPr>
            <w:tcW w:w="12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114,758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89,476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28,299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32,218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26,507</w:t>
            </w: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add: Income tax expense</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31,850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25,626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9,831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7,209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4,196</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 Loss on settlement of convertible notes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12,845</w:t>
            </w:r>
          </w:p>
        </w:tc>
        <w:tc>
          <w:tcPr>
            <w:tcW w:w="0" w:type="dxa"/>
            <w:vAlign w:val="bottom"/>
          </w:tcPr>
          <w:p>
            <w:pPr>
              <w:spacing w:after="0"/>
              <w:rPr>
                <w:sz w:val="1"/>
                <w:szCs w:val="1"/>
                <w:color w:val="auto"/>
              </w:rPr>
            </w:pPr>
          </w:p>
        </w:tc>
      </w:tr>
      <w:tr>
        <w:trPr>
          <w:trHeight w:val="166"/>
        </w:trPr>
        <w:tc>
          <w:tcPr>
            <w:tcW w:w="4400" w:type="dxa"/>
            <w:vAlign w:val="bottom"/>
          </w:tcPr>
          <w:p>
            <w:pPr>
              <w:ind w:left="360"/>
              <w:spacing w:after="0" w:line="166" w:lineRule="exact"/>
              <w:rPr>
                <w:sz w:val="20"/>
                <w:szCs w:val="20"/>
                <w:color w:val="auto"/>
              </w:rPr>
            </w:pPr>
            <w:r>
              <w:rPr>
                <w:rFonts w:ascii="Arial" w:cs="Arial" w:eastAsia="Arial" w:hAnsi="Arial"/>
                <w:sz w:val="16"/>
                <w:szCs w:val="16"/>
                <w:color w:val="auto"/>
                <w:w w:val="93"/>
              </w:rPr>
              <w:t>subtract: Foreign exchange gain, interest expense, effects of</w:t>
            </w:r>
          </w:p>
        </w:tc>
        <w:tc>
          <w:tcPr>
            <w:tcW w:w="300" w:type="dxa"/>
            <w:vAlign w:val="bottom"/>
          </w:tcPr>
          <w:p>
            <w:pPr>
              <w:spacing w:after="0"/>
              <w:rPr>
                <w:sz w:val="14"/>
                <w:szCs w:val="14"/>
                <w:color w:val="auto"/>
              </w:rPr>
            </w:pPr>
          </w:p>
        </w:tc>
        <w:tc>
          <w:tcPr>
            <w:tcW w:w="960" w:type="dxa"/>
            <w:vAlign w:val="bottom"/>
            <w:vMerge w:val="restart"/>
          </w:tcPr>
          <w:p>
            <w:pPr>
              <w:jc w:val="right"/>
              <w:ind w:right="79"/>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color w:val="auto"/>
              </w:rPr>
              <w:t>(5,080)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99"/>
              <w:spacing w:after="0"/>
              <w:rPr>
                <w:sz w:val="20"/>
                <w:szCs w:val="20"/>
                <w:color w:val="auto"/>
              </w:rPr>
            </w:pPr>
            <w:r>
              <w:rPr>
                <w:rFonts w:ascii="Arial" w:cs="Arial" w:eastAsia="Arial" w:hAnsi="Arial"/>
                <w:sz w:val="16"/>
                <w:szCs w:val="16"/>
                <w:color w:val="auto"/>
              </w:rPr>
              <w:t>(2,072)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restart"/>
          </w:tcPr>
          <w:p>
            <w:pPr>
              <w:jc w:val="right"/>
              <w:ind w:right="79"/>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125"/>
        </w:trPr>
        <w:tc>
          <w:tcPr>
            <w:tcW w:w="4400" w:type="dxa"/>
            <w:vAlign w:val="bottom"/>
            <w:vMerge w:val="restart"/>
          </w:tcPr>
          <w:p>
            <w:pPr>
              <w:ind w:left="360"/>
              <w:spacing w:after="0"/>
              <w:rPr>
                <w:sz w:val="20"/>
                <w:szCs w:val="20"/>
                <w:color w:val="auto"/>
              </w:rPr>
            </w:pPr>
            <w:r>
              <w:rPr>
                <w:rFonts w:ascii="Arial" w:cs="Arial" w:eastAsia="Arial" w:hAnsi="Arial"/>
                <w:sz w:val="16"/>
                <w:szCs w:val="16"/>
                <w:color w:val="auto"/>
              </w:rPr>
              <w:t>equity-method investment and other income, net</w:t>
            </w:r>
          </w:p>
        </w:tc>
        <w:tc>
          <w:tcPr>
            <w:tcW w:w="3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400" w:type="dxa"/>
            <w:vAlign w:val="bottom"/>
            <w:tcBorders>
              <w:bottom w:val="single" w:sz="8" w:color="CCEEFF"/>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155,881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110,022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36,058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38,263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42,438</w:t>
            </w: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add: Stock-based compensation expense</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38,621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28,235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9,825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7,385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10,894</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 Amortization of acquisition-related intangibles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14,412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2,998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add: Other expenses (a)</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1,312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208,592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152,669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50,193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49,063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56,354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i w:val="1"/>
                <w:iCs w:val="1"/>
                <w:color w:val="auto"/>
              </w:rPr>
              <w:t>Adjusted operating income margin as a % of Revenues (Non-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18.6 %</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15.9 %</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17.0 %</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19.7 %</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19.4 %</w:t>
            </w: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rPr>
                <w:sz w:val="20"/>
                <w:szCs w:val="20"/>
                <w:color w:val="auto"/>
              </w:rPr>
            </w:pPr>
            <w:r>
              <w:rPr>
                <w:rFonts w:ascii="Arial" w:cs="Arial" w:eastAsia="Arial" w:hAnsi="Arial"/>
                <w:sz w:val="16"/>
                <w:szCs w:val="16"/>
                <w:i w:val="1"/>
                <w:iCs w:val="1"/>
                <w:color w:val="auto"/>
              </w:rPr>
              <w:t>GAAP)</w:t>
            </w: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 Depreciation on long-lived assets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36,354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36,050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9,418</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9,767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9,283</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244,946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188,719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59,611</w:t>
            </w:r>
          </w:p>
        </w:tc>
        <w:tc>
          <w:tcPr>
            <w:tcW w:w="8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58,830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65,637</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21.8 %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19.7 %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20.2 %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23.6 %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To exclude acquisition-related expenses of $761 for Clairvoyant's acquisition and $551 on account of effects of lease termination.</w:t>
      </w:r>
    </w:p>
    <w:p>
      <w:pPr>
        <w:sectPr>
          <w:pgSz w:w="11900" w:h="16838" w:orient="portrait"/>
          <w:cols w:equalWidth="0" w:num="1">
            <w:col w:w="11240"/>
          </w:cols>
          <w:pgMar w:left="320" w:top="92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7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1"/>
              </w:rPr>
              <w:t>Three months ended</w:t>
            </w:r>
          </w:p>
        </w:tc>
        <w:tc>
          <w:tcPr>
            <w:tcW w:w="11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ind w:left="4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5"/>
              </w:rPr>
              <w:t>2020</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114,758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89,476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28,299</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26,507</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add: Stock-based compensation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38,621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28,235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10,894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Amortization of acquisition-related intangibles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179"/>
        </w:trPr>
        <w:tc>
          <w:tcPr>
            <w:tcW w:w="5020" w:type="dxa"/>
            <w:vAlign w:val="bottom"/>
          </w:tcPr>
          <w:p>
            <w:pPr>
              <w:ind w:left="20"/>
              <w:spacing w:after="0" w:line="179" w:lineRule="exact"/>
              <w:rPr>
                <w:sz w:val="20"/>
                <w:szCs w:val="20"/>
                <w:color w:val="auto"/>
              </w:rPr>
            </w:pPr>
            <w:r>
              <w:rPr>
                <w:rFonts w:ascii="Arial" w:cs="Arial" w:eastAsia="Arial" w:hAnsi="Arial"/>
                <w:sz w:val="16"/>
                <w:szCs w:val="16"/>
                <w:color w:val="auto"/>
                <w:w w:val="92"/>
              </w:rPr>
              <w:t>add: Non-cash interest expense and loss on settlement of convertible senior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6"/>
                <w:szCs w:val="16"/>
                <w:color w:val="auto"/>
              </w:rPr>
              <w:t>notes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13,276</w:t>
            </w:r>
          </w:p>
        </w:tc>
        <w:tc>
          <w:tcPr>
            <w:tcW w:w="0" w:type="dxa"/>
            <w:vAlign w:val="bottom"/>
          </w:tcPr>
          <w:p>
            <w:pPr>
              <w:spacing w:after="0"/>
              <w:rPr>
                <w:sz w:val="1"/>
                <w:szCs w:val="1"/>
                <w:color w:val="auto"/>
              </w:rPr>
            </w:pPr>
          </w:p>
        </w:tc>
      </w:tr>
      <w:tr>
        <w:trPr>
          <w:trHeight w:val="23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add/(subtract): Other expenses/(benefits) (a)</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subtract: Tax impact on stock-based compensation expense (b)</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(2,697)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line="166" w:lineRule="exact"/>
              <w:rPr>
                <w:sz w:val="20"/>
                <w:szCs w:val="20"/>
                <w:color w:val="auto"/>
              </w:rPr>
            </w:pPr>
            <w:r>
              <w:rPr>
                <w:rFonts w:ascii="Arial" w:cs="Arial" w:eastAsia="Arial" w:hAnsi="Arial"/>
                <w:sz w:val="16"/>
                <w:szCs w:val="16"/>
                <w:color w:val="auto"/>
                <w:w w:val="95"/>
              </w:rPr>
              <w:t>subtract: Tax impact on non-cash interest expense and loss on settlement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(3,633)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6"/>
                <w:szCs w:val="16"/>
                <w:color w:val="auto"/>
              </w:rPr>
              <w:t>of convertible senior notes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add/(subtract): Tax impact on other expenses/(benefits)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add/(subtract): Other tax expenses/(benefits) (c)</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(Non-GAAP)</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165,569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121,948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41,170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44,706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Adjusted diluted earnings per share (Non-GAAP)</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2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4.83</w:t>
            </w:r>
          </w:p>
        </w:tc>
        <w:tc>
          <w:tcPr>
            <w:tcW w:w="80" w:type="dxa"/>
            <w:vAlign w:val="bottom"/>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3.53</w:t>
            </w:r>
          </w:p>
        </w:tc>
        <w:tc>
          <w:tcPr>
            <w:tcW w:w="8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1.21</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500" w:right="280" w:hanging="249"/>
        <w:spacing w:after="0" w:line="275" w:lineRule="auto"/>
        <w:tabs>
          <w:tab w:leader="none" w:pos="486"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acquisition-related expenses of $761 for Clairvoyant's acquisition and $551 on account of effects of lease termination in 2021, and to exclude benefits related to wind down of the Health Integrated business in 2020.</w:t>
      </w:r>
    </w:p>
    <w:p>
      <w:pPr>
        <w:spacing w:after="0" w:line="64" w:lineRule="exact"/>
        <w:rPr>
          <w:rFonts w:ascii="Arial" w:cs="Arial" w:eastAsia="Arial" w:hAnsi="Arial"/>
          <w:sz w:val="16"/>
          <w:szCs w:val="16"/>
          <w:i w:val="1"/>
          <w:iCs w:val="1"/>
          <w:color w:val="auto"/>
        </w:rPr>
      </w:pPr>
    </w:p>
    <w:p>
      <w:pPr>
        <w:jc w:val="both"/>
        <w:ind w:left="500" w:hanging="249"/>
        <w:spacing w:after="0" w:line="261" w:lineRule="auto"/>
        <w:tabs>
          <w:tab w:leader="none" w:pos="486"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Tax impact includes $3,651 and $2,378 for the year ended December 31, 2021 and 2020 respectively, $2,095 and $504 during the three months ended December 31, 2021 and 2020 respectively, and $528 during the three months ended September 30, 2021 related to discrete benefit recognized in income tax expense on adoption of ASU No. 2016-09, Compensation - Stock Compensation.</w:t>
      </w:r>
    </w:p>
    <w:p>
      <w:pPr>
        <w:spacing w:after="0" w:line="74" w:lineRule="exact"/>
        <w:rPr>
          <w:rFonts w:ascii="Arial" w:cs="Arial" w:eastAsia="Arial" w:hAnsi="Arial"/>
          <w:sz w:val="16"/>
          <w:szCs w:val="16"/>
          <w:i w:val="1"/>
          <w:iCs w:val="1"/>
          <w:color w:val="auto"/>
        </w:rPr>
      </w:pPr>
    </w:p>
    <w:p>
      <w:pPr>
        <w:ind w:left="480" w:hanging="229"/>
        <w:spacing w:after="0"/>
        <w:tabs>
          <w:tab w:leader="none" w:pos="48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other tax expense/(benefits) related to certain deferred tax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880" w:firstLine="8"/>
        <w:spacing w:after="0" w:line="323" w:lineRule="auto"/>
        <w:tabs>
          <w:tab w:leader="none" w:pos="4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596-7684 </w:t>
      </w:r>
      <w:r>
        <w:rPr>
          <w:rFonts w:ascii="Arial" w:cs="Arial" w:eastAsia="Arial" w:hAnsi="Arial"/>
          <w:sz w:val="16"/>
          <w:szCs w:val="16"/>
          <w:u w:val="single" w:color="auto"/>
          <w:color w:val="0000FF"/>
        </w:rPr>
        <w:t>ir@exlservice.com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646-419-0778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michael.sherrill@exlservice.com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Europe, India and APAC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Shailendra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+91-98104-76075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shailendra.singh@exlservice.com</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2022-02-24T05:23:03Z</dcterms:created>
  <dcterms:modified xsi:type="dcterms:W3CDTF">2022-02-24T05:23:03Z</dcterms:modified>
</cp:coreProperties>
</file>