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-629285</wp:posOffset>
            </wp:positionV>
            <wp:extent cx="58420" cy="642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2620"/>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-629285</wp:posOffset>
            </wp:positionV>
            <wp:extent cx="58420" cy="642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262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15875</wp:posOffset>
            </wp:positionV>
            <wp:extent cx="7045960" cy="46240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624070"/>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Minto Anne Elizabeth</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24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06/17/2021</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5" w:right="620" w:firstLine="5"/>
        <w:spacing w:after="0" w:line="239"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5"/>
        <w:spacing w:after="0"/>
        <w:tabs>
          <w:tab w:leader="none" w:pos="515" w:val="left"/>
          <w:tab w:leader="none" w:pos="2075"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6"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35"/>
        <w:spacing w:after="0"/>
        <w:tabs>
          <w:tab w:leader="none" w:pos="207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0" w:lineRule="exact"/>
        <w:rPr>
          <w:sz w:val="24"/>
          <w:szCs w:val="24"/>
          <w:color w:val="auto"/>
        </w:rPr>
      </w:pPr>
    </w:p>
    <w:p>
      <w:pPr>
        <w:sectPr>
          <w:pgSz w:w="11900" w:h="16838" w:orient="portrait"/>
          <w:cols w:equalWidth="0" w:num="3">
            <w:col w:w="3180" w:space="720"/>
            <w:col w:w="3105" w:space="720"/>
            <w:col w:w="3355"/>
          </w:cols>
          <w:pgMar w:left="460" w:top="222" w:right="359" w:bottom="1440" w:gutter="0" w:footer="0" w:header="0"/>
          <w:type w:val="continuous"/>
        </w:sectPr>
      </w:pPr>
    </w:p>
    <w:p>
      <w:pPr>
        <w:spacing w:after="0" w:line="241"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2"/>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00" w:type="dxa"/>
            <w:vAlign w:val="bottom"/>
          </w:tcPr>
          <w:p>
            <w:pPr>
              <w:ind w:left="420"/>
              <w:spacing w:after="0"/>
              <w:rPr>
                <w:sz w:val="20"/>
                <w:szCs w:val="20"/>
                <w:color w:val="auto"/>
              </w:rPr>
            </w:pPr>
            <w:r>
              <w:rPr>
                <w:rFonts w:ascii="Arial" w:cs="Arial" w:eastAsia="Arial" w:hAnsi="Arial"/>
                <w:sz w:val="17"/>
                <w:szCs w:val="17"/>
                <w:color w:val="0000FF"/>
              </w:rPr>
              <w:t>10022</w:t>
            </w:r>
          </w:p>
        </w:tc>
      </w:tr>
      <w:tr>
        <w:trPr>
          <w:trHeight w:val="150"/>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7"/>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9"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78" w:lineRule="exact"/>
        <w:rPr>
          <w:sz w:val="24"/>
          <w:szCs w:val="24"/>
          <w:color w:val="auto"/>
        </w:rPr>
      </w:pPr>
    </w:p>
    <w:p>
      <w:pPr>
        <w:sectPr>
          <w:pgSz w:w="11900" w:h="16838" w:orient="portrait"/>
          <w:cols w:equalWidth="0" w:num="2">
            <w:col w:w="3740" w:space="16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00" w:type="dxa"/>
            <w:vAlign w:val="bottom"/>
          </w:tcPr>
          <w:p>
            <w:pPr>
              <w:ind w:left="780"/>
              <w:spacing w:after="0" w:line="127"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5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jc w:val="right"/>
              <w:ind w:right="223"/>
              <w:spacing w:after="0"/>
              <w:rPr>
                <w:sz w:val="20"/>
                <w:szCs w:val="20"/>
                <w:color w:val="auto"/>
              </w:rPr>
            </w:pPr>
            <w:r>
              <w:rPr>
                <w:rFonts w:ascii="Arial" w:cs="Arial" w:eastAsia="Arial" w:hAnsi="Arial"/>
                <w:sz w:val="11"/>
                <w:szCs w:val="11"/>
                <w:color w:val="008000"/>
              </w:rPr>
              <w:t>(2)</w:t>
            </w:r>
          </w:p>
        </w:tc>
        <w:tc>
          <w:tcPr>
            <w:tcW w:w="720" w:type="dxa"/>
            <w:vAlign w:val="bottom"/>
          </w:tcPr>
          <w:p>
            <w:pPr>
              <w:ind w:left="80"/>
              <w:spacing w:after="0"/>
              <w:rPr>
                <w:sz w:val="20"/>
                <w:szCs w:val="20"/>
                <w:color w:val="auto"/>
              </w:rPr>
            </w:pPr>
            <w:r>
              <w:rPr>
                <w:rFonts w:ascii="Arial" w:cs="Arial" w:eastAsia="Arial" w:hAnsi="Arial"/>
                <w:sz w:val="13"/>
                <w:szCs w:val="13"/>
                <w:color w:val="0000FF"/>
              </w:rPr>
              <w:t>Restricted</w:t>
            </w:r>
          </w:p>
        </w:tc>
        <w:tc>
          <w:tcPr>
            <w:tcW w:w="540" w:type="dxa"/>
            <w:vAlign w:val="bottom"/>
            <w:vMerge w:val="restart"/>
          </w:tcPr>
          <w:p>
            <w:pPr>
              <w:ind w:left="60"/>
              <w:spacing w:after="0"/>
              <w:rPr>
                <w:sz w:val="20"/>
                <w:szCs w:val="20"/>
                <w:color w:val="auto"/>
              </w:rPr>
            </w:pPr>
            <w:r>
              <w:rPr>
                <w:rFonts w:ascii="Arial" w:cs="Arial" w:eastAsia="Arial" w:hAnsi="Arial"/>
                <w:sz w:val="17"/>
                <w:szCs w:val="17"/>
                <w:color w:val="0000FF"/>
              </w:rPr>
              <w:t>1,420</w:t>
            </w:r>
          </w:p>
        </w:tc>
        <w:tc>
          <w:tcPr>
            <w:tcW w:w="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68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2"/>
                <w:szCs w:val="12"/>
                <w:color w:val="auto"/>
              </w:rPr>
            </w:pPr>
          </w:p>
        </w:tc>
        <w:tc>
          <w:tcPr>
            <w:tcW w:w="1080" w:type="dxa"/>
            <w:vAlign w:val="bottom"/>
          </w:tcPr>
          <w:p>
            <w:pPr>
              <w:jc w:val="right"/>
              <w:ind w:right="180"/>
              <w:spacing w:after="0" w:line="143" w:lineRule="exact"/>
              <w:rPr>
                <w:sz w:val="20"/>
                <w:szCs w:val="20"/>
                <w:color w:val="auto"/>
              </w:rPr>
            </w:pPr>
            <w:r>
              <w:rPr>
                <w:rFonts w:ascii="Arial" w:cs="Arial" w:eastAsia="Arial" w:hAnsi="Arial"/>
                <w:sz w:val="13"/>
                <w:szCs w:val="13"/>
                <w:color w:val="0000FF"/>
              </w:rPr>
              <w:t>06/17/2021</w:t>
            </w:r>
          </w:p>
        </w:tc>
        <w:tc>
          <w:tcPr>
            <w:tcW w:w="108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Arial" w:cs="Arial" w:eastAsia="Arial" w:hAnsi="Arial"/>
                <w:sz w:val="13"/>
                <w:szCs w:val="13"/>
                <w:color w:val="0000FF"/>
              </w:rPr>
              <w:t>A</w:t>
            </w:r>
          </w:p>
        </w:tc>
        <w:tc>
          <w:tcPr>
            <w:tcW w:w="480" w:type="dxa"/>
            <w:vAlign w:val="bottom"/>
          </w:tcPr>
          <w:p>
            <w:pPr>
              <w:ind w:left="100"/>
              <w:spacing w:after="0" w:line="143" w:lineRule="exact"/>
              <w:rPr>
                <w:sz w:val="20"/>
                <w:szCs w:val="20"/>
                <w:color w:val="auto"/>
              </w:rPr>
            </w:pPr>
            <w:r>
              <w:rPr>
                <w:rFonts w:ascii="Arial" w:cs="Arial" w:eastAsia="Arial" w:hAnsi="Arial"/>
                <w:sz w:val="13"/>
                <w:szCs w:val="13"/>
                <w:color w:val="0000FF"/>
              </w:rPr>
              <w:t>1,420</w:t>
            </w:r>
          </w:p>
        </w:tc>
        <w:tc>
          <w:tcPr>
            <w:tcW w:w="2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20" w:type="dxa"/>
            <w:vAlign w:val="bottom"/>
          </w:tcPr>
          <w:p>
            <w:pPr>
              <w:ind w:left="200"/>
              <w:spacing w:after="0" w:line="143" w:lineRule="exact"/>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12"/>
                <w:szCs w:val="12"/>
                <w:color w:val="auto"/>
              </w:rPr>
            </w:pPr>
          </w:p>
        </w:tc>
        <w:tc>
          <w:tcPr>
            <w:tcW w:w="70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20" w:type="dxa"/>
            <w:vAlign w:val="bottom"/>
          </w:tcPr>
          <w:p>
            <w:pPr>
              <w:ind w:left="280"/>
              <w:spacing w:after="0" w:line="143" w:lineRule="exact"/>
              <w:rPr>
                <w:sz w:val="20"/>
                <w:szCs w:val="20"/>
                <w:color w:val="auto"/>
              </w:rPr>
            </w:pPr>
            <w:r>
              <w:rPr>
                <w:rFonts w:ascii="Arial" w:cs="Arial" w:eastAsia="Arial" w:hAnsi="Arial"/>
                <w:sz w:val="13"/>
                <w:szCs w:val="13"/>
                <w:color w:val="0000FF"/>
              </w:rPr>
              <w:t>22,857</w:t>
            </w:r>
          </w:p>
        </w:tc>
        <w:tc>
          <w:tcPr>
            <w:tcW w:w="740" w:type="dxa"/>
            <w:vAlign w:val="bottom"/>
          </w:tcPr>
          <w:p>
            <w:pPr>
              <w:ind w:left="340"/>
              <w:spacing w:after="0" w:line="143"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ind w:left="200"/>
              <w:spacing w:after="0"/>
              <w:rPr>
                <w:sz w:val="20"/>
                <w:szCs w:val="20"/>
                <w:color w:val="auto"/>
              </w:rPr>
            </w:pPr>
            <w:r>
              <w:rPr>
                <w:rFonts w:ascii="Arial" w:cs="Arial" w:eastAsia="Arial" w:hAnsi="Arial"/>
                <w:sz w:val="13"/>
                <w:szCs w:val="13"/>
                <w:color w:val="0000FF"/>
              </w:rPr>
              <w:t>Units</w:t>
            </w: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the Company's common stock upon settlement.</w:t>
      </w:r>
    </w:p>
    <w:p>
      <w:pPr>
        <w:spacing w:after="0" w:line="44" w:lineRule="exact"/>
        <w:rPr>
          <w:rFonts w:ascii="Arial" w:cs="Arial" w:eastAsia="Arial" w:hAnsi="Arial"/>
          <w:sz w:val="13"/>
          <w:szCs w:val="13"/>
          <w:color w:val="008000"/>
        </w:rPr>
      </w:pPr>
    </w:p>
    <w:p>
      <w:pPr>
        <w:ind w:left="40" w:right="240" w:firstLine="3"/>
        <w:spacing w:after="0" w:line="235"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units vest upon the earlier of (i) the first anniversary of the date of grant, (ii) the date on which the reporting person's term as a member of the Board of Directors of ExlService Holdings, Inc. (the "Board") expires if the reporting person is not subsequently elected to a new term on the Board, and (iii) the occurrence of a "Change in Control", as defined in the ExlService Holdings, Inc. 2018 Omnibus Incentive Plan (the "Plan"), and such awards settle upon the earlier of (i) the reporting person's death, (ii) the occurrence of a "Change of Control", as defined in the Plan and (iii) the date that is 180 days following the date on which the reporting person ceases to serve as a member of the Board for any reason other than due to such reporting person's death or, if later, the date of the reporting person's separation from service.</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9"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ind w:left="660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3"/>
          <w:szCs w:val="33"/>
          <w:color w:val="0000FF"/>
          <w:vertAlign w:val="subscript"/>
        </w:rPr>
        <w:t>06/21/2021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182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1826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841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415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870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7045" cy="8255"/>
                    </a:xfrm>
                    <a:prstGeom prst="rect">
                      <a:avLst/>
                    </a:prstGeom>
                    <a:noFill/>
                  </pic:spPr>
                </pic:pic>
              </a:graphicData>
            </a:graphic>
          </wp:anchor>
        </w:drawing>
      </w:r>
    </w:p>
    <w:p>
      <w:pPr>
        <w:spacing w:after="0" w:line="3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3"/>
        <w:spacing w:after="0" w:line="336"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72473"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2021-06-21T16:33:17Z</dcterms:created>
  <dcterms:modified xsi:type="dcterms:W3CDTF">2021-06-21T16:33:17Z</dcterms:modified>
</cp:coreProperties>
</file>