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388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780"/>
          </w:cols>
          <w:pgMar w:left="240" w:top="226" w:right="259" w:bottom="148"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08/02/2011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409" w:lineRule="exact"/>
        <w:rPr>
          <w:sz w:val="24"/>
          <w:szCs w:val="24"/>
          <w:color w:val="auto"/>
        </w:rPr>
      </w:pPr>
    </w:p>
    <w:p>
      <w:pPr>
        <w:sectPr>
          <w:pgSz w:w="11900" w:h="16838" w:orient="portrait"/>
          <w:cols w:equalWidth="0" w:num="3">
            <w:col w:w="3360" w:space="720"/>
            <w:col w:w="3257" w:space="720"/>
            <w:col w:w="3343"/>
          </w:cols>
          <w:pgMar w:left="240" w:top="226" w:right="259" w:bottom="148"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20"/>
          </w:cols>
          <w:pgMar w:left="240" w:top="226" w:right="259" w:bottom="148"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9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13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3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9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9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9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9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9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960" w:type="dxa"/>
            <w:vAlign w:val="bottom"/>
          </w:tcPr>
          <w:p>
            <w:pPr>
              <w:ind w:left="60"/>
              <w:spacing w:after="0"/>
              <w:rPr>
                <w:sz w:val="20"/>
                <w:szCs w:val="20"/>
                <w:color w:val="auto"/>
              </w:rPr>
            </w:pPr>
            <w:r>
              <w:rPr>
                <w:rFonts w:ascii="Arial" w:cs="Arial" w:eastAsia="Arial" w:hAnsi="Arial"/>
                <w:sz w:val="18"/>
                <w:szCs w:val="18"/>
                <w:color w:val="0000FF"/>
                <w:w w:val="96"/>
              </w:rPr>
              <w:t>Common Stock, par value $0.001 per</w:t>
            </w:r>
          </w:p>
        </w:tc>
        <w:tc>
          <w:tcPr>
            <w:tcW w:w="1320" w:type="dxa"/>
            <w:vAlign w:val="bottom"/>
            <w:vMerge w:val="restart"/>
          </w:tcPr>
          <w:p>
            <w:pPr>
              <w:jc w:val="right"/>
              <w:ind w:right="88"/>
              <w:spacing w:after="0"/>
              <w:rPr>
                <w:sz w:val="20"/>
                <w:szCs w:val="20"/>
                <w:color w:val="auto"/>
              </w:rPr>
            </w:pPr>
            <w:r>
              <w:rPr>
                <w:rFonts w:ascii="Arial" w:cs="Arial" w:eastAsia="Arial" w:hAnsi="Arial"/>
                <w:sz w:val="18"/>
                <w:szCs w:val="18"/>
                <w:color w:val="0000FF"/>
              </w:rPr>
              <w:t>08/02/2011</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right"/>
              <w:ind w:right="48"/>
              <w:spacing w:after="0"/>
              <w:rPr>
                <w:sz w:val="20"/>
                <w:szCs w:val="20"/>
                <w:color w:val="auto"/>
              </w:rPr>
            </w:pPr>
            <w:r>
              <w:rPr>
                <w:rFonts w:ascii="Arial" w:cs="Arial" w:eastAsia="Arial" w:hAnsi="Arial"/>
                <w:sz w:val="18"/>
                <w:szCs w:val="18"/>
                <w:color w:val="0000FF"/>
              </w:rPr>
              <w:t>23,852</w:t>
            </w:r>
          </w:p>
        </w:tc>
        <w:tc>
          <w:tcPr>
            <w:tcW w:w="540" w:type="dxa"/>
            <w:vAlign w:val="bottom"/>
            <w:vMerge w:val="restart"/>
          </w:tcPr>
          <w:p>
            <w:pPr>
              <w:ind w:left="240"/>
              <w:spacing w:after="0"/>
              <w:rPr>
                <w:sz w:val="20"/>
                <w:szCs w:val="20"/>
                <w:color w:val="auto"/>
              </w:rPr>
            </w:pPr>
            <w:r>
              <w:rPr>
                <w:rFonts w:ascii="Arial" w:cs="Arial" w:eastAsia="Arial" w:hAnsi="Arial"/>
                <w:sz w:val="18"/>
                <w:szCs w:val="18"/>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25.037</w:t>
            </w:r>
            <w:r>
              <w:rPr>
                <w:rFonts w:ascii="Arial" w:cs="Arial" w:eastAsia="Arial" w:hAnsi="Arial"/>
                <w:sz w:val="22"/>
                <w:szCs w:val="22"/>
                <w:color w:val="008000"/>
                <w:w w:val="91"/>
                <w:vertAlign w:val="superscript"/>
              </w:rPr>
              <w:t>(2)</w:t>
            </w:r>
          </w:p>
        </w:tc>
        <w:tc>
          <w:tcPr>
            <w:tcW w:w="1160" w:type="dxa"/>
            <w:vAlign w:val="bottom"/>
            <w:vMerge w:val="restart"/>
          </w:tcPr>
          <w:p>
            <w:pPr>
              <w:ind w:left="240"/>
              <w:spacing w:after="0"/>
              <w:rPr>
                <w:sz w:val="20"/>
                <w:szCs w:val="20"/>
                <w:color w:val="auto"/>
              </w:rPr>
            </w:pPr>
            <w:r>
              <w:rPr>
                <w:rFonts w:ascii="Arial" w:cs="Arial" w:eastAsia="Arial" w:hAnsi="Arial"/>
                <w:sz w:val="18"/>
                <w:szCs w:val="18"/>
                <w:color w:val="0000FF"/>
              </w:rPr>
              <w:t>1,443,199</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96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13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96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9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960" w:type="dxa"/>
            <w:vAlign w:val="bottom"/>
          </w:tcPr>
          <w:p>
            <w:pPr>
              <w:ind w:left="60"/>
              <w:spacing w:after="0"/>
              <w:rPr>
                <w:sz w:val="20"/>
                <w:szCs w:val="20"/>
                <w:color w:val="auto"/>
              </w:rPr>
            </w:pPr>
            <w:r>
              <w:rPr>
                <w:rFonts w:ascii="Arial" w:cs="Arial" w:eastAsia="Arial" w:hAnsi="Arial"/>
                <w:sz w:val="18"/>
                <w:szCs w:val="18"/>
                <w:color w:val="0000FF"/>
                <w:w w:val="96"/>
              </w:rPr>
              <w:t>Common Stock, par value $0.001 per</w:t>
            </w:r>
          </w:p>
        </w:tc>
        <w:tc>
          <w:tcPr>
            <w:tcW w:w="1320" w:type="dxa"/>
            <w:vAlign w:val="bottom"/>
            <w:vMerge w:val="restart"/>
          </w:tcPr>
          <w:p>
            <w:pPr>
              <w:jc w:val="right"/>
              <w:ind w:right="88"/>
              <w:spacing w:after="0"/>
              <w:rPr>
                <w:sz w:val="20"/>
                <w:szCs w:val="20"/>
                <w:color w:val="auto"/>
              </w:rPr>
            </w:pPr>
            <w:r>
              <w:rPr>
                <w:rFonts w:ascii="Arial" w:cs="Arial" w:eastAsia="Arial" w:hAnsi="Arial"/>
                <w:sz w:val="18"/>
                <w:szCs w:val="18"/>
                <w:color w:val="0000FF"/>
              </w:rPr>
              <w:t>08/03/2011</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right"/>
              <w:ind w:right="48"/>
              <w:spacing w:after="0"/>
              <w:rPr>
                <w:sz w:val="20"/>
                <w:szCs w:val="20"/>
                <w:color w:val="auto"/>
              </w:rPr>
            </w:pPr>
            <w:r>
              <w:rPr>
                <w:rFonts w:ascii="Arial" w:cs="Arial" w:eastAsia="Arial" w:hAnsi="Arial"/>
                <w:sz w:val="18"/>
                <w:szCs w:val="18"/>
                <w:color w:val="0000FF"/>
              </w:rPr>
              <w:t>13,648</w:t>
            </w:r>
          </w:p>
        </w:tc>
        <w:tc>
          <w:tcPr>
            <w:tcW w:w="540" w:type="dxa"/>
            <w:vAlign w:val="bottom"/>
            <w:vMerge w:val="restart"/>
          </w:tcPr>
          <w:p>
            <w:pPr>
              <w:ind w:left="240"/>
              <w:spacing w:after="0"/>
              <w:rPr>
                <w:sz w:val="20"/>
                <w:szCs w:val="20"/>
                <w:color w:val="auto"/>
              </w:rPr>
            </w:pPr>
            <w:r>
              <w:rPr>
                <w:rFonts w:ascii="Arial" w:cs="Arial" w:eastAsia="Arial" w:hAnsi="Arial"/>
                <w:sz w:val="18"/>
                <w:szCs w:val="18"/>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25.117</w:t>
            </w:r>
            <w:r>
              <w:rPr>
                <w:rFonts w:ascii="Arial" w:cs="Arial" w:eastAsia="Arial" w:hAnsi="Arial"/>
                <w:sz w:val="22"/>
                <w:szCs w:val="22"/>
                <w:color w:val="008000"/>
                <w:w w:val="91"/>
                <w:vertAlign w:val="superscript"/>
              </w:rPr>
              <w:t>(4)</w:t>
            </w:r>
          </w:p>
        </w:tc>
        <w:tc>
          <w:tcPr>
            <w:tcW w:w="1160" w:type="dxa"/>
            <w:vAlign w:val="bottom"/>
            <w:vMerge w:val="restart"/>
          </w:tcPr>
          <w:p>
            <w:pPr>
              <w:ind w:left="240"/>
              <w:spacing w:after="0"/>
              <w:rPr>
                <w:sz w:val="20"/>
                <w:szCs w:val="20"/>
                <w:color w:val="auto"/>
              </w:rPr>
            </w:pPr>
            <w:r>
              <w:rPr>
                <w:rFonts w:ascii="Arial" w:cs="Arial" w:eastAsia="Arial" w:hAnsi="Arial"/>
                <w:sz w:val="18"/>
                <w:szCs w:val="18"/>
                <w:color w:val="0000FF"/>
              </w:rPr>
              <w:t>1,429,551</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96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13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96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00"/>
          </w:cols>
          <w:pgMar w:left="240" w:top="226" w:right="259" w:bottom="148"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9"/>
              </w:rPr>
              <w:t>177,134</w:t>
            </w:r>
          </w:p>
        </w:tc>
        <w:tc>
          <w:tcPr>
            <w:tcW w:w="7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90"/>
              </w:rPr>
              <w:t>84,000</w:t>
            </w:r>
          </w:p>
        </w:tc>
        <w:tc>
          <w:tcPr>
            <w:tcW w:w="7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90"/>
              </w:rPr>
              <w:t>84,000</w:t>
            </w:r>
          </w:p>
        </w:tc>
        <w:tc>
          <w:tcPr>
            <w:tcW w:w="7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8000" w:space="720"/>
            <w:col w:w="2680"/>
          </w:cols>
          <w:pgMar w:left="240" w:top="226" w:right="259" w:bottom="148"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$24.955 to $25.38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jc w:val="both"/>
        <w:ind w:left="40" w:right="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$24.95 to $25.35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08/04/2011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00"/>
      </w:cols>
      <w:pgMar w:left="240" w:top="226" w:right="259" w:bottom="14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2019-12-16T14:11:30Z</dcterms:created>
  <dcterms:modified xsi:type="dcterms:W3CDTF">2019-12-16T14:11:30Z</dcterms:modified>
</cp:coreProperties>
</file>