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154305</wp:posOffset>
            </wp:positionH>
            <wp:positionV relativeFrom="page">
              <wp:posOffset>284480</wp:posOffset>
            </wp:positionV>
            <wp:extent cx="731075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0755" cy="2413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-208915</wp:posOffset>
            </wp:positionV>
            <wp:extent cx="7310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0755" cy="8255"/>
                    </a:xfrm>
                    <a:prstGeom prst="rect">
                      <a:avLst/>
                    </a:prstGeom>
                    <a:noFill/>
                  </pic:spPr>
                </pic:pic>
              </a:graphicData>
            </a:graphic>
          </wp:anchor>
        </w:drawing>
      </w:r>
    </w:p>
    <w:p>
      <w:pPr>
        <w:jc w:val="center"/>
        <w:ind w:right="-2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59"/>
        <w:spacing w:after="0"/>
        <w:rPr>
          <w:sz w:val="20"/>
          <w:szCs w:val="20"/>
          <w:color w:val="auto"/>
        </w:rPr>
      </w:pPr>
      <w:r>
        <w:rPr>
          <w:rFonts w:ascii="Arial" w:cs="Arial" w:eastAsia="Arial" w:hAnsi="Arial"/>
          <w:sz w:val="21"/>
          <w:szCs w:val="21"/>
          <w:b w:val="1"/>
          <w:bCs w:val="1"/>
          <w:color w:val="auto"/>
        </w:rPr>
        <w:t>Washington, D.C. 20548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2924175</wp:posOffset>
            </wp:positionH>
            <wp:positionV relativeFrom="paragraph">
              <wp:posOffset>125730</wp:posOffset>
            </wp:positionV>
            <wp:extent cx="1457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57" w:lineRule="exact"/>
        <w:rPr>
          <w:sz w:val="24"/>
          <w:szCs w:val="24"/>
          <w:color w:val="auto"/>
        </w:rPr>
      </w:pPr>
    </w:p>
    <w:p>
      <w:pPr>
        <w:jc w:val="center"/>
        <w:ind w:right="-259"/>
        <w:spacing w:after="0"/>
        <w:rPr>
          <w:sz w:val="20"/>
          <w:szCs w:val="20"/>
          <w:color w:val="auto"/>
        </w:rPr>
      </w:pPr>
      <w:r>
        <w:rPr>
          <w:rFonts w:ascii="Arial" w:cs="Arial" w:eastAsia="Arial" w:hAnsi="Arial"/>
          <w:sz w:val="31"/>
          <w:szCs w:val="31"/>
          <w:b w:val="1"/>
          <w:bCs w:val="1"/>
          <w:color w:val="auto"/>
        </w:rPr>
        <w:t>SCHEDULE 14A</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(Rule 14a-101)</w:t>
      </w:r>
    </w:p>
    <w:p>
      <w:pPr>
        <w:spacing w:after="0" w:line="159" w:lineRule="exact"/>
        <w:rPr>
          <w:sz w:val="24"/>
          <w:szCs w:val="24"/>
          <w:color w:val="auto"/>
        </w:rPr>
      </w:pPr>
    </w:p>
    <w:p>
      <w:pPr>
        <w:jc w:val="center"/>
        <w:ind w:right="-259"/>
        <w:spacing w:after="0"/>
        <w:rPr>
          <w:sz w:val="20"/>
          <w:szCs w:val="20"/>
          <w:color w:val="auto"/>
        </w:rPr>
      </w:pPr>
      <w:r>
        <w:rPr>
          <w:rFonts w:ascii="Arial" w:cs="Arial" w:eastAsia="Arial" w:hAnsi="Arial"/>
          <w:sz w:val="31"/>
          <w:szCs w:val="31"/>
          <w:b w:val="1"/>
          <w:bCs w:val="1"/>
          <w:color w:val="auto"/>
        </w:rPr>
        <w:t>SCHEDULE 14A INFORMATION</w:t>
      </w:r>
    </w:p>
    <w:p>
      <w:pPr>
        <w:spacing w:after="0" w:line="208"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1"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2924175</wp:posOffset>
            </wp:positionH>
            <wp:positionV relativeFrom="paragraph">
              <wp:posOffset>125730</wp:posOffset>
            </wp:positionV>
            <wp:extent cx="1457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51" w:lineRule="exact"/>
        <w:rPr>
          <w:sz w:val="24"/>
          <w:szCs w:val="24"/>
          <w:color w:val="auto"/>
        </w:rPr>
      </w:pPr>
    </w:p>
    <w:p>
      <w:pPr>
        <w:spacing w:after="0" w:line="196" w:lineRule="exact"/>
        <w:tabs>
          <w:tab w:leader="none" w:pos="424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7" w:lineRule="exact"/>
        <w:rPr>
          <w:sz w:val="24"/>
          <w:szCs w:val="24"/>
          <w:color w:val="auto"/>
        </w:rPr>
      </w:pPr>
    </w:p>
    <w:p>
      <w:pPr>
        <w:ind w:left="460" w:hanging="457"/>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5" w:lineRule="exact"/>
        <w:rPr>
          <w:rFonts w:ascii="MS PGothic" w:cs="MS PGothic" w:eastAsia="MS PGothic" w:hAnsi="MS PGothic"/>
          <w:sz w:val="17"/>
          <w:szCs w:val="17"/>
          <w:color w:val="auto"/>
        </w:rPr>
      </w:pPr>
    </w:p>
    <w:p>
      <w:pPr>
        <w:ind w:left="460" w:hanging="457"/>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9" w:lineRule="exact"/>
        <w:rPr>
          <w:rFonts w:ascii="MS PGothic" w:cs="MS PGothic" w:eastAsia="MS PGothic" w:hAnsi="MS PGothic"/>
          <w:sz w:val="17"/>
          <w:szCs w:val="17"/>
          <w:color w:val="auto"/>
        </w:rPr>
      </w:pPr>
    </w:p>
    <w:p>
      <w:pPr>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5"/>
          <w:szCs w:val="15"/>
          <w:color w:val="auto"/>
        </w:rPr>
        <w:t>Definitive Proxy Statement</w:t>
      </w:r>
    </w:p>
    <w:p>
      <w:pPr>
        <w:spacing w:after="0" w:line="9" w:lineRule="exact"/>
        <w:rPr>
          <w:rFonts w:ascii="MS PGothic" w:cs="MS PGothic" w:eastAsia="MS PGothic" w:hAnsi="MS PGothic"/>
          <w:sz w:val="17"/>
          <w:szCs w:val="17"/>
          <w:color w:val="auto"/>
        </w:rPr>
      </w:pPr>
    </w:p>
    <w:p>
      <w:pPr>
        <w:ind w:left="460" w:hanging="457"/>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9" w:lineRule="exact"/>
        <w:rPr>
          <w:rFonts w:ascii="MS PGothic" w:cs="MS PGothic" w:eastAsia="MS PGothic" w:hAnsi="MS PGothic"/>
          <w:sz w:val="17"/>
          <w:szCs w:val="17"/>
          <w:color w:val="auto"/>
        </w:rPr>
      </w:pPr>
    </w:p>
    <w:p>
      <w:pPr>
        <w:ind w:left="460" w:hanging="457"/>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 240.14a-12</w:t>
      </w:r>
    </w:p>
    <w:p>
      <w:pPr>
        <w:spacing w:after="0" w:line="173" w:lineRule="exact"/>
        <w:rPr>
          <w:sz w:val="24"/>
          <w:szCs w:val="24"/>
          <w:color w:val="auto"/>
        </w:rPr>
      </w:pPr>
    </w:p>
    <w:p>
      <w:pPr>
        <w:jc w:val="center"/>
        <w:ind w:right="-259"/>
        <w:spacing w:after="0"/>
        <w:rPr>
          <w:sz w:val="20"/>
          <w:szCs w:val="20"/>
          <w:color w:val="auto"/>
        </w:rPr>
      </w:pPr>
      <w:r>
        <w:rPr>
          <w:rFonts w:ascii="Arial" w:cs="Arial" w:eastAsia="Arial" w:hAnsi="Arial"/>
          <w:sz w:val="41"/>
          <w:szCs w:val="41"/>
          <w:b w:val="1"/>
          <w:bCs w:val="1"/>
          <w:color w:val="auto"/>
        </w:rPr>
        <w:t>ExlService Holdings, Inc.</w:t>
      </w:r>
    </w:p>
    <w:p>
      <w:pPr>
        <w:spacing w:after="0" w:line="44"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197"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N/A</w:t>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79"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15" w:lineRule="exact"/>
        <w:rPr>
          <w:sz w:val="24"/>
          <w:szCs w:val="24"/>
          <w:color w:val="auto"/>
        </w:rPr>
      </w:pPr>
    </w:p>
    <w:p>
      <w:pPr>
        <w:ind w:left="460" w:hanging="457"/>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15" w:lineRule="exact"/>
        <w:rPr>
          <w:sz w:val="24"/>
          <w:szCs w:val="24"/>
          <w:color w:val="auto"/>
        </w:rPr>
      </w:pPr>
    </w:p>
    <w:p>
      <w:pPr>
        <w:ind w:left="460" w:hanging="457"/>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14" w:lineRule="exact"/>
        <w:rPr>
          <w:rFonts w:ascii="MS PGothic" w:cs="MS PGothic" w:eastAsia="MS PGothic" w:hAnsi="MS PGothic"/>
          <w:sz w:val="17"/>
          <w:szCs w:val="17"/>
          <w:color w:val="auto"/>
        </w:rPr>
      </w:pPr>
    </w:p>
    <w:p>
      <w:pPr>
        <w:ind w:left="920" w:hanging="456"/>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317" w:lineRule="exact"/>
        <w:rPr>
          <w:rFonts w:ascii="Arial" w:cs="Arial" w:eastAsia="Arial" w:hAnsi="Arial"/>
          <w:sz w:val="17"/>
          <w:szCs w:val="17"/>
          <w:color w:val="auto"/>
        </w:rPr>
      </w:pPr>
    </w:p>
    <w:p>
      <w:pPr>
        <w:ind w:left="920" w:hanging="456"/>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317" w:lineRule="exact"/>
        <w:rPr>
          <w:rFonts w:ascii="Arial" w:cs="Arial" w:eastAsia="Arial" w:hAnsi="Arial"/>
          <w:sz w:val="17"/>
          <w:szCs w:val="17"/>
          <w:color w:val="auto"/>
        </w:rPr>
      </w:pPr>
    </w:p>
    <w:p>
      <w:pPr>
        <w:ind w:left="920" w:right="180" w:hanging="456"/>
        <w:spacing w:after="0" w:line="277" w:lineRule="auto"/>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66" w:lineRule="exact"/>
        <w:rPr>
          <w:rFonts w:ascii="Arial" w:cs="Arial" w:eastAsia="Arial" w:hAnsi="Arial"/>
          <w:sz w:val="17"/>
          <w:szCs w:val="17"/>
          <w:color w:val="auto"/>
        </w:rPr>
      </w:pPr>
    </w:p>
    <w:p>
      <w:pPr>
        <w:ind w:left="920" w:hanging="456"/>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317" w:lineRule="exact"/>
        <w:rPr>
          <w:rFonts w:ascii="Arial" w:cs="Arial" w:eastAsia="Arial" w:hAnsi="Arial"/>
          <w:sz w:val="17"/>
          <w:szCs w:val="17"/>
          <w:color w:val="auto"/>
        </w:rPr>
      </w:pPr>
    </w:p>
    <w:p>
      <w:pPr>
        <w:ind w:left="920" w:hanging="456"/>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460" w:hanging="457"/>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14" w:lineRule="exact"/>
        <w:rPr>
          <w:rFonts w:ascii="MS PGothic" w:cs="MS PGothic" w:eastAsia="MS PGothic" w:hAnsi="MS PGothic"/>
          <w:sz w:val="17"/>
          <w:szCs w:val="17"/>
          <w:color w:val="auto"/>
        </w:rPr>
      </w:pPr>
    </w:p>
    <w:p>
      <w:pPr>
        <w:ind w:left="460" w:hanging="457"/>
        <w:spacing w:after="0" w:line="277" w:lineRule="auto"/>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4" w:lineRule="exact"/>
        <w:rPr>
          <w:rFonts w:ascii="MS PGothic" w:cs="MS PGothic" w:eastAsia="MS PGothic" w:hAnsi="MS PGothic"/>
          <w:sz w:val="17"/>
          <w:szCs w:val="17"/>
          <w:color w:val="auto"/>
        </w:rPr>
      </w:pPr>
    </w:p>
    <w:p>
      <w:pPr>
        <w:ind w:left="920" w:hanging="456"/>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317" w:lineRule="exact"/>
        <w:rPr>
          <w:rFonts w:ascii="Arial" w:cs="Arial" w:eastAsia="Arial" w:hAnsi="Arial"/>
          <w:sz w:val="17"/>
          <w:szCs w:val="17"/>
          <w:color w:val="auto"/>
        </w:rPr>
      </w:pPr>
    </w:p>
    <w:p>
      <w:pPr>
        <w:ind w:left="920" w:hanging="456"/>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317" w:lineRule="exact"/>
        <w:rPr>
          <w:rFonts w:ascii="Arial" w:cs="Arial" w:eastAsia="Arial" w:hAnsi="Arial"/>
          <w:sz w:val="17"/>
          <w:szCs w:val="17"/>
          <w:color w:val="auto"/>
        </w:rPr>
      </w:pPr>
    </w:p>
    <w:p>
      <w:pPr>
        <w:ind w:left="920" w:hanging="456"/>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317" w:lineRule="exact"/>
        <w:rPr>
          <w:rFonts w:ascii="Arial" w:cs="Arial" w:eastAsia="Arial" w:hAnsi="Arial"/>
          <w:sz w:val="17"/>
          <w:szCs w:val="17"/>
          <w:color w:val="auto"/>
        </w:rPr>
      </w:pPr>
    </w:p>
    <w:p>
      <w:pPr>
        <w:ind w:left="920" w:hanging="456"/>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13970</wp:posOffset>
            </wp:positionV>
            <wp:extent cx="6716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163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-180975</wp:posOffset>
            </wp:positionV>
            <wp:extent cx="6716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163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-506095</wp:posOffset>
            </wp:positionV>
            <wp:extent cx="6716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163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-831850</wp:posOffset>
            </wp:positionV>
            <wp:extent cx="6716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63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-1873885</wp:posOffset>
            </wp:positionV>
            <wp:extent cx="6716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63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-2199640</wp:posOffset>
            </wp:positionV>
            <wp:extent cx="67163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63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-2525395</wp:posOffset>
            </wp:positionV>
            <wp:extent cx="6716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163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-2981325</wp:posOffset>
            </wp:positionV>
            <wp:extent cx="671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163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-3307080</wp:posOffset>
            </wp:positionV>
            <wp:extent cx="67163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163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7310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07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201295</wp:posOffset>
            </wp:positionV>
            <wp:extent cx="731075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11240"/>
          </w:cols>
          <w:pgMar w:left="240" w:top="472" w:right="4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3044190</wp:posOffset>
            </wp:positionH>
            <wp:positionV relativeFrom="page">
              <wp:posOffset>1073785</wp:posOffset>
            </wp:positionV>
            <wp:extent cx="1522095" cy="1115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522095" cy="111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280 Park Avenue, 38</w:t>
      </w:r>
      <w:r>
        <w:rPr>
          <w:rFonts w:ascii="Arial" w:cs="Arial" w:eastAsia="Arial" w:hAnsi="Arial"/>
          <w:sz w:val="27"/>
          <w:szCs w:val="27"/>
          <w:b w:val="1"/>
          <w:bCs w:val="1"/>
          <w:color w:val="auto"/>
          <w:vertAlign w:val="superscript"/>
        </w:rPr>
        <w:t>th</w:t>
      </w:r>
      <w:r>
        <w:rPr>
          <w:rFonts w:ascii="Arial" w:cs="Arial" w:eastAsia="Arial" w:hAnsi="Arial"/>
          <w:sz w:val="17"/>
          <w:szCs w:val="17"/>
          <w:b w:val="1"/>
          <w:bCs w:val="1"/>
          <w:color w:val="auto"/>
        </w:rPr>
        <w:t xml:space="preserve"> Floor</w:t>
      </w:r>
    </w:p>
    <w:p>
      <w:pPr>
        <w:jc w:val="center"/>
        <w:spacing w:after="0" w:line="236" w:lineRule="auto"/>
        <w:rPr>
          <w:sz w:val="20"/>
          <w:szCs w:val="20"/>
          <w:color w:val="auto"/>
        </w:rPr>
      </w:pPr>
      <w:r>
        <w:rPr>
          <w:rFonts w:ascii="Arial" w:cs="Arial" w:eastAsia="Arial" w:hAnsi="Arial"/>
          <w:sz w:val="17"/>
          <w:szCs w:val="17"/>
          <w:b w:val="1"/>
          <w:bCs w:val="1"/>
          <w:color w:val="auto"/>
        </w:rPr>
        <w:t>New York, New York 10017</w:t>
      </w:r>
    </w:p>
    <w:p>
      <w:pPr>
        <w:jc w:val="center"/>
        <w:spacing w:after="0"/>
        <w:rPr>
          <w:sz w:val="20"/>
          <w:szCs w:val="20"/>
          <w:color w:val="auto"/>
        </w:rPr>
      </w:pPr>
      <w:r>
        <w:rPr>
          <w:rFonts w:ascii="Arial" w:cs="Arial" w:eastAsia="Arial" w:hAnsi="Arial"/>
          <w:sz w:val="17"/>
          <w:szCs w:val="17"/>
          <w:b w:val="1"/>
          <w:bCs w:val="1"/>
          <w:color w:val="auto"/>
        </w:rPr>
        <w:t>(212) 277-7100</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April 27, 2018</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Dear Stockholder:</w:t>
      </w:r>
    </w:p>
    <w:p>
      <w:pPr>
        <w:spacing w:after="0" w:line="138" w:lineRule="exact"/>
        <w:rPr>
          <w:sz w:val="20"/>
          <w:szCs w:val="20"/>
          <w:color w:val="auto"/>
        </w:rPr>
      </w:pPr>
    </w:p>
    <w:p>
      <w:pPr>
        <w:jc w:val="both"/>
        <w:ind w:right="20"/>
        <w:spacing w:after="0" w:line="247" w:lineRule="auto"/>
        <w:rPr>
          <w:sz w:val="20"/>
          <w:szCs w:val="20"/>
          <w:color w:val="auto"/>
        </w:rPr>
      </w:pPr>
      <w:r>
        <w:rPr>
          <w:rFonts w:ascii="Arial" w:cs="Arial" w:eastAsia="Arial" w:hAnsi="Arial"/>
          <w:sz w:val="17"/>
          <w:szCs w:val="17"/>
          <w:color w:val="auto"/>
        </w:rPr>
        <w:t>On behalf of the board of directors of ExlService Holdings, Inc., we are pleased to invite you to the 2018 Annual Meeting of Stockholders, which will be held on June 15, 2018 in New York, New York.</w:t>
      </w:r>
    </w:p>
    <w:p>
      <w:pPr>
        <w:spacing w:after="0" w:line="123" w:lineRule="exact"/>
        <w:rPr>
          <w:sz w:val="20"/>
          <w:szCs w:val="20"/>
          <w:color w:val="auto"/>
        </w:rPr>
      </w:pPr>
    </w:p>
    <w:p>
      <w:pPr>
        <w:jc w:val="both"/>
        <w:ind w:right="20"/>
        <w:spacing w:after="0" w:line="247" w:lineRule="auto"/>
        <w:rPr>
          <w:sz w:val="20"/>
          <w:szCs w:val="20"/>
          <w:color w:val="auto"/>
        </w:rPr>
      </w:pPr>
      <w:r>
        <w:rPr>
          <w:rFonts w:ascii="Arial" w:cs="Arial" w:eastAsia="Arial" w:hAnsi="Arial"/>
          <w:sz w:val="17"/>
          <w:szCs w:val="17"/>
          <w:color w:val="auto"/>
        </w:rPr>
        <w:t>The Annual Meeting will begin with discussion and voting on the matters set forth on the accompanying Notice of the Annual Meeting and Proxy Statement, followed by discussion of other business matters properly brought before the Annual Meeting.</w:t>
      </w:r>
    </w:p>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Pursuant to rules promulgated by the Securities and Exchange Commission, we are providing access to our proxy materials over the Internet. On or about April 27, 2018, we will mail a Notice of Internet Availability of Proxy Materials (the “Internet Notice”) to each of our stockholders of record and beneficial owners at the close of business on April 23, 2018, the record date for the Annual Meeting. On the date of mailing of the Internet Notice, all stockholders and beneficial owners will have the ability to access all of the proxy materials on a website referred to in the Internet Notice. These proxy materials will be available free of charge.</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Even if you choose to attend the Annual Meeting in person, you are encouraged to review the proxy materials and vote your shares in advance of the meeting by Internet or phone. The Internet Notice will contain instructions to allow you to request copies of the proxy materials to be sent to you by mail. Any proxy materials sent to you will include a proxy card that you may use to cast your vote by completing, signing and returning the proxy card by mail (or voting instruction form, if you hold shares through a broker). Your vote is extremely important, and we appreciate you taking the time to vote promptly. If you attend the Annual Meeting, you may withdraw your proxy should you wish to vote in person.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management look forward to seeing you at the Annual Meeting.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95885</wp:posOffset>
            </wp:positionV>
            <wp:extent cx="1050290" cy="5861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50290" cy="58610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95885</wp:posOffset>
            </wp:positionV>
            <wp:extent cx="1449070" cy="390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9070" cy="390525"/>
                    </a:xfrm>
                    <a:prstGeom prst="rect">
                      <a:avLst/>
                    </a:prstGeom>
                    <a:noFill/>
                  </pic:spPr>
                </pic:pic>
              </a:graphicData>
            </a:graphic>
          </wp:anchor>
        </w:drawing>
      </w:r>
    </w:p>
    <w:p>
      <w:pPr>
        <w:sectPr>
          <w:pgSz w:w="11900" w:h="16838" w:orient="portrait"/>
          <w:cols w:equalWidth="0" w:num="1">
            <w:col w:w="10160"/>
          </w:cols>
          <w:pgMar w:left="920" w:top="1440"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Garen K. Staglin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Rohit Kapoor</w:t>
      </w:r>
    </w:p>
    <w:p>
      <w:pPr>
        <w:spacing w:after="0" w:line="22" w:lineRule="exact"/>
        <w:rPr>
          <w:sz w:val="20"/>
          <w:szCs w:val="20"/>
          <w:color w:val="auto"/>
        </w:rPr>
      </w:pPr>
    </w:p>
    <w:p>
      <w:pPr>
        <w:sectPr>
          <w:pgSz w:w="11900" w:h="16838" w:orient="portrait"/>
          <w:cols w:equalWidth="0" w:num="2">
            <w:col w:w="5720" w:space="720"/>
            <w:col w:w="3720"/>
          </w:cols>
          <w:pgMar w:left="920" w:top="1440" w:right="81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Vice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-4518660</wp:posOffset>
            </wp:positionH>
            <wp:positionV relativeFrom="paragraph">
              <wp:posOffset>3270250</wp:posOffset>
            </wp:positionV>
            <wp:extent cx="731075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2">
            <w:col w:w="5720" w:space="720"/>
            <w:col w:w="3720"/>
          </w:cols>
          <w:pgMar w:left="920" w:top="1440" w:right="81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3157855</wp:posOffset>
            </wp:positionH>
            <wp:positionV relativeFrom="page">
              <wp:posOffset>732155</wp:posOffset>
            </wp:positionV>
            <wp:extent cx="1302385" cy="944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02385" cy="944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DD924E"/>
        </w:rPr>
        <w:t>NOTICE OF 2018 ANNUAL MEETING OF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Dear Stockholder:</w:t>
      </w:r>
    </w:p>
    <w:p>
      <w:pPr>
        <w:spacing w:after="0" w:line="138" w:lineRule="exact"/>
        <w:rPr>
          <w:sz w:val="20"/>
          <w:szCs w:val="20"/>
          <w:color w:val="auto"/>
        </w:rPr>
      </w:pPr>
    </w:p>
    <w:p>
      <w:pPr>
        <w:jc w:val="both"/>
        <w:ind w:right="20"/>
        <w:spacing w:after="0" w:line="201" w:lineRule="auto"/>
        <w:rPr>
          <w:sz w:val="20"/>
          <w:szCs w:val="20"/>
          <w:color w:val="auto"/>
        </w:rPr>
      </w:pPr>
      <w:r>
        <w:rPr>
          <w:rFonts w:ascii="Arial" w:cs="Arial" w:eastAsia="Arial" w:hAnsi="Arial"/>
          <w:sz w:val="17"/>
          <w:szCs w:val="17"/>
          <w:color w:val="auto"/>
        </w:rPr>
        <w:t>You are cordially invited to the 2018 Annual Meeting of Stockholders of ExlService Holdings, Inc., a Delaware corporation (the “Company”). The Annual Meeting will be held at the New York offices of the Company, 280 Park Avenue, 38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 New York, New York 10017 on June 15, 2018 at 8:30 AM, Eastern Time, for the purposes of voting on the following matters:</w:t>
      </w:r>
    </w:p>
    <w:p>
      <w:pPr>
        <w:spacing w:after="0" w:line="118" w:lineRule="exact"/>
        <w:rPr>
          <w:sz w:val="20"/>
          <w:szCs w:val="20"/>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election of three Class III members of the board of directors of the Company for a term of three years each;</w:t>
      </w:r>
    </w:p>
    <w:p>
      <w:pPr>
        <w:spacing w:after="0" w:line="137" w:lineRule="exact"/>
        <w:rPr>
          <w:rFonts w:ascii="Arial" w:cs="Arial" w:eastAsia="Arial" w:hAnsi="Arial"/>
          <w:sz w:val="17"/>
          <w:szCs w:val="17"/>
          <w:color w:val="auto"/>
        </w:rPr>
      </w:pPr>
    </w:p>
    <w:p>
      <w:pPr>
        <w:ind w:left="680" w:hanging="342"/>
        <w:spacing w:after="0" w:line="247"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ratification of the selection of Deloitte &amp; Touche LLP as the independent registered public accounting firm of the Company for fiscal year 2018;</w:t>
      </w:r>
    </w:p>
    <w:p>
      <w:pPr>
        <w:spacing w:after="0" w:line="123"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approval, on a non-binding advisory basis, of the compensation of the named executive officers of the Company;</w:t>
      </w:r>
    </w:p>
    <w:p>
      <w:pPr>
        <w:spacing w:after="0" w:line="125"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approval of the 2018 Omnibus Incentive Plan; and</w:t>
      </w:r>
    </w:p>
    <w:p>
      <w:pPr>
        <w:spacing w:after="0" w:line="137" w:lineRule="exact"/>
        <w:rPr>
          <w:rFonts w:ascii="Arial" w:cs="Arial" w:eastAsia="Arial" w:hAnsi="Arial"/>
          <w:sz w:val="17"/>
          <w:szCs w:val="17"/>
          <w:color w:val="auto"/>
        </w:rPr>
      </w:pPr>
    </w:p>
    <w:p>
      <w:pPr>
        <w:ind w:left="680" w:right="20" w:hanging="342"/>
        <w:spacing w:after="0" w:line="247"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transaction of such other business as may properly come before the Annual Meeting or any adjournment or postponement thereof.</w:t>
      </w:r>
    </w:p>
    <w:p>
      <w:pPr>
        <w:spacing w:after="0" w:line="123" w:lineRule="exact"/>
        <w:rPr>
          <w:sz w:val="20"/>
          <w:szCs w:val="20"/>
          <w:color w:val="auto"/>
        </w:rPr>
      </w:pPr>
    </w:p>
    <w:p>
      <w:pPr>
        <w:jc w:val="both"/>
        <w:spacing w:after="0" w:line="209" w:lineRule="auto"/>
        <w:rPr>
          <w:sz w:val="20"/>
          <w:szCs w:val="20"/>
          <w:color w:val="auto"/>
        </w:rPr>
      </w:pPr>
      <w:r>
        <w:rPr>
          <w:rFonts w:ascii="Arial" w:cs="Arial" w:eastAsia="Arial" w:hAnsi="Arial"/>
          <w:sz w:val="17"/>
          <w:szCs w:val="17"/>
          <w:color w:val="auto"/>
        </w:rPr>
        <w:t>If you are a stockholder of record at the close of business on April 23, 2018, you are entitled to vote at the Annual Meeting. A list of stockholders as of the record date will be available for examination for any purpose germane to the Annual Meeting, during ordinary business hours, at the Company’s executive offices at 280 Park Avenue, 38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 New York, New York 10017, for a period of 10 days prior to the date of the Annual Meeting and at the Annual Meeting itself.</w:t>
      </w:r>
    </w:p>
    <w:p>
      <w:pPr>
        <w:spacing w:after="0" w:line="116" w:lineRule="exact"/>
        <w:rPr>
          <w:sz w:val="20"/>
          <w:szCs w:val="20"/>
          <w:color w:val="auto"/>
        </w:rPr>
      </w:pPr>
    </w:p>
    <w:p>
      <w:pPr>
        <w:jc w:val="both"/>
        <w:ind w:firstLine="451"/>
        <w:spacing w:after="0" w:line="236" w:lineRule="auto"/>
        <w:rPr>
          <w:sz w:val="20"/>
          <w:szCs w:val="20"/>
          <w:color w:val="auto"/>
        </w:rPr>
      </w:pPr>
      <w:r>
        <w:rPr>
          <w:rFonts w:ascii="Arial" w:cs="Arial" w:eastAsia="Arial" w:hAnsi="Arial"/>
          <w:sz w:val="17"/>
          <w:szCs w:val="17"/>
          <w:color w:val="auto"/>
        </w:rPr>
        <w:t>Whether or not you expect to attend the Annual Meeting in person, the Company encourages you to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Voting by proxy will not deprive you of the right to attend the Annual Meeting or to vote your shares in person. You can revoke a proxy at any time before it is exercised by voting in person at the Annual Meeting, by delivering a subsequent proxy or by notifying the inspector of elections in writing of such revocation prior to the Annual Meeting. YOUR SHARES CANNOT BE VOTED UNLESS YOU EITHER (I)</w:t>
      </w:r>
    </w:p>
    <w:p>
      <w:pPr>
        <w:spacing w:after="0" w:line="1"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VOTE BY USING THE INTERNET, (II) VOTE BY PHONE, (III) REQUEST PROXY MATERIALS BE SENT TO YOU BY MAIL AND THEN USE THE PROXY CARD PROVIDED BY MAIL TO CAST YOUR VOTE BY COMPLETING, SIGNING AND RETURNING THE PROXY CARD BY MAIL OR (IV) ATTEND THE ANNUAL MEETING AND VOTE IN PERSON.</w:t>
      </w:r>
    </w:p>
    <w:p>
      <w:pPr>
        <w:spacing w:after="0" w:line="12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3868420</wp:posOffset>
            </wp:positionH>
            <wp:positionV relativeFrom="paragraph">
              <wp:posOffset>88265</wp:posOffset>
            </wp:positionV>
            <wp:extent cx="1579245"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924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Nancy Saltzman</w:t>
      </w:r>
    </w:p>
    <w:p>
      <w:pPr>
        <w:ind w:left="6100"/>
        <w:spacing w:after="0" w:line="236" w:lineRule="auto"/>
        <w:rPr>
          <w:sz w:val="20"/>
          <w:szCs w:val="20"/>
          <w:color w:val="auto"/>
        </w:rPr>
      </w:pPr>
      <w:r>
        <w:rPr>
          <w:rFonts w:ascii="Arial" w:cs="Arial" w:eastAsia="Arial" w:hAnsi="Arial"/>
          <w:sz w:val="17"/>
          <w:szCs w:val="17"/>
          <w:color w:val="auto"/>
        </w:rPr>
        <w:t>Executive Vice President,</w:t>
      </w:r>
    </w:p>
    <w:p>
      <w:pPr>
        <w:ind w:left="6100"/>
        <w:spacing w:after="0" w:line="236" w:lineRule="auto"/>
        <w:rPr>
          <w:sz w:val="20"/>
          <w:szCs w:val="20"/>
          <w:color w:val="auto"/>
        </w:rPr>
      </w:pPr>
      <w:r>
        <w:rPr>
          <w:rFonts w:ascii="Arial" w:cs="Arial" w:eastAsia="Arial" w:hAnsi="Arial"/>
          <w:sz w:val="17"/>
          <w:szCs w:val="17"/>
          <w:color w:val="auto"/>
        </w:rPr>
        <w:t>General Counsel and Secretary</w:t>
      </w:r>
    </w:p>
    <w:p>
      <w:pPr>
        <w:spacing w:after="0" w:line="236" w:lineRule="auto"/>
        <w:rPr>
          <w:sz w:val="20"/>
          <w:szCs w:val="20"/>
          <w:color w:val="auto"/>
        </w:rPr>
      </w:pPr>
      <w:r>
        <w:rPr>
          <w:rFonts w:ascii="Arial" w:cs="Arial" w:eastAsia="Arial" w:hAnsi="Arial"/>
          <w:sz w:val="17"/>
          <w:szCs w:val="17"/>
          <w:color w:val="auto"/>
        </w:rPr>
        <w:t>New York, New York</w:t>
      </w:r>
    </w:p>
    <w:p>
      <w:pPr>
        <w:spacing w:after="0"/>
        <w:rPr>
          <w:sz w:val="20"/>
          <w:szCs w:val="20"/>
          <w:color w:val="auto"/>
        </w:rPr>
      </w:pPr>
      <w:r>
        <w:rPr>
          <w:rFonts w:ascii="Arial" w:cs="Arial" w:eastAsia="Arial" w:hAnsi="Arial"/>
          <w:sz w:val="17"/>
          <w:szCs w:val="17"/>
          <w:color w:val="auto"/>
        </w:rPr>
        <w:t>April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2424430</wp:posOffset>
            </wp:positionV>
            <wp:extent cx="731075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10160"/>
          </w:cols>
          <w:pgMar w:left="920" w:top="1440" w:right="8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b w:val="1"/>
          <w:bCs w:val="1"/>
          <w:color w:val="auto"/>
        </w:rPr>
        <w:t>TABLE OF CONTENTS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Page</w:t>
            </w:r>
          </w:p>
        </w:tc>
      </w:tr>
      <w:tr>
        <w:trPr>
          <w:trHeight w:val="211"/>
        </w:trPr>
        <w:tc>
          <w:tcPr>
            <w:tcW w:w="3000" w:type="dxa"/>
            <w:vAlign w:val="bottom"/>
            <w:tcBorders>
              <w:bottom w:val="single" w:sz="8" w:color="0000EE"/>
            </w:tcBorders>
            <w:gridSpan w:val="11"/>
          </w:tcPr>
          <w:p>
            <w:pPr>
              <w:spacing w:after="0"/>
              <w:rPr>
                <w:rFonts w:ascii="Arial" w:cs="Arial" w:eastAsia="Arial" w:hAnsi="Arial"/>
                <w:sz w:val="17"/>
                <w:szCs w:val="17"/>
                <w:color w:val="0000EE"/>
                <w:w w:val="98"/>
              </w:rPr>
            </w:pPr>
            <w:hyperlink w:anchor="page5">
              <w:r>
                <w:rPr>
                  <w:rFonts w:ascii="Arial" w:cs="Arial" w:eastAsia="Arial" w:hAnsi="Arial"/>
                  <w:sz w:val="17"/>
                  <w:szCs w:val="17"/>
                  <w:color w:val="0000EE"/>
                  <w:w w:val="98"/>
                </w:rPr>
                <w:t>2018 PROXY STATEMENT SUMMARY</w:t>
              </w:r>
            </w:hyperlink>
          </w:p>
        </w:tc>
        <w:tc>
          <w:tcPr>
            <w:tcW w:w="6080" w:type="dxa"/>
            <w:vAlign w:val="bottom"/>
            <w:gridSpan w:val="11"/>
          </w:tcPr>
          <w:p>
            <w:pPr>
              <w:spacing w:after="0"/>
              <w:rPr>
                <w:sz w:val="18"/>
                <w:szCs w:val="18"/>
                <w:color w:val="auto"/>
              </w:rPr>
            </w:pPr>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1</w:t>
            </w:r>
          </w:p>
        </w:tc>
      </w:tr>
      <w:tr>
        <w:trPr>
          <w:trHeight w:val="467"/>
        </w:trPr>
        <w:tc>
          <w:tcPr>
            <w:tcW w:w="4720" w:type="dxa"/>
            <w:vAlign w:val="bottom"/>
            <w:tcBorders>
              <w:bottom w:val="single" w:sz="8" w:color="0000EE"/>
            </w:tcBorders>
            <w:gridSpan w:val="15"/>
          </w:tcPr>
          <w:p>
            <w:pPr>
              <w:spacing w:after="0"/>
              <w:rPr>
                <w:rFonts w:ascii="Arial" w:cs="Arial" w:eastAsia="Arial" w:hAnsi="Arial"/>
                <w:sz w:val="17"/>
                <w:szCs w:val="17"/>
                <w:color w:val="0000EE"/>
                <w:w w:val="99"/>
              </w:rPr>
            </w:pPr>
            <w:hyperlink w:anchor="page12">
              <w:r>
                <w:rPr>
                  <w:rFonts w:ascii="Arial" w:cs="Arial" w:eastAsia="Arial" w:hAnsi="Arial"/>
                  <w:sz w:val="17"/>
                  <w:szCs w:val="17"/>
                  <w:color w:val="0000EE"/>
                  <w:w w:val="99"/>
                </w:rPr>
                <w:t>INFORMATION CONCERNING VOTING AND SOLICITATION</w:t>
              </w:r>
            </w:hyperlink>
          </w:p>
        </w:tc>
        <w:tc>
          <w:tcPr>
            <w:tcW w:w="4360" w:type="dxa"/>
            <w:vAlign w:val="bottom"/>
            <w:gridSpan w:val="7"/>
          </w:tcPr>
          <w:p>
            <w:pPr>
              <w:spacing w:after="0"/>
              <w:rPr>
                <w:sz w:val="24"/>
                <w:szCs w:val="24"/>
                <w:color w:val="auto"/>
              </w:rPr>
            </w:pPr>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8</w:t>
            </w:r>
          </w:p>
        </w:tc>
      </w:tr>
      <w:tr>
        <w:trPr>
          <w:trHeight w:val="467"/>
        </w:trPr>
        <w:tc>
          <w:tcPr>
            <w:tcW w:w="9080" w:type="dxa"/>
            <w:vAlign w:val="bottom"/>
            <w:gridSpan w:val="22"/>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OUR BOARD OF DIRECTORS</w:t>
              </w:r>
            </w:hyperlink>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12</w:t>
            </w:r>
          </w:p>
        </w:tc>
      </w:tr>
      <w:tr>
        <w:trPr>
          <w:trHeight w:val="467"/>
        </w:trPr>
        <w:tc>
          <w:tcPr>
            <w:tcW w:w="234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9"/>
              </w:rPr>
            </w:pPr>
            <w:hyperlink w:anchor="page26">
              <w:r>
                <w:rPr>
                  <w:rFonts w:ascii="Arial" w:cs="Arial" w:eastAsia="Arial" w:hAnsi="Arial"/>
                  <w:sz w:val="17"/>
                  <w:szCs w:val="17"/>
                  <w:color w:val="0000EE"/>
                  <w:w w:val="99"/>
                </w:rPr>
                <w:t>CORPORATE GOVERNANCE</w:t>
              </w:r>
            </w:hyperlink>
          </w:p>
        </w:tc>
        <w:tc>
          <w:tcPr>
            <w:tcW w:w="20" w:type="dxa"/>
            <w:vAlign w:val="bottom"/>
            <w:tcBorders>
              <w:top w:val="single" w:sz="8" w:color="0000EE"/>
            </w:tcBorders>
          </w:tcPr>
          <w:p>
            <w:pPr>
              <w:spacing w:after="0"/>
              <w:rPr>
                <w:sz w:val="24"/>
                <w:szCs w:val="24"/>
                <w:color w:val="auto"/>
              </w:rPr>
            </w:pPr>
          </w:p>
        </w:tc>
        <w:tc>
          <w:tcPr>
            <w:tcW w:w="6720" w:type="dxa"/>
            <w:vAlign w:val="bottom"/>
            <w:gridSpan w:val="15"/>
          </w:tcPr>
          <w:p>
            <w:pPr>
              <w:spacing w:after="0"/>
              <w:rPr>
                <w:sz w:val="24"/>
                <w:szCs w:val="24"/>
                <w:color w:val="auto"/>
              </w:rPr>
            </w:pPr>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22</w:t>
            </w:r>
          </w:p>
        </w:tc>
      </w:tr>
      <w:tr>
        <w:trPr>
          <w:trHeight w:val="467"/>
        </w:trPr>
        <w:tc>
          <w:tcPr>
            <w:tcW w:w="9080" w:type="dxa"/>
            <w:vAlign w:val="bottom"/>
            <w:gridSpan w:val="22"/>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OUR EXECUTIVE OFFICERS</w:t>
              </w:r>
            </w:hyperlink>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28</w:t>
            </w:r>
          </w:p>
        </w:tc>
      </w:tr>
      <w:tr>
        <w:trPr>
          <w:trHeight w:val="20"/>
        </w:trPr>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67"/>
        </w:trPr>
        <w:tc>
          <w:tcPr>
            <w:tcW w:w="9080" w:type="dxa"/>
            <w:vAlign w:val="bottom"/>
            <w:gridSpan w:val="22"/>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EXECUTIVE COMPENSATION</w:t>
              </w:r>
            </w:hyperlink>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30</w:t>
            </w:r>
          </w:p>
        </w:tc>
      </w:tr>
      <w:tr>
        <w:trPr>
          <w:trHeight w:val="20"/>
        </w:trPr>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67"/>
        </w:trPr>
        <w:tc>
          <w:tcPr>
            <w:tcW w:w="340" w:type="dxa"/>
            <w:vAlign w:val="bottom"/>
          </w:tcPr>
          <w:p>
            <w:pPr>
              <w:spacing w:after="0"/>
              <w:rPr>
                <w:sz w:val="24"/>
                <w:szCs w:val="24"/>
                <w:color w:val="auto"/>
              </w:rPr>
            </w:pPr>
          </w:p>
        </w:tc>
        <w:tc>
          <w:tcPr>
            <w:tcW w:w="3040" w:type="dxa"/>
            <w:vAlign w:val="bottom"/>
            <w:tcBorders>
              <w:bottom w:val="single" w:sz="8" w:color="0000EE"/>
            </w:tcBorders>
            <w:gridSpan w:val="13"/>
          </w:tcPr>
          <w:p>
            <w:pPr>
              <w:spacing w:after="0"/>
              <w:rPr>
                <w:rFonts w:ascii="Arial" w:cs="Arial" w:eastAsia="Arial" w:hAnsi="Arial"/>
                <w:sz w:val="17"/>
                <w:szCs w:val="17"/>
                <w:color w:val="0000EE"/>
                <w:w w:val="99"/>
              </w:rPr>
            </w:pPr>
            <w:hyperlink w:anchor="page34">
              <w:r>
                <w:rPr>
                  <w:rFonts w:ascii="Arial" w:cs="Arial" w:eastAsia="Arial" w:hAnsi="Arial"/>
                  <w:sz w:val="17"/>
                  <w:szCs w:val="17"/>
                  <w:color w:val="0000EE"/>
                  <w:w w:val="99"/>
                </w:rPr>
                <w:t>Compensation, Discussion and Analysis</w:t>
              </w:r>
            </w:hyperlink>
          </w:p>
        </w:tc>
        <w:tc>
          <w:tcPr>
            <w:tcW w:w="5700" w:type="dxa"/>
            <w:vAlign w:val="bottom"/>
            <w:gridSpan w:val="8"/>
          </w:tcPr>
          <w:p>
            <w:pPr>
              <w:spacing w:after="0"/>
              <w:rPr>
                <w:sz w:val="24"/>
                <w:szCs w:val="24"/>
                <w:color w:val="auto"/>
              </w:rPr>
            </w:pPr>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30</w:t>
            </w:r>
          </w:p>
        </w:tc>
      </w:tr>
      <w:tr>
        <w:trPr>
          <w:trHeight w:val="224"/>
        </w:trPr>
        <w:tc>
          <w:tcPr>
            <w:tcW w:w="340" w:type="dxa"/>
            <w:vAlign w:val="bottom"/>
          </w:tcPr>
          <w:p>
            <w:pPr>
              <w:spacing w:after="0"/>
              <w:rPr>
                <w:sz w:val="19"/>
                <w:szCs w:val="19"/>
                <w:color w:val="auto"/>
              </w:rPr>
            </w:pPr>
          </w:p>
        </w:tc>
        <w:tc>
          <w:tcPr>
            <w:tcW w:w="2540" w:type="dxa"/>
            <w:vAlign w:val="bottom"/>
            <w:tcBorders>
              <w:bottom w:val="single" w:sz="8" w:color="0000EE"/>
            </w:tcBorders>
            <w:gridSpan w:val="9"/>
          </w:tcPr>
          <w:p>
            <w:pPr>
              <w:spacing w:after="0"/>
              <w:rPr>
                <w:rFonts w:ascii="Arial" w:cs="Arial" w:eastAsia="Arial" w:hAnsi="Arial"/>
                <w:sz w:val="17"/>
                <w:szCs w:val="17"/>
                <w:color w:val="0000EE"/>
                <w:w w:val="99"/>
              </w:rPr>
            </w:pPr>
            <w:hyperlink w:anchor="page50">
              <w:r>
                <w:rPr>
                  <w:rFonts w:ascii="Arial" w:cs="Arial" w:eastAsia="Arial" w:hAnsi="Arial"/>
                  <w:sz w:val="17"/>
                  <w:szCs w:val="17"/>
                  <w:color w:val="0000EE"/>
                  <w:w w:val="99"/>
                </w:rPr>
                <w:t>Compensation Committee Report</w:t>
              </w:r>
            </w:hyperlink>
          </w:p>
        </w:tc>
        <w:tc>
          <w:tcPr>
            <w:tcW w:w="6200" w:type="dxa"/>
            <w:vAlign w:val="bottom"/>
            <w:gridSpan w:val="12"/>
          </w:tcPr>
          <w:p>
            <w:pPr>
              <w:spacing w:after="0"/>
              <w:rPr>
                <w:sz w:val="19"/>
                <w:szCs w:val="19"/>
                <w:color w:val="auto"/>
              </w:rPr>
            </w:pPr>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46</w:t>
            </w:r>
          </w:p>
        </w:tc>
      </w:tr>
      <w:tr>
        <w:trPr>
          <w:trHeight w:val="224"/>
        </w:trPr>
        <w:tc>
          <w:tcPr>
            <w:tcW w:w="340" w:type="dxa"/>
            <w:vAlign w:val="bottom"/>
          </w:tcPr>
          <w:p>
            <w:pPr>
              <w:spacing w:after="0"/>
              <w:rPr>
                <w:sz w:val="19"/>
                <w:szCs w:val="19"/>
                <w:color w:val="auto"/>
              </w:rPr>
            </w:pPr>
          </w:p>
        </w:tc>
        <w:tc>
          <w:tcPr>
            <w:tcW w:w="2340" w:type="dxa"/>
            <w:vAlign w:val="bottom"/>
            <w:tcBorders>
              <w:bottom w:val="single" w:sz="8" w:color="0000EE"/>
            </w:tcBorders>
            <w:gridSpan w:val="8"/>
          </w:tcPr>
          <w:p>
            <w:pPr>
              <w:spacing w:after="0"/>
              <w:rPr>
                <w:rFonts w:ascii="Arial" w:cs="Arial" w:eastAsia="Arial" w:hAnsi="Arial"/>
                <w:sz w:val="17"/>
                <w:szCs w:val="17"/>
                <w:color w:val="0000EE"/>
                <w:w w:val="98"/>
              </w:rPr>
            </w:pPr>
            <w:hyperlink w:anchor="page51">
              <w:r>
                <w:rPr>
                  <w:rFonts w:ascii="Arial" w:cs="Arial" w:eastAsia="Arial" w:hAnsi="Arial"/>
                  <w:sz w:val="17"/>
                  <w:szCs w:val="17"/>
                  <w:color w:val="0000EE"/>
                  <w:w w:val="98"/>
                </w:rPr>
                <w:t>Summary Compensation Table</w:t>
              </w:r>
            </w:hyperlink>
          </w:p>
        </w:tc>
        <w:tc>
          <w:tcPr>
            <w:tcW w:w="6400" w:type="dxa"/>
            <w:vAlign w:val="bottom"/>
            <w:gridSpan w:val="13"/>
          </w:tcPr>
          <w:p>
            <w:pPr>
              <w:spacing w:after="0"/>
              <w:rPr>
                <w:sz w:val="19"/>
                <w:szCs w:val="19"/>
                <w:color w:val="auto"/>
              </w:rPr>
            </w:pPr>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47</w:t>
            </w:r>
          </w:p>
        </w:tc>
      </w:tr>
      <w:tr>
        <w:trPr>
          <w:trHeight w:val="467"/>
        </w:trPr>
        <w:tc>
          <w:tcPr>
            <w:tcW w:w="9080" w:type="dxa"/>
            <w:vAlign w:val="bottom"/>
            <w:gridSpan w:val="22"/>
          </w:tcPr>
          <w:p>
            <w:pPr>
              <w:spacing w:after="0"/>
              <w:rPr>
                <w:rFonts w:ascii="Arial" w:cs="Arial" w:eastAsia="Arial" w:hAnsi="Arial"/>
                <w:sz w:val="17"/>
                <w:szCs w:val="17"/>
                <w:color w:val="0000EE"/>
              </w:rPr>
            </w:pPr>
            <w:hyperlink w:anchor="page70">
              <w:r>
                <w:rPr>
                  <w:rFonts w:ascii="Arial" w:cs="Arial" w:eastAsia="Arial" w:hAnsi="Arial"/>
                  <w:sz w:val="17"/>
                  <w:szCs w:val="17"/>
                  <w:color w:val="0000EE"/>
                </w:rPr>
                <w:t>STOCK OWNERSHIP OF DIRECTORS, EXECUTIVE OFFICERS AND CERTAIN BENEFICIAL OWNERS</w:t>
              </w:r>
            </w:hyperlink>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66</w:t>
            </w:r>
          </w:p>
        </w:tc>
      </w:tr>
      <w:tr>
        <w:trPr>
          <w:trHeight w:val="467"/>
        </w:trPr>
        <w:tc>
          <w:tcPr>
            <w:tcW w:w="8040" w:type="dxa"/>
            <w:vAlign w:val="bottom"/>
            <w:tcBorders>
              <w:top w:val="single" w:sz="8" w:color="0000EE"/>
            </w:tcBorders>
            <w:gridSpan w:val="20"/>
          </w:tcPr>
          <w:p>
            <w:pPr>
              <w:spacing w:after="0"/>
              <w:rPr>
                <w:rFonts w:ascii="Arial" w:cs="Arial" w:eastAsia="Arial" w:hAnsi="Arial"/>
                <w:sz w:val="17"/>
                <w:szCs w:val="17"/>
                <w:color w:val="0000EE"/>
              </w:rPr>
            </w:pPr>
            <w:hyperlink w:anchor="page72">
              <w:r>
                <w:rPr>
                  <w:rFonts w:ascii="Arial" w:cs="Arial" w:eastAsia="Arial" w:hAnsi="Arial"/>
                  <w:sz w:val="17"/>
                  <w:szCs w:val="17"/>
                  <w:color w:val="0000EE"/>
                </w:rPr>
                <w:t>CERTAIN RELATIONSHIPS AND RELATED PERSON TRANSACTIONS</w:t>
              </w:r>
            </w:hyperlink>
          </w:p>
        </w:tc>
        <w:tc>
          <w:tcPr>
            <w:tcW w:w="1040" w:type="dxa"/>
            <w:vAlign w:val="bottom"/>
            <w:gridSpan w:val="2"/>
          </w:tcPr>
          <w:p>
            <w:pPr>
              <w:spacing w:after="0"/>
              <w:rPr>
                <w:sz w:val="24"/>
                <w:szCs w:val="24"/>
                <w:color w:val="auto"/>
              </w:rPr>
            </w:pPr>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68</w:t>
            </w:r>
          </w:p>
        </w:tc>
      </w:tr>
      <w:tr>
        <w:trPr>
          <w:trHeight w:val="467"/>
        </w:trPr>
        <w:tc>
          <w:tcPr>
            <w:tcW w:w="3020" w:type="dxa"/>
            <w:vAlign w:val="bottom"/>
            <w:tcBorders>
              <w:top w:val="single" w:sz="8" w:color="0000EE"/>
              <w:bottom w:val="single" w:sz="8" w:color="0000EE"/>
            </w:tcBorders>
            <w:gridSpan w:val="12"/>
          </w:tcPr>
          <w:p>
            <w:pPr>
              <w:spacing w:after="0"/>
              <w:rPr>
                <w:rFonts w:ascii="Arial" w:cs="Arial" w:eastAsia="Arial" w:hAnsi="Arial"/>
                <w:sz w:val="17"/>
                <w:szCs w:val="17"/>
                <w:color w:val="0000EE"/>
                <w:w w:val="99"/>
              </w:rPr>
            </w:pPr>
            <w:hyperlink w:anchor="page73">
              <w:r>
                <w:rPr>
                  <w:rFonts w:ascii="Arial" w:cs="Arial" w:eastAsia="Arial" w:hAnsi="Arial"/>
                  <w:sz w:val="17"/>
                  <w:szCs w:val="17"/>
                  <w:color w:val="0000EE"/>
                  <w:w w:val="99"/>
                </w:rPr>
                <w:t>REPORT OF THE AUDIT COMMITTEE</w:t>
              </w:r>
            </w:hyperlink>
          </w:p>
        </w:tc>
        <w:tc>
          <w:tcPr>
            <w:tcW w:w="2500" w:type="dxa"/>
            <w:vAlign w:val="bottom"/>
            <w:tcBorders>
              <w:top w:val="single" w:sz="8" w:color="0000EE"/>
            </w:tcBorders>
            <w:gridSpan w:val="5"/>
          </w:tcPr>
          <w:p>
            <w:pPr>
              <w:spacing w:after="0"/>
              <w:rPr>
                <w:sz w:val="24"/>
                <w:szCs w:val="24"/>
                <w:color w:val="auto"/>
              </w:rPr>
            </w:pPr>
          </w:p>
        </w:tc>
        <w:tc>
          <w:tcPr>
            <w:tcW w:w="3560" w:type="dxa"/>
            <w:vAlign w:val="bottom"/>
            <w:gridSpan w:val="5"/>
          </w:tcPr>
          <w:p>
            <w:pPr>
              <w:spacing w:after="0"/>
              <w:rPr>
                <w:sz w:val="24"/>
                <w:szCs w:val="24"/>
                <w:color w:val="auto"/>
              </w:rPr>
            </w:pPr>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69</w:t>
            </w:r>
          </w:p>
        </w:tc>
      </w:tr>
      <w:tr>
        <w:trPr>
          <w:trHeight w:val="467"/>
        </w:trPr>
        <w:tc>
          <w:tcPr>
            <w:tcW w:w="9080" w:type="dxa"/>
            <w:vAlign w:val="bottom"/>
            <w:gridSpan w:val="22"/>
          </w:tcPr>
          <w:p>
            <w:pPr>
              <w:spacing w:after="0"/>
              <w:rPr>
                <w:rFonts w:ascii="Arial" w:cs="Arial" w:eastAsia="Arial" w:hAnsi="Arial"/>
                <w:sz w:val="17"/>
                <w:szCs w:val="17"/>
                <w:color w:val="0000EE"/>
              </w:rPr>
            </w:pPr>
            <w:hyperlink w:anchor="page74">
              <w:r>
                <w:rPr>
                  <w:rFonts w:ascii="Arial" w:cs="Arial" w:eastAsia="Arial" w:hAnsi="Arial"/>
                  <w:sz w:val="17"/>
                  <w:szCs w:val="17"/>
                  <w:color w:val="0000EE"/>
                </w:rPr>
                <w:t>PROPOSAL 1: ELECTION OF DIRECTORS</w:t>
              </w:r>
            </w:hyperlink>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70</w:t>
            </w:r>
          </w:p>
        </w:tc>
      </w:tr>
      <w:tr>
        <w:trPr>
          <w:trHeight w:val="20"/>
        </w:trPr>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gridSpan w:val="9"/>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67"/>
        </w:trPr>
        <w:tc>
          <w:tcPr>
            <w:tcW w:w="9080" w:type="dxa"/>
            <w:vAlign w:val="bottom"/>
            <w:gridSpan w:val="22"/>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PROPOSAL 2: RATIFICATION OF THE APPOINTMENT OF INDEPENDENT REGISTERED PUBLIC ACCOUNTING</w:t>
              </w:r>
            </w:hyperlink>
          </w:p>
        </w:tc>
        <w:tc>
          <w:tcPr>
            <w:tcW w:w="380" w:type="dxa"/>
            <w:vAlign w:val="bottom"/>
          </w:tcPr>
          <w:p>
            <w:pPr>
              <w:spacing w:after="0"/>
              <w:rPr>
                <w:sz w:val="24"/>
                <w:szCs w:val="24"/>
                <w:color w:val="auto"/>
              </w:rPr>
            </w:pPr>
          </w:p>
        </w:tc>
      </w:tr>
      <w:tr>
        <w:trPr>
          <w:trHeight w:val="172"/>
        </w:trPr>
        <w:tc>
          <w:tcPr>
            <w:tcW w:w="340" w:type="dxa"/>
            <w:vAlign w:val="bottom"/>
            <w:tcBorders>
              <w:top w:val="single" w:sz="8" w:color="0000EE"/>
            </w:tcBorders>
          </w:tcPr>
          <w:p>
            <w:pPr>
              <w:spacing w:after="0"/>
              <w:rPr>
                <w:sz w:val="14"/>
                <w:szCs w:val="14"/>
                <w:color w:val="auto"/>
              </w:rPr>
            </w:pPr>
          </w:p>
        </w:tc>
        <w:tc>
          <w:tcPr>
            <w:tcW w:w="420" w:type="dxa"/>
            <w:vAlign w:val="bottom"/>
            <w:tcBorders>
              <w:top w:val="single" w:sz="8" w:color="0000EE"/>
              <w:bottom w:val="single" w:sz="8" w:color="0000EE"/>
            </w:tcBorders>
          </w:tcPr>
          <w:p>
            <w:pPr>
              <w:spacing w:after="0" w:line="172" w:lineRule="exact"/>
              <w:rPr>
                <w:rFonts w:ascii="Arial" w:cs="Arial" w:eastAsia="Arial" w:hAnsi="Arial"/>
                <w:sz w:val="17"/>
                <w:szCs w:val="17"/>
                <w:color w:val="0000EE"/>
                <w:w w:val="96"/>
              </w:rPr>
            </w:pPr>
            <w:hyperlink w:anchor="page75">
              <w:r>
                <w:rPr>
                  <w:rFonts w:ascii="Arial" w:cs="Arial" w:eastAsia="Arial" w:hAnsi="Arial"/>
                  <w:sz w:val="17"/>
                  <w:szCs w:val="17"/>
                  <w:color w:val="0000EE"/>
                  <w:w w:val="96"/>
                </w:rPr>
                <w:t>FIRM</w:t>
              </w:r>
            </w:hyperlink>
          </w:p>
        </w:tc>
        <w:tc>
          <w:tcPr>
            <w:tcW w:w="8080" w:type="dxa"/>
            <w:vAlign w:val="bottom"/>
            <w:tcBorders>
              <w:top w:val="single" w:sz="8" w:color="0000EE"/>
            </w:tcBorders>
            <w:gridSpan w:val="19"/>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ind w:right="16"/>
              <w:spacing w:after="0" w:line="172" w:lineRule="exact"/>
              <w:rPr>
                <w:sz w:val="20"/>
                <w:szCs w:val="20"/>
                <w:color w:val="auto"/>
              </w:rPr>
            </w:pPr>
            <w:r>
              <w:rPr>
                <w:rFonts w:ascii="Arial" w:cs="Arial" w:eastAsia="Arial" w:hAnsi="Arial"/>
                <w:sz w:val="17"/>
                <w:szCs w:val="17"/>
                <w:color w:val="auto"/>
              </w:rPr>
              <w:t>71</w:t>
            </w:r>
          </w:p>
        </w:tc>
      </w:tr>
      <w:tr>
        <w:trPr>
          <w:trHeight w:val="467"/>
        </w:trPr>
        <w:tc>
          <w:tcPr>
            <w:tcW w:w="6620" w:type="dxa"/>
            <w:vAlign w:val="bottom"/>
            <w:tcBorders>
              <w:bottom w:val="single" w:sz="8" w:color="0000EE"/>
            </w:tcBorders>
            <w:gridSpan w:val="18"/>
          </w:tcPr>
          <w:p>
            <w:pPr>
              <w:spacing w:after="0"/>
              <w:rPr>
                <w:rFonts w:ascii="Arial" w:cs="Arial" w:eastAsia="Arial" w:hAnsi="Arial"/>
                <w:sz w:val="17"/>
                <w:szCs w:val="17"/>
                <w:color w:val="0000EE"/>
                <w:w w:val="99"/>
              </w:rPr>
            </w:pPr>
            <w:hyperlink w:anchor="page78">
              <w:r>
                <w:rPr>
                  <w:rFonts w:ascii="Arial" w:cs="Arial" w:eastAsia="Arial" w:hAnsi="Arial"/>
                  <w:sz w:val="17"/>
                  <w:szCs w:val="17"/>
                  <w:color w:val="0000EE"/>
                  <w:w w:val="99"/>
                </w:rPr>
                <w:t>PROPOSAL 3: ADVISORY (NON-BINDING) VOTE ON EXECUTIVE COMPENSATION</w:t>
              </w:r>
            </w:hyperlink>
          </w:p>
        </w:tc>
        <w:tc>
          <w:tcPr>
            <w:tcW w:w="2460" w:type="dxa"/>
            <w:vAlign w:val="bottom"/>
            <w:gridSpan w:val="4"/>
          </w:tcPr>
          <w:p>
            <w:pPr>
              <w:spacing w:after="0"/>
              <w:rPr>
                <w:sz w:val="24"/>
                <w:szCs w:val="24"/>
                <w:color w:val="auto"/>
              </w:rPr>
            </w:pPr>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74</w:t>
            </w:r>
          </w:p>
        </w:tc>
      </w:tr>
      <w:tr>
        <w:trPr>
          <w:trHeight w:val="480"/>
        </w:trPr>
        <w:tc>
          <w:tcPr>
            <w:tcW w:w="9080" w:type="dxa"/>
            <w:vAlign w:val="bottom"/>
            <w:gridSpan w:val="22"/>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PROPOSAL 4: APPROVAL OF THE 2018 OMNIBUS INCENTIVE PLAN</w:t>
              </w:r>
            </w:hyperlink>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75</w:t>
            </w:r>
          </w:p>
        </w:tc>
      </w:tr>
      <w:tr>
        <w:trPr>
          <w:trHeight w:val="20"/>
        </w:trPr>
        <w:tc>
          <w:tcPr>
            <w:tcW w:w="1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20" w:type="dxa"/>
            <w:vAlign w:val="bottom"/>
            <w:gridSpan w:val="12"/>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67"/>
        </w:trPr>
        <w:tc>
          <w:tcPr>
            <w:tcW w:w="7780" w:type="dxa"/>
            <w:vAlign w:val="bottom"/>
            <w:tcBorders>
              <w:bottom w:val="single" w:sz="8" w:color="0000EE"/>
            </w:tcBorders>
            <w:gridSpan w:val="19"/>
          </w:tcPr>
          <w:p>
            <w:pPr>
              <w:spacing w:after="0"/>
              <w:rPr>
                <w:rFonts w:ascii="Arial" w:cs="Arial" w:eastAsia="Arial" w:hAnsi="Arial"/>
                <w:sz w:val="17"/>
                <w:szCs w:val="17"/>
                <w:color w:val="0000EE"/>
              </w:rPr>
            </w:pPr>
            <w:hyperlink w:anchor="page88">
              <w:r>
                <w:rPr>
                  <w:rFonts w:ascii="Arial" w:cs="Arial" w:eastAsia="Arial" w:hAnsi="Arial"/>
                  <w:sz w:val="17"/>
                  <w:szCs w:val="17"/>
                  <w:color w:val="0000EE"/>
                </w:rPr>
                <w:t>STOCKHOLDER PROPOSALS AND DIRECTOR NOMINATIONS FOR THE 2018 ANNUAL MEETING</w:t>
              </w:r>
            </w:hyperlink>
          </w:p>
        </w:tc>
        <w:tc>
          <w:tcPr>
            <w:tcW w:w="1300" w:type="dxa"/>
            <w:vAlign w:val="bottom"/>
            <w:gridSpan w:val="3"/>
          </w:tcPr>
          <w:p>
            <w:pPr>
              <w:spacing w:after="0"/>
              <w:rPr>
                <w:sz w:val="24"/>
                <w:szCs w:val="24"/>
                <w:color w:val="auto"/>
              </w:rPr>
            </w:pPr>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84</w:t>
            </w:r>
          </w:p>
        </w:tc>
      </w:tr>
      <w:tr>
        <w:trPr>
          <w:trHeight w:val="467"/>
        </w:trPr>
        <w:tc>
          <w:tcPr>
            <w:tcW w:w="1460" w:type="dxa"/>
            <w:vAlign w:val="bottom"/>
            <w:tcBorders>
              <w:bottom w:val="single" w:sz="8" w:color="0000EE"/>
            </w:tcBorders>
            <w:gridSpan w:val="4"/>
          </w:tcPr>
          <w:p>
            <w:pPr>
              <w:spacing w:after="0"/>
              <w:rPr>
                <w:rFonts w:ascii="Arial" w:cs="Arial" w:eastAsia="Arial" w:hAnsi="Arial"/>
                <w:sz w:val="17"/>
                <w:szCs w:val="17"/>
                <w:color w:val="0000EE"/>
                <w:w w:val="99"/>
              </w:rPr>
            </w:pPr>
            <w:hyperlink w:anchor="page89">
              <w:r>
                <w:rPr>
                  <w:rFonts w:ascii="Arial" w:cs="Arial" w:eastAsia="Arial" w:hAnsi="Arial"/>
                  <w:sz w:val="17"/>
                  <w:szCs w:val="17"/>
                  <w:color w:val="0000EE"/>
                  <w:w w:val="99"/>
                </w:rPr>
                <w:t>MISCELLANEOUS</w:t>
              </w:r>
            </w:hyperlink>
          </w:p>
        </w:tc>
        <w:tc>
          <w:tcPr>
            <w:tcW w:w="7620" w:type="dxa"/>
            <w:vAlign w:val="bottom"/>
            <w:gridSpan w:val="18"/>
          </w:tcPr>
          <w:p>
            <w:pPr>
              <w:spacing w:after="0"/>
              <w:rPr>
                <w:sz w:val="24"/>
                <w:szCs w:val="24"/>
                <w:color w:val="auto"/>
              </w:rPr>
            </w:pPr>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85</w:t>
            </w:r>
          </w:p>
        </w:tc>
      </w:tr>
      <w:tr>
        <w:trPr>
          <w:trHeight w:val="467"/>
        </w:trPr>
        <w:tc>
          <w:tcPr>
            <w:tcW w:w="9080" w:type="dxa"/>
            <w:vAlign w:val="bottom"/>
            <w:gridSpan w:val="22"/>
          </w:tcPr>
          <w:p>
            <w:pPr>
              <w:spacing w:after="0"/>
              <w:rPr>
                <w:rFonts w:ascii="Arial" w:cs="Arial" w:eastAsia="Arial" w:hAnsi="Arial"/>
                <w:sz w:val="17"/>
                <w:szCs w:val="17"/>
                <w:color w:val="0000EE"/>
              </w:rPr>
            </w:pPr>
            <w:hyperlink w:anchor="page90">
              <w:r>
                <w:rPr>
                  <w:rFonts w:ascii="Arial" w:cs="Arial" w:eastAsia="Arial" w:hAnsi="Arial"/>
                  <w:sz w:val="17"/>
                  <w:szCs w:val="17"/>
                  <w:color w:val="0000EE"/>
                </w:rPr>
                <w:t>OTHER MATTERS</w:t>
              </w:r>
            </w:hyperlink>
          </w:p>
        </w:tc>
        <w:tc>
          <w:tcPr>
            <w:tcW w:w="380" w:type="dxa"/>
            <w:vAlign w:val="bottom"/>
          </w:tcPr>
          <w:p>
            <w:pPr>
              <w:jc w:val="right"/>
              <w:ind w:right="16"/>
              <w:spacing w:after="0"/>
              <w:rPr>
                <w:sz w:val="20"/>
                <w:szCs w:val="20"/>
                <w:color w:val="auto"/>
              </w:rPr>
            </w:pPr>
            <w:r>
              <w:rPr>
                <w:rFonts w:ascii="Arial" w:cs="Arial" w:eastAsia="Arial" w:hAnsi="Arial"/>
                <w:sz w:val="17"/>
                <w:szCs w:val="17"/>
                <w:color w:val="auto"/>
              </w:rPr>
              <w:t>86</w:t>
            </w:r>
          </w:p>
        </w:tc>
      </w:tr>
      <w:tr>
        <w:trPr>
          <w:trHeight w:val="20"/>
        </w:trPr>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2947035</wp:posOffset>
            </wp:positionV>
            <wp:extent cx="731075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460"/>
          </w:cols>
          <w:pgMar w:left="1260" w:top="1131" w:right="1179" w:bottom="1440" w:gutter="0" w:footer="0" w:header="0"/>
        </w:sectPr>
      </w:pPr>
    </w:p>
    <w:bookmarkStart w:id="4" w:name="page5"/>
    <w:bookmarkEnd w:id="4"/>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24"/>
          <w:szCs w:val="24"/>
          <w:b w:val="1"/>
          <w:bCs w:val="1"/>
          <w:color w:val="DD924E"/>
        </w:rPr>
        <w:t>PROXY STATEMENT</w:t>
      </w:r>
    </w:p>
    <w:p>
      <w:pPr>
        <w:spacing w:after="0" w:line="131"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518DC8"/>
        </w:rPr>
        <w:t>2018 PROXY STATEMENT SUMMARY</w:t>
      </w:r>
    </w:p>
    <w:p>
      <w:pPr>
        <w:sectPr>
          <w:pgSz w:w="11900" w:h="16838" w:orient="portrait"/>
          <w:cols w:equalWidth="0" w:num="1">
            <w:col w:w="9019"/>
          </w:cols>
          <w:pgMar w:left="1440" w:top="1440" w:right="1440" w:bottom="1440" w:gutter="0" w:footer="0" w:header="0"/>
        </w:sectPr>
      </w:pPr>
    </w:p>
    <w:p>
      <w:pPr>
        <w:spacing w:after="0" w:line="179"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518DC8"/>
        </w:rPr>
        <w:t>Summary</w:t>
      </w:r>
    </w:p>
    <w:p>
      <w:pPr>
        <w:spacing w:after="0" w:line="162" w:lineRule="exact"/>
        <w:rPr>
          <w:sz w:val="20"/>
          <w:szCs w:val="20"/>
          <w:color w:val="auto"/>
        </w:rPr>
      </w:pPr>
    </w:p>
    <w:p>
      <w:pPr>
        <w:jc w:val="both"/>
        <w:ind w:left="200"/>
        <w:spacing w:after="0" w:line="237" w:lineRule="auto"/>
        <w:rPr>
          <w:sz w:val="20"/>
          <w:szCs w:val="20"/>
          <w:color w:val="auto"/>
        </w:rPr>
      </w:pPr>
      <w:r>
        <w:rPr>
          <w:rFonts w:ascii="Arial" w:cs="Arial" w:eastAsia="Arial" w:hAnsi="Arial"/>
          <w:sz w:val="17"/>
          <w:szCs w:val="17"/>
          <w:color w:val="auto"/>
        </w:rPr>
        <w:t>Below is a summary of selected key components of this proxy statement, including information regarding this year’s stockholder meeting, nominees for our board of directors, summary of our business, performance highlights and selective executive compensation information. This summary does not contain all of the information that you should consider prior to submitting your proxy, and you should review the entire proxy statement and our Annual Report on Form 10-K for the fiscal year ended December 31, 2017 (the “2017 Form 10-K”).</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780"/>
        <w:spacing w:after="0"/>
        <w:rPr>
          <w:sz w:val="20"/>
          <w:szCs w:val="20"/>
          <w:color w:val="auto"/>
        </w:rPr>
      </w:pPr>
      <w:r>
        <w:rPr>
          <w:rFonts w:ascii="Arial" w:cs="Arial" w:eastAsia="Arial" w:hAnsi="Arial"/>
          <w:sz w:val="21"/>
          <w:szCs w:val="21"/>
          <w:b w:val="1"/>
          <w:bCs w:val="1"/>
          <w:color w:val="FFFFFF"/>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-156845</wp:posOffset>
            </wp:positionV>
            <wp:extent cx="2865755" cy="1742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65755" cy="174244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 and Date: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8:30 AM (Eastern Time)</w:t>
      </w:r>
    </w:p>
    <w:p>
      <w:pPr>
        <w:spacing w:after="0"/>
        <w:rPr>
          <w:sz w:val="20"/>
          <w:szCs w:val="20"/>
          <w:color w:val="auto"/>
        </w:rPr>
      </w:pPr>
      <w:r>
        <w:rPr>
          <w:rFonts w:ascii="Arial" w:cs="Arial" w:eastAsia="Arial" w:hAnsi="Arial"/>
          <w:sz w:val="17"/>
          <w:szCs w:val="17"/>
          <w:color w:val="auto"/>
        </w:rPr>
        <w:t>June 15, 2018</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April 23, 2018</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Place:</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ExlService Holdings, Inc.</w:t>
      </w:r>
    </w:p>
    <w:p>
      <w:pPr>
        <w:ind w:left="340"/>
        <w:spacing w:after="0" w:line="236" w:lineRule="auto"/>
        <w:rPr>
          <w:sz w:val="20"/>
          <w:szCs w:val="20"/>
          <w:color w:val="auto"/>
        </w:rPr>
      </w:pPr>
      <w:r>
        <w:rPr>
          <w:rFonts w:ascii="Arial" w:cs="Arial" w:eastAsia="Arial" w:hAnsi="Arial"/>
          <w:sz w:val="17"/>
          <w:szCs w:val="17"/>
          <w:color w:val="auto"/>
        </w:rPr>
        <w:t>280 Park Avenue, 38th Floor</w:t>
      </w:r>
    </w:p>
    <w:p>
      <w:pPr>
        <w:ind w:left="340"/>
        <w:spacing w:after="0"/>
        <w:rPr>
          <w:sz w:val="20"/>
          <w:szCs w:val="20"/>
          <w:color w:val="auto"/>
        </w:rPr>
      </w:pPr>
      <w:r>
        <w:rPr>
          <w:rFonts w:ascii="Arial" w:cs="Arial" w:eastAsia="Arial" w:hAnsi="Arial"/>
          <w:sz w:val="17"/>
          <w:szCs w:val="17"/>
          <w:color w:val="auto"/>
        </w:rPr>
        <w:t>New York, New York 10017</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Stockholders as of the record date are entitled to vote</w:t>
      </w:r>
    </w:p>
    <w:p>
      <w:pPr>
        <w:spacing w:after="0" w:line="170" w:lineRule="exact"/>
        <w:rPr>
          <w:sz w:val="20"/>
          <w:szCs w:val="20"/>
          <w:color w:val="auto"/>
        </w:rPr>
      </w:pPr>
    </w:p>
    <w:p>
      <w:pPr>
        <w:sectPr>
          <w:pgSz w:w="11900" w:h="16838" w:orient="portrait"/>
          <w:cols w:equalWidth="0" w:num="2">
            <w:col w:w="4060" w:space="500"/>
            <w:col w:w="4459"/>
          </w:cols>
          <w:pgMar w:left="1440" w:top="1440" w:right="1440" w:bottom="1440" w:gutter="0" w:footer="0" w:header="0"/>
          <w:type w:val="continuous"/>
        </w:sectPr>
      </w:pPr>
    </w:p>
    <w:p>
      <w:pPr>
        <w:ind w:left="160"/>
        <w:spacing w:after="0"/>
        <w:rPr>
          <w:sz w:val="20"/>
          <w:szCs w:val="20"/>
          <w:color w:val="auto"/>
        </w:rPr>
      </w:pPr>
      <w:r>
        <w:rPr>
          <w:rFonts w:ascii="Arial" w:cs="Arial" w:eastAsia="Arial" w:hAnsi="Arial"/>
          <w:sz w:val="21"/>
          <w:szCs w:val="21"/>
          <w:b w:val="1"/>
          <w:bCs w:val="1"/>
          <w:color w:val="518DC8"/>
        </w:rPr>
        <w:t>Meeting Agenda, Voting Matters and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95250</wp:posOffset>
            </wp:positionV>
            <wp:extent cx="5576570" cy="1873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6570" cy="187325"/>
                    </a:xfrm>
                    <a:prstGeom prst="rect">
                      <a:avLst/>
                    </a:prstGeom>
                    <a:noFill/>
                  </pic:spPr>
                </pic:pic>
              </a:graphicData>
            </a:graphic>
          </wp:anchor>
        </w:drawing>
      </w:r>
    </w:p>
    <w:p>
      <w:pPr>
        <w:spacing w:after="0" w:line="13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FFFFFF"/>
        </w:rPr>
        <w:t>The Board of Directors recommends a vote FOR 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29845</wp:posOffset>
            </wp:positionV>
            <wp:extent cx="5576570" cy="1270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6570" cy="1270000"/>
                    </a:xfrm>
                    <a:prstGeom prst="rect">
                      <a:avLst/>
                    </a:prstGeom>
                    <a:noFill/>
                  </pic:spPr>
                </pic:pic>
              </a:graphicData>
            </a:graphic>
          </wp:anchor>
        </w:drawing>
      </w:r>
    </w:p>
    <w:p>
      <w:pPr>
        <w:spacing w:after="0" w:line="52" w:lineRule="exact"/>
        <w:rPr>
          <w:sz w:val="20"/>
          <w:szCs w:val="20"/>
          <w:color w:val="auto"/>
        </w:rPr>
      </w:pPr>
    </w:p>
    <w:p>
      <w:pPr>
        <w:ind w:left="900" w:right="159" w:hanging="341"/>
        <w:spacing w:after="0" w:line="247" w:lineRule="auto"/>
        <w:tabs>
          <w:tab w:leader="none" w:pos="90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 election of three Class III members of the board of directors of the Company for a term of three years each (page 70);</w:t>
      </w:r>
    </w:p>
    <w:p>
      <w:pPr>
        <w:spacing w:after="0" w:line="33" w:lineRule="exact"/>
        <w:rPr>
          <w:rFonts w:ascii="Arial" w:cs="Arial" w:eastAsia="Arial" w:hAnsi="Arial"/>
          <w:sz w:val="17"/>
          <w:szCs w:val="17"/>
          <w:b w:val="1"/>
          <w:bCs w:val="1"/>
          <w:color w:val="auto"/>
        </w:rPr>
      </w:pPr>
    </w:p>
    <w:p>
      <w:pPr>
        <w:ind w:left="900" w:right="159" w:hanging="341"/>
        <w:spacing w:after="0" w:line="247" w:lineRule="auto"/>
        <w:tabs>
          <w:tab w:leader="none" w:pos="90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 ratification of the selection of Deloitte &amp; Touche LLP as the independent registered public accounting firm of the Company for fiscal year 2018 (page 71);</w:t>
      </w:r>
    </w:p>
    <w:p>
      <w:pPr>
        <w:spacing w:after="0" w:line="33" w:lineRule="exact"/>
        <w:rPr>
          <w:rFonts w:ascii="Arial" w:cs="Arial" w:eastAsia="Arial" w:hAnsi="Arial"/>
          <w:sz w:val="17"/>
          <w:szCs w:val="17"/>
          <w:b w:val="1"/>
          <w:bCs w:val="1"/>
          <w:color w:val="auto"/>
        </w:rPr>
      </w:pPr>
    </w:p>
    <w:p>
      <w:pPr>
        <w:ind w:left="900" w:right="159" w:hanging="341"/>
        <w:spacing w:after="0" w:line="247" w:lineRule="auto"/>
        <w:tabs>
          <w:tab w:leader="none" w:pos="90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 approval, on a non-binding advisory basis, of the compensation of the named executive officers of the Company (page 74);</w:t>
      </w:r>
    </w:p>
    <w:p>
      <w:pPr>
        <w:spacing w:after="0" w:line="33" w:lineRule="exact"/>
        <w:rPr>
          <w:rFonts w:ascii="Arial" w:cs="Arial" w:eastAsia="Arial" w:hAnsi="Arial"/>
          <w:sz w:val="17"/>
          <w:szCs w:val="17"/>
          <w:b w:val="1"/>
          <w:bCs w:val="1"/>
          <w:color w:val="auto"/>
        </w:rPr>
      </w:pPr>
    </w:p>
    <w:p>
      <w:pPr>
        <w:ind w:left="900" w:hanging="341"/>
        <w:spacing w:after="0"/>
        <w:tabs>
          <w:tab w:leader="none" w:pos="90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 approval of the 2018 Omnibus Incentive Plan (page 75); and</w:t>
      </w:r>
    </w:p>
    <w:p>
      <w:pPr>
        <w:spacing w:after="0" w:line="48" w:lineRule="exact"/>
        <w:rPr>
          <w:rFonts w:ascii="Arial" w:cs="Arial" w:eastAsia="Arial" w:hAnsi="Arial"/>
          <w:sz w:val="17"/>
          <w:szCs w:val="17"/>
          <w:b w:val="1"/>
          <w:bCs w:val="1"/>
          <w:color w:val="auto"/>
        </w:rPr>
      </w:pPr>
    </w:p>
    <w:p>
      <w:pPr>
        <w:ind w:left="900" w:right="139" w:hanging="341"/>
        <w:spacing w:after="0" w:line="247" w:lineRule="auto"/>
        <w:tabs>
          <w:tab w:leader="none" w:pos="90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 transaction of such other business as may properly come before the Annual Meeting or any adjournment or postponement thereof.</w:t>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 w:name="page6"/>
    <w:bookmarkEnd w:id="5"/>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Board and Corporate Governance Highlights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(Based on current board profile and practices)</w:t>
      </w:r>
    </w:p>
    <w:p>
      <w:pPr>
        <w:spacing w:after="0" w:line="119" w:lineRule="exact"/>
        <w:rPr>
          <w:sz w:val="20"/>
          <w:szCs w:val="20"/>
          <w:color w:val="auto"/>
        </w:rPr>
      </w:pPr>
    </w:p>
    <w:p>
      <w:pPr>
        <w:jc w:val="center"/>
        <w:ind w:right="3339"/>
        <w:spacing w:after="0"/>
        <w:rPr>
          <w:sz w:val="20"/>
          <w:szCs w:val="20"/>
          <w:color w:val="auto"/>
        </w:rPr>
      </w:pPr>
      <w:r>
        <w:rPr>
          <w:rFonts w:ascii="Arial" w:cs="Arial" w:eastAsia="Arial" w:hAnsi="Arial"/>
          <w:sz w:val="21"/>
          <w:szCs w:val="21"/>
          <w:b w:val="1"/>
          <w:bCs w:val="1"/>
          <w:color w:val="FFFFFF"/>
        </w:rPr>
        <w:t>Board of Directors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706745" cy="1180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6745" cy="1180465"/>
                    </a:xfrm>
                    <a:prstGeom prst="rect">
                      <a:avLst/>
                    </a:prstGeom>
                    <a:noFill/>
                  </pic:spPr>
                </pic:pic>
              </a:graphicData>
            </a:graphic>
          </wp:anchor>
        </w:drawing>
      </w:r>
    </w:p>
    <w:p>
      <w:pPr>
        <w:spacing w:after="0" w:line="193" w:lineRule="exact"/>
        <w:rPr>
          <w:sz w:val="20"/>
          <w:szCs w:val="20"/>
          <w:color w:val="auto"/>
        </w:rPr>
      </w:pPr>
    </w:p>
    <w:p>
      <w:pPr>
        <w:ind w:left="840" w:right="3519" w:hanging="345"/>
        <w:spacing w:after="0" w:line="236" w:lineRule="auto"/>
        <w:tabs>
          <w:tab w:leader="none" w:pos="840" w:val="left"/>
        </w:tabs>
        <w:numPr>
          <w:ilvl w:val="0"/>
          <w:numId w:val="6"/>
        </w:numPr>
        <w:rPr>
          <w:rFonts w:ascii="Arial" w:cs="Arial" w:eastAsia="Arial" w:hAnsi="Arial"/>
          <w:sz w:val="17"/>
          <w:szCs w:val="17"/>
          <w:color w:val="DD924E"/>
        </w:rPr>
      </w:pPr>
      <w:r>
        <w:rPr>
          <w:rFonts w:ascii="Arial" w:cs="Arial" w:eastAsia="Arial" w:hAnsi="Arial"/>
          <w:sz w:val="17"/>
          <w:szCs w:val="17"/>
          <w:color w:val="auto"/>
        </w:rPr>
        <w:t>Eight directors, all of whom are independent except for our Vice Chairman &amp; CEO</w:t>
      </w:r>
    </w:p>
    <w:p>
      <w:pPr>
        <w:ind w:left="840" w:hanging="345"/>
        <w:spacing w:after="0" w:line="236" w:lineRule="auto"/>
        <w:tabs>
          <w:tab w:leader="none" w:pos="840" w:val="left"/>
        </w:tabs>
        <w:numPr>
          <w:ilvl w:val="0"/>
          <w:numId w:val="6"/>
        </w:numPr>
        <w:rPr>
          <w:rFonts w:ascii="Arial" w:cs="Arial" w:eastAsia="Arial" w:hAnsi="Arial"/>
          <w:sz w:val="17"/>
          <w:szCs w:val="17"/>
          <w:color w:val="DD924E"/>
        </w:rPr>
      </w:pPr>
      <w:r>
        <w:rPr>
          <w:rFonts w:ascii="Arial" w:cs="Arial" w:eastAsia="Arial" w:hAnsi="Arial"/>
          <w:sz w:val="17"/>
          <w:szCs w:val="17"/>
          <w:color w:val="auto"/>
        </w:rPr>
        <w:t>Independent board chairman</w:t>
      </w:r>
    </w:p>
    <w:p>
      <w:pPr>
        <w:ind w:left="840" w:right="3499" w:hanging="345"/>
        <w:spacing w:after="0" w:line="236" w:lineRule="auto"/>
        <w:tabs>
          <w:tab w:leader="none" w:pos="840" w:val="left"/>
        </w:tabs>
        <w:numPr>
          <w:ilvl w:val="0"/>
          <w:numId w:val="6"/>
        </w:numPr>
        <w:rPr>
          <w:rFonts w:ascii="Arial" w:cs="Arial" w:eastAsia="Arial" w:hAnsi="Arial"/>
          <w:sz w:val="17"/>
          <w:szCs w:val="17"/>
          <w:color w:val="DD924E"/>
        </w:rPr>
      </w:pPr>
      <w:r>
        <w:rPr>
          <w:rFonts w:ascii="Arial" w:cs="Arial" w:eastAsia="Arial" w:hAnsi="Arial"/>
          <w:sz w:val="17"/>
          <w:szCs w:val="17"/>
          <w:color w:val="auto"/>
        </w:rPr>
        <w:t>Standing board committees composed solely of independent chairs and members</w:t>
      </w:r>
    </w:p>
    <w:p>
      <w:pPr>
        <w:jc w:val="both"/>
        <w:ind w:left="840" w:right="3499" w:hanging="345"/>
        <w:spacing w:after="0" w:line="236" w:lineRule="auto"/>
        <w:tabs>
          <w:tab w:leader="none" w:pos="840" w:val="left"/>
        </w:tabs>
        <w:numPr>
          <w:ilvl w:val="0"/>
          <w:numId w:val="6"/>
        </w:numPr>
        <w:rPr>
          <w:rFonts w:ascii="Arial" w:cs="Arial" w:eastAsia="Arial" w:hAnsi="Arial"/>
          <w:sz w:val="17"/>
          <w:szCs w:val="17"/>
          <w:color w:val="DD924E"/>
        </w:rPr>
      </w:pPr>
      <w:r>
        <w:rPr>
          <w:rFonts w:ascii="Arial" w:cs="Arial" w:eastAsia="Arial" w:hAnsi="Arial"/>
          <w:sz w:val="17"/>
          <w:szCs w:val="17"/>
          <w:color w:val="auto"/>
        </w:rPr>
        <w:t>Seasoned board of directors, with diverse experience, including in insurance, healthcare, utilities, banking and financial services, finance/accounting, global business and technology</w:t>
      </w:r>
    </w:p>
    <w:p>
      <w:pPr>
        <w:ind w:left="840" w:hanging="345"/>
        <w:spacing w:after="0"/>
        <w:tabs>
          <w:tab w:leader="none" w:pos="840" w:val="left"/>
        </w:tabs>
        <w:numPr>
          <w:ilvl w:val="0"/>
          <w:numId w:val="6"/>
        </w:numPr>
        <w:rPr>
          <w:rFonts w:ascii="Arial" w:cs="Arial" w:eastAsia="Arial" w:hAnsi="Arial"/>
          <w:sz w:val="17"/>
          <w:szCs w:val="17"/>
          <w:color w:val="DD924E"/>
        </w:rPr>
      </w:pPr>
      <w:r>
        <w:rPr>
          <w:rFonts w:ascii="Arial" w:cs="Arial" w:eastAsia="Arial" w:hAnsi="Arial"/>
          <w:sz w:val="17"/>
          <w:szCs w:val="17"/>
          <w:color w:val="auto"/>
        </w:rPr>
        <w:t>Diversity in age, gender and other important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-285750</wp:posOffset>
            </wp:positionV>
            <wp:extent cx="2002790" cy="1139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0279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339"/>
        <w:spacing w:after="0"/>
        <w:rPr>
          <w:sz w:val="20"/>
          <w:szCs w:val="20"/>
          <w:color w:val="auto"/>
        </w:rPr>
      </w:pPr>
      <w:r>
        <w:rPr>
          <w:rFonts w:ascii="Arial" w:cs="Arial" w:eastAsia="Arial" w:hAnsi="Arial"/>
          <w:sz w:val="21"/>
          <w:szCs w:val="21"/>
          <w:b w:val="1"/>
          <w:bCs w:val="1"/>
          <w:color w:val="FFFFFF"/>
        </w:rPr>
        <w:t>Board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779770" cy="1497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79770" cy="149796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-148590</wp:posOffset>
            </wp:positionV>
            <wp:extent cx="5779770" cy="14979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79770" cy="1497965"/>
                    </a:xfrm>
                    <a:prstGeom prst="rect">
                      <a:avLst/>
                    </a:prstGeom>
                    <a:noFill/>
                  </pic:spPr>
                </pic:pic>
              </a:graphicData>
            </a:graphic>
          </wp:anchor>
        </w:drawing>
      </w:r>
    </w:p>
    <w:p>
      <w:pPr>
        <w:spacing w:after="0" w:line="203" w:lineRule="exact"/>
        <w:rPr>
          <w:sz w:val="20"/>
          <w:szCs w:val="20"/>
          <w:color w:val="auto"/>
        </w:rPr>
      </w:pPr>
    </w:p>
    <w:p>
      <w:pPr>
        <w:ind w:left="840" w:hanging="345"/>
        <w:spacing w:after="0"/>
        <w:tabs>
          <w:tab w:leader="none" w:pos="840" w:val="left"/>
        </w:tabs>
        <w:numPr>
          <w:ilvl w:val="0"/>
          <w:numId w:val="7"/>
        </w:numPr>
        <w:rPr>
          <w:rFonts w:ascii="Arial" w:cs="Arial" w:eastAsia="Arial" w:hAnsi="Arial"/>
          <w:sz w:val="17"/>
          <w:szCs w:val="17"/>
          <w:color w:val="DD924E"/>
        </w:rPr>
      </w:pPr>
      <w:r>
        <w:rPr>
          <w:rFonts w:ascii="Arial" w:cs="Arial" w:eastAsia="Arial" w:hAnsi="Arial"/>
          <w:sz w:val="17"/>
          <w:szCs w:val="17"/>
          <w:color w:val="auto"/>
        </w:rPr>
        <w:t>Majority voting standard for uncontested elections</w:t>
      </w:r>
    </w:p>
    <w:p>
      <w:pPr>
        <w:ind w:left="840" w:hanging="345"/>
        <w:spacing w:after="0" w:line="236" w:lineRule="auto"/>
        <w:tabs>
          <w:tab w:leader="none" w:pos="840" w:val="left"/>
        </w:tabs>
        <w:numPr>
          <w:ilvl w:val="0"/>
          <w:numId w:val="7"/>
        </w:numPr>
        <w:rPr>
          <w:rFonts w:ascii="Arial" w:cs="Arial" w:eastAsia="Arial" w:hAnsi="Arial"/>
          <w:sz w:val="17"/>
          <w:szCs w:val="17"/>
          <w:color w:val="DD924E"/>
        </w:rPr>
      </w:pPr>
      <w:r>
        <w:rPr>
          <w:rFonts w:ascii="Arial" w:cs="Arial" w:eastAsia="Arial" w:hAnsi="Arial"/>
          <w:sz w:val="17"/>
          <w:szCs w:val="17"/>
          <w:color w:val="auto"/>
        </w:rPr>
        <w:t>Annual board- and committee-level evaluations</w:t>
      </w:r>
    </w:p>
    <w:p>
      <w:pPr>
        <w:ind w:left="840" w:right="3499" w:hanging="345"/>
        <w:spacing w:after="0" w:line="236" w:lineRule="auto"/>
        <w:tabs>
          <w:tab w:leader="none" w:pos="840" w:val="left"/>
        </w:tabs>
        <w:numPr>
          <w:ilvl w:val="0"/>
          <w:numId w:val="7"/>
        </w:numPr>
        <w:rPr>
          <w:rFonts w:ascii="Arial" w:cs="Arial" w:eastAsia="Arial" w:hAnsi="Arial"/>
          <w:sz w:val="17"/>
          <w:szCs w:val="17"/>
          <w:color w:val="DD924E"/>
        </w:rPr>
      </w:pPr>
      <w:r>
        <w:rPr>
          <w:rFonts w:ascii="Arial" w:cs="Arial" w:eastAsia="Arial" w:hAnsi="Arial"/>
          <w:sz w:val="17"/>
          <w:szCs w:val="17"/>
          <w:color w:val="auto"/>
        </w:rPr>
        <w:t>Regularly-held executive session of non-management directors</w:t>
      </w:r>
    </w:p>
    <w:p>
      <w:pPr>
        <w:ind w:left="840" w:hanging="345"/>
        <w:spacing w:after="0" w:line="236" w:lineRule="auto"/>
        <w:tabs>
          <w:tab w:leader="none" w:pos="840" w:val="left"/>
        </w:tabs>
        <w:numPr>
          <w:ilvl w:val="0"/>
          <w:numId w:val="7"/>
        </w:numPr>
        <w:rPr>
          <w:rFonts w:ascii="Arial" w:cs="Arial" w:eastAsia="Arial" w:hAnsi="Arial"/>
          <w:sz w:val="17"/>
          <w:szCs w:val="17"/>
          <w:color w:val="DD924E"/>
        </w:rPr>
      </w:pPr>
      <w:r>
        <w:rPr>
          <w:rFonts w:ascii="Arial" w:cs="Arial" w:eastAsia="Arial" w:hAnsi="Arial"/>
          <w:sz w:val="17"/>
          <w:szCs w:val="17"/>
          <w:color w:val="auto"/>
        </w:rPr>
        <w:t>Robust executive and director equity ownership guidelines</w:t>
      </w:r>
    </w:p>
    <w:p>
      <w:pPr>
        <w:ind w:left="840" w:right="3519" w:hanging="345"/>
        <w:spacing w:after="0" w:line="247" w:lineRule="auto"/>
        <w:tabs>
          <w:tab w:leader="none" w:pos="840" w:val="left"/>
        </w:tabs>
        <w:numPr>
          <w:ilvl w:val="0"/>
          <w:numId w:val="7"/>
        </w:numPr>
        <w:rPr>
          <w:rFonts w:ascii="Arial" w:cs="Arial" w:eastAsia="Arial" w:hAnsi="Arial"/>
          <w:sz w:val="17"/>
          <w:szCs w:val="17"/>
          <w:color w:val="DD924E"/>
        </w:rPr>
      </w:pPr>
      <w:r>
        <w:rPr>
          <w:rFonts w:ascii="Arial" w:cs="Arial" w:eastAsia="Arial" w:hAnsi="Arial"/>
          <w:sz w:val="17"/>
          <w:szCs w:val="17"/>
          <w:color w:val="auto"/>
        </w:rPr>
        <w:t>Independent board of directors evaluation of CEO performance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FFFFFF"/>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1790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4825" cy="179070"/>
                    </a:xfrm>
                    <a:prstGeom prst="rect">
                      <a:avLst/>
                    </a:prstGeom>
                    <a:noFill/>
                  </pic:spPr>
                </pic:pic>
              </a:graphicData>
            </a:graphic>
          </wp:anchor>
        </w:drawing>
      </w:r>
    </w:p>
    <w:p>
      <w:pPr>
        <w:spacing w:after="0" w:line="65" w:lineRule="exact"/>
        <w:rPr>
          <w:sz w:val="20"/>
          <w:szCs w:val="20"/>
          <w:color w:val="auto"/>
        </w:rPr>
      </w:pPr>
    </w:p>
    <w:p>
      <w:pPr>
        <w:ind w:left="200" w:right="119"/>
        <w:spacing w:after="0" w:line="247" w:lineRule="auto"/>
        <w:rPr>
          <w:sz w:val="20"/>
          <w:szCs w:val="20"/>
          <w:color w:val="auto"/>
        </w:rPr>
      </w:pPr>
      <w:r>
        <w:rPr>
          <w:rFonts w:ascii="Arial" w:cs="Arial" w:eastAsia="Arial" w:hAnsi="Arial"/>
          <w:sz w:val="17"/>
          <w:szCs w:val="17"/>
          <w:color w:val="auto"/>
        </w:rPr>
        <w:t>Our board of directors reflects an effective and diverse mix of skills and experience appropriate for our Company and industry. Our directors have the following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29845</wp:posOffset>
            </wp:positionV>
            <wp:extent cx="382905" cy="268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2905" cy="268605"/>
                    </a:xfrm>
                    <a:prstGeom prst="rect">
                      <a:avLst/>
                    </a:prstGeom>
                    <a:noFill/>
                  </pic:spPr>
                </pic:pic>
              </a:graphicData>
            </a:graphic>
          </wp:anchor>
        </w:drawing>
      </w:r>
    </w:p>
    <w:p>
      <w:pPr>
        <w:spacing w:after="0" w:line="30"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518DC8"/>
        </w:rPr>
        <w:t xml:space="preserve">Executive Leadership                     </w:t>
      </w:r>
      <w:r>
        <w:rPr>
          <w:sz w:val="1"/>
          <w:szCs w:val="1"/>
          <w:color w:val="auto"/>
        </w:rPr>
        <w:drawing>
          <wp:inline distT="0" distB="0" distL="0" distR="0">
            <wp:extent cx="349885" cy="2603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9885" cy="260350"/>
                    </a:xfrm>
                    <a:prstGeom prst="rect">
                      <a:avLst/>
                    </a:prstGeom>
                    <a:noFill/>
                    <a:ln>
                      <a:noFill/>
                    </a:ln>
                  </pic:spPr>
                </pic:pic>
              </a:graphicData>
            </a:graphic>
          </wp:inline>
        </w:drawing>
      </w:r>
      <w:r>
        <w:rPr>
          <w:rFonts w:ascii="Arial" w:cs="Arial" w:eastAsia="Arial" w:hAnsi="Arial"/>
          <w:sz w:val="17"/>
          <w:szCs w:val="17"/>
          <w:b w:val="1"/>
          <w:bCs w:val="1"/>
          <w:color w:val="518DC8"/>
        </w:rPr>
        <w:t xml:space="preserve">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130175</wp:posOffset>
            </wp:positionV>
            <wp:extent cx="195580" cy="2362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5580" cy="236220"/>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130175</wp:posOffset>
            </wp:positionV>
            <wp:extent cx="325755" cy="187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755" cy="187325"/>
                    </a:xfrm>
                    <a:prstGeom prst="rect">
                      <a:avLst/>
                    </a:prstGeom>
                    <a:noFill/>
                  </pic:spPr>
                </pic:pic>
              </a:graphicData>
            </a:graphic>
          </wp:anchor>
        </w:drawing>
      </w:r>
    </w:p>
    <w:p>
      <w:pPr>
        <w:spacing w:after="0" w:line="395" w:lineRule="exact"/>
        <w:rPr>
          <w:sz w:val="20"/>
          <w:szCs w:val="20"/>
          <w:color w:val="auto"/>
        </w:rPr>
      </w:pPr>
    </w:p>
    <w:p>
      <w:pPr>
        <w:ind w:left="940"/>
        <w:spacing w:after="0"/>
        <w:tabs>
          <w:tab w:leader="none" w:pos="5320" w:val="left"/>
        </w:tabs>
        <w:rPr>
          <w:sz w:val="20"/>
          <w:szCs w:val="20"/>
          <w:color w:val="auto"/>
        </w:rPr>
      </w:pPr>
      <w:r>
        <w:rPr>
          <w:rFonts w:ascii="Arial" w:cs="Arial" w:eastAsia="Arial" w:hAnsi="Arial"/>
          <w:sz w:val="17"/>
          <w:szCs w:val="17"/>
          <w:b w:val="1"/>
          <w:bCs w:val="1"/>
          <w:color w:val="518DC8"/>
        </w:rPr>
        <w:t>Finance and Accounting</w:t>
      </w:r>
      <w:r>
        <w:rPr>
          <w:sz w:val="20"/>
          <w:szCs w:val="20"/>
          <w:color w:val="auto"/>
        </w:rPr>
        <w:tab/>
      </w:r>
      <w:r>
        <w:rPr>
          <w:rFonts w:ascii="Arial" w:cs="Arial" w:eastAsia="Arial" w:hAnsi="Arial"/>
          <w:sz w:val="17"/>
          <w:szCs w:val="17"/>
          <w:b w:val="1"/>
          <w:bCs w:val="1"/>
          <w:color w:val="518DC8"/>
        </w:rPr>
        <w:t>Client and Industry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190500</wp:posOffset>
            </wp:positionV>
            <wp:extent cx="236220" cy="2362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6220" cy="236220"/>
                    </a:xfrm>
                    <a:prstGeom prst="rect">
                      <a:avLst/>
                    </a:prstGeom>
                    <a:noFill/>
                  </pic:spPr>
                </pic:pic>
              </a:graphicData>
            </a:graphic>
          </wp:anchor>
        </w:drawing>
      </w:r>
    </w:p>
    <w:p>
      <w:pPr>
        <w:spacing w:after="0" w:line="244"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518DC8"/>
        </w:rPr>
        <w:t xml:space="preserve">Global Experience                        </w:t>
      </w:r>
      <w:r>
        <w:rPr>
          <w:sz w:val="1"/>
          <w:szCs w:val="1"/>
          <w:color w:val="auto"/>
        </w:rPr>
        <w:drawing>
          <wp:inline distT="0" distB="0" distL="0" distR="0">
            <wp:extent cx="285115" cy="2933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5115" cy="293370"/>
                    </a:xfrm>
                    <a:prstGeom prst="rect">
                      <a:avLst/>
                    </a:prstGeom>
                    <a:noFill/>
                    <a:ln>
                      <a:noFill/>
                    </a:ln>
                  </pic:spPr>
                </pic:pic>
              </a:graphicData>
            </a:graphic>
          </wp:inline>
        </w:drawing>
      </w:r>
      <w:r>
        <w:rPr>
          <w:rFonts w:ascii="Arial" w:cs="Arial" w:eastAsia="Arial" w:hAnsi="Arial"/>
          <w:sz w:val="17"/>
          <w:szCs w:val="17"/>
          <w:b w:val="1"/>
          <w:bCs w:val="1"/>
          <w:color w:val="518DC8"/>
        </w:rPr>
        <w:t xml:space="preserve">  Risk Oversight / Management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 w:name="page7"/>
    <w:bookmarkEnd w:id="6"/>
    <w:p>
      <w:pPr>
        <w:spacing w:after="0" w:line="1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1017270</wp:posOffset>
            </wp:positionH>
            <wp:positionV relativeFrom="page">
              <wp:posOffset>992505</wp:posOffset>
            </wp:positionV>
            <wp:extent cx="5593080" cy="1913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93080" cy="1913255"/>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21"/>
          <w:szCs w:val="21"/>
          <w:b w:val="1"/>
          <w:bCs w:val="1"/>
          <w:color w:val="FFFFFF"/>
        </w:rPr>
        <w:t>Class III Board Nominations</w:t>
      </w:r>
    </w:p>
    <w:p>
      <w:pPr>
        <w:spacing w:after="0" w:line="49"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1460" w:type="dxa"/>
            <w:vAlign w:val="bottom"/>
            <w:shd w:val="clear" w:color="auto" w:fill="F4DECA"/>
          </w:tcPr>
          <w:p>
            <w:pPr>
              <w:ind w:left="80"/>
              <w:spacing w:after="0"/>
              <w:rPr>
                <w:sz w:val="20"/>
                <w:szCs w:val="20"/>
                <w:color w:val="auto"/>
              </w:rPr>
            </w:pPr>
            <w:r>
              <w:rPr>
                <w:rFonts w:ascii="Arial" w:cs="Arial" w:eastAsia="Arial" w:hAnsi="Arial"/>
                <w:sz w:val="17"/>
                <w:szCs w:val="17"/>
                <w:b w:val="1"/>
                <w:bCs w:val="1"/>
                <w:color w:val="auto"/>
              </w:rPr>
              <w:t>Name</w:t>
            </w:r>
          </w:p>
        </w:tc>
        <w:tc>
          <w:tcPr>
            <w:tcW w:w="4640" w:type="dxa"/>
            <w:vAlign w:val="bottom"/>
            <w:shd w:val="clear" w:color="auto" w:fill="F4DECA"/>
          </w:tcPr>
          <w:p>
            <w:pPr>
              <w:spacing w:after="0"/>
              <w:rPr>
                <w:sz w:val="16"/>
                <w:szCs w:val="16"/>
                <w:color w:val="auto"/>
              </w:rPr>
            </w:pPr>
          </w:p>
        </w:tc>
        <w:tc>
          <w:tcPr>
            <w:tcW w:w="2700" w:type="dxa"/>
            <w:vAlign w:val="bottom"/>
            <w:shd w:val="clear" w:color="auto" w:fill="F4DECA"/>
          </w:tcPr>
          <w:p>
            <w:pPr>
              <w:spacing w:after="0"/>
              <w:rPr>
                <w:sz w:val="16"/>
                <w:szCs w:val="16"/>
                <w:color w:val="auto"/>
              </w:rPr>
            </w:pPr>
          </w:p>
        </w:tc>
      </w:tr>
      <w:tr>
        <w:trPr>
          <w:trHeight w:val="192"/>
        </w:trPr>
        <w:tc>
          <w:tcPr>
            <w:tcW w:w="1460" w:type="dxa"/>
            <w:vAlign w:val="bottom"/>
            <w:shd w:val="clear" w:color="auto" w:fill="F4DECA"/>
          </w:tcPr>
          <w:p>
            <w:pPr>
              <w:ind w:left="80"/>
              <w:spacing w:after="0" w:line="193" w:lineRule="exact"/>
              <w:rPr>
                <w:sz w:val="20"/>
                <w:szCs w:val="20"/>
                <w:color w:val="auto"/>
              </w:rPr>
            </w:pPr>
            <w:r>
              <w:rPr>
                <w:rFonts w:ascii="Arial" w:cs="Arial" w:eastAsia="Arial" w:hAnsi="Arial"/>
                <w:sz w:val="17"/>
                <w:szCs w:val="17"/>
                <w:b w:val="1"/>
                <w:bCs w:val="1"/>
                <w:color w:val="auto"/>
              </w:rPr>
              <w:t>(Year Joined</w:t>
            </w:r>
          </w:p>
        </w:tc>
        <w:tc>
          <w:tcPr>
            <w:tcW w:w="4640" w:type="dxa"/>
            <w:vAlign w:val="bottom"/>
            <w:shd w:val="clear" w:color="auto" w:fill="F4DECA"/>
          </w:tcPr>
          <w:p>
            <w:pPr>
              <w:spacing w:after="0"/>
              <w:rPr>
                <w:sz w:val="16"/>
                <w:szCs w:val="16"/>
                <w:color w:val="auto"/>
              </w:rPr>
            </w:pPr>
          </w:p>
        </w:tc>
        <w:tc>
          <w:tcPr>
            <w:tcW w:w="2700" w:type="dxa"/>
            <w:vAlign w:val="bottom"/>
            <w:shd w:val="clear" w:color="auto" w:fill="F4DECA"/>
          </w:tcPr>
          <w:p>
            <w:pPr>
              <w:spacing w:after="0"/>
              <w:rPr>
                <w:sz w:val="16"/>
                <w:szCs w:val="16"/>
                <w:color w:val="auto"/>
              </w:rPr>
            </w:pPr>
          </w:p>
        </w:tc>
      </w:tr>
      <w:tr>
        <w:trPr>
          <w:trHeight w:val="239"/>
        </w:trPr>
        <w:tc>
          <w:tcPr>
            <w:tcW w:w="1460" w:type="dxa"/>
            <w:vAlign w:val="bottom"/>
            <w:shd w:val="clear" w:color="auto" w:fill="F4DECA"/>
          </w:tcPr>
          <w:p>
            <w:pPr>
              <w:ind w:left="80"/>
              <w:spacing w:after="0"/>
              <w:rPr>
                <w:sz w:val="20"/>
                <w:szCs w:val="20"/>
                <w:color w:val="auto"/>
              </w:rPr>
            </w:pPr>
            <w:r>
              <w:rPr>
                <w:rFonts w:ascii="Arial" w:cs="Arial" w:eastAsia="Arial" w:hAnsi="Arial"/>
                <w:sz w:val="17"/>
                <w:szCs w:val="17"/>
                <w:b w:val="1"/>
                <w:bCs w:val="1"/>
                <w:color w:val="auto"/>
              </w:rPr>
              <w:t>Board)</w:t>
            </w:r>
          </w:p>
        </w:tc>
        <w:tc>
          <w:tcPr>
            <w:tcW w:w="4640" w:type="dxa"/>
            <w:vAlign w:val="bottom"/>
            <w:shd w:val="clear" w:color="auto" w:fill="F4DECA"/>
          </w:tcPr>
          <w:p>
            <w:pPr>
              <w:ind w:left="240"/>
              <w:spacing w:after="0"/>
              <w:rPr>
                <w:sz w:val="20"/>
                <w:szCs w:val="20"/>
                <w:color w:val="auto"/>
              </w:rPr>
            </w:pPr>
            <w:r>
              <w:rPr>
                <w:rFonts w:ascii="Arial" w:cs="Arial" w:eastAsia="Arial" w:hAnsi="Arial"/>
                <w:sz w:val="17"/>
                <w:szCs w:val="17"/>
                <w:b w:val="1"/>
                <w:bCs w:val="1"/>
                <w:color w:val="auto"/>
              </w:rPr>
              <w:t>Principal Occupation*</w:t>
            </w:r>
          </w:p>
        </w:tc>
        <w:tc>
          <w:tcPr>
            <w:tcW w:w="2700" w:type="dxa"/>
            <w:vAlign w:val="bottom"/>
            <w:shd w:val="clear" w:color="auto" w:fill="F4DECA"/>
          </w:tcPr>
          <w:p>
            <w:pPr>
              <w:ind w:left="120"/>
              <w:spacing w:after="0"/>
              <w:rPr>
                <w:sz w:val="20"/>
                <w:szCs w:val="20"/>
                <w:color w:val="auto"/>
              </w:rPr>
            </w:pPr>
            <w:r>
              <w:rPr>
                <w:rFonts w:ascii="Arial" w:cs="Arial" w:eastAsia="Arial" w:hAnsi="Arial"/>
                <w:sz w:val="17"/>
                <w:szCs w:val="17"/>
                <w:b w:val="1"/>
                <w:bCs w:val="1"/>
                <w:color w:val="auto"/>
              </w:rPr>
              <w:t>Committee Membership</w:t>
            </w:r>
          </w:p>
        </w:tc>
      </w:tr>
      <w:tr>
        <w:trPr>
          <w:trHeight w:val="217"/>
        </w:trPr>
        <w:tc>
          <w:tcPr>
            <w:tcW w:w="1460" w:type="dxa"/>
            <w:vAlign w:val="bottom"/>
          </w:tcPr>
          <w:p>
            <w:pPr>
              <w:ind w:left="80"/>
              <w:spacing w:after="0"/>
              <w:rPr>
                <w:sz w:val="20"/>
                <w:szCs w:val="20"/>
                <w:color w:val="auto"/>
              </w:rPr>
            </w:pPr>
            <w:r>
              <w:rPr>
                <w:rFonts w:ascii="Arial" w:cs="Arial" w:eastAsia="Arial" w:hAnsi="Arial"/>
                <w:sz w:val="17"/>
                <w:szCs w:val="17"/>
                <w:color w:val="auto"/>
              </w:rPr>
              <w:t>Deborah Kerr</w:t>
            </w:r>
          </w:p>
        </w:tc>
        <w:tc>
          <w:tcPr>
            <w:tcW w:w="4640" w:type="dxa"/>
            <w:vAlign w:val="bottom"/>
          </w:tcPr>
          <w:p>
            <w:pPr>
              <w:ind w:left="240"/>
              <w:spacing w:after="0"/>
              <w:rPr>
                <w:sz w:val="20"/>
                <w:szCs w:val="20"/>
                <w:color w:val="auto"/>
              </w:rPr>
            </w:pPr>
            <w:r>
              <w:rPr>
                <w:rFonts w:ascii="Arial" w:cs="Arial" w:eastAsia="Arial" w:hAnsi="Arial"/>
                <w:sz w:val="17"/>
                <w:szCs w:val="17"/>
                <w:color w:val="auto"/>
              </w:rPr>
              <w:t>Independent Director; senior advisor to Warburg Pincus;</w:t>
            </w:r>
          </w:p>
        </w:tc>
        <w:tc>
          <w:tcPr>
            <w:tcW w:w="2700" w:type="dxa"/>
            <w:vAlign w:val="bottom"/>
          </w:tcPr>
          <w:p>
            <w:pPr>
              <w:ind w:left="120"/>
              <w:spacing w:after="0"/>
              <w:rPr>
                <w:sz w:val="20"/>
                <w:szCs w:val="20"/>
                <w:color w:val="auto"/>
              </w:rPr>
            </w:pPr>
            <w:r>
              <w:rPr>
                <w:rFonts w:ascii="Arial" w:cs="Arial" w:eastAsia="Arial" w:hAnsi="Arial"/>
                <w:sz w:val="17"/>
                <w:szCs w:val="17"/>
                <w:color w:val="auto"/>
              </w:rPr>
              <w:t>Audit Committee</w:t>
            </w:r>
          </w:p>
        </w:tc>
      </w:tr>
      <w:tr>
        <w:trPr>
          <w:trHeight w:val="192"/>
        </w:trPr>
        <w:tc>
          <w:tcPr>
            <w:tcW w:w="1460" w:type="dxa"/>
            <w:vAlign w:val="bottom"/>
          </w:tcPr>
          <w:p>
            <w:pPr>
              <w:ind w:left="80"/>
              <w:spacing w:after="0" w:line="193" w:lineRule="exact"/>
              <w:rPr>
                <w:sz w:val="20"/>
                <w:szCs w:val="20"/>
                <w:color w:val="auto"/>
              </w:rPr>
            </w:pPr>
            <w:r>
              <w:rPr>
                <w:rFonts w:ascii="Arial" w:cs="Arial" w:eastAsia="Arial" w:hAnsi="Arial"/>
                <w:sz w:val="17"/>
                <w:szCs w:val="17"/>
                <w:color w:val="auto"/>
              </w:rPr>
              <w:t>(January 2015)</w:t>
            </w:r>
          </w:p>
        </w:tc>
        <w:tc>
          <w:tcPr>
            <w:tcW w:w="4640" w:type="dxa"/>
            <w:vAlign w:val="bottom"/>
          </w:tcPr>
          <w:p>
            <w:pPr>
              <w:ind w:left="240"/>
              <w:spacing w:after="0" w:line="193" w:lineRule="exact"/>
              <w:rPr>
                <w:sz w:val="20"/>
                <w:szCs w:val="20"/>
                <w:color w:val="auto"/>
              </w:rPr>
            </w:pPr>
            <w:r>
              <w:rPr>
                <w:rFonts w:ascii="Arial" w:cs="Arial" w:eastAsia="Arial" w:hAnsi="Arial"/>
                <w:sz w:val="17"/>
                <w:szCs w:val="17"/>
                <w:color w:val="auto"/>
              </w:rPr>
              <w:t>former Executive Vice President, Chief Product and</w:t>
            </w:r>
          </w:p>
        </w:tc>
        <w:tc>
          <w:tcPr>
            <w:tcW w:w="2700" w:type="dxa"/>
            <w:vAlign w:val="bottom"/>
          </w:tcPr>
          <w:p>
            <w:pPr>
              <w:ind w:left="120"/>
              <w:spacing w:after="0" w:line="193" w:lineRule="exact"/>
              <w:rPr>
                <w:sz w:val="20"/>
                <w:szCs w:val="20"/>
                <w:color w:val="auto"/>
              </w:rPr>
            </w:pPr>
            <w:r>
              <w:rPr>
                <w:rFonts w:ascii="Arial" w:cs="Arial" w:eastAsia="Arial" w:hAnsi="Arial"/>
                <w:sz w:val="17"/>
                <w:szCs w:val="17"/>
                <w:color w:val="auto"/>
              </w:rPr>
              <w:t>Compensation Committee</w:t>
            </w:r>
          </w:p>
        </w:tc>
      </w:tr>
      <w:tr>
        <w:trPr>
          <w:trHeight w:val="192"/>
        </w:trPr>
        <w:tc>
          <w:tcPr>
            <w:tcW w:w="1460" w:type="dxa"/>
            <w:vAlign w:val="bottom"/>
          </w:tcPr>
          <w:p>
            <w:pPr>
              <w:spacing w:after="0"/>
              <w:rPr>
                <w:sz w:val="16"/>
                <w:szCs w:val="16"/>
                <w:color w:val="auto"/>
              </w:rPr>
            </w:pPr>
          </w:p>
        </w:tc>
        <w:tc>
          <w:tcPr>
            <w:tcW w:w="4640" w:type="dxa"/>
            <w:vAlign w:val="bottom"/>
          </w:tcPr>
          <w:p>
            <w:pPr>
              <w:ind w:left="240"/>
              <w:spacing w:after="0" w:line="193" w:lineRule="exact"/>
              <w:rPr>
                <w:sz w:val="20"/>
                <w:szCs w:val="20"/>
                <w:color w:val="auto"/>
              </w:rPr>
            </w:pPr>
            <w:r>
              <w:rPr>
                <w:rFonts w:ascii="Arial" w:cs="Arial" w:eastAsia="Arial" w:hAnsi="Arial"/>
                <w:sz w:val="17"/>
                <w:szCs w:val="17"/>
                <w:color w:val="auto"/>
              </w:rPr>
              <w:t>Technology Officer at Sabre Corporation</w:t>
            </w:r>
          </w:p>
        </w:tc>
        <w:tc>
          <w:tcPr>
            <w:tcW w:w="2700" w:type="dxa"/>
            <w:vAlign w:val="bottom"/>
          </w:tcPr>
          <w:p>
            <w:pPr>
              <w:spacing w:after="0"/>
              <w:rPr>
                <w:sz w:val="16"/>
                <w:szCs w:val="16"/>
                <w:color w:val="auto"/>
              </w:rPr>
            </w:pPr>
          </w:p>
        </w:tc>
      </w:tr>
      <w:tr>
        <w:trPr>
          <w:trHeight w:val="212"/>
        </w:trPr>
        <w:tc>
          <w:tcPr>
            <w:tcW w:w="1460" w:type="dxa"/>
            <w:vAlign w:val="bottom"/>
          </w:tcPr>
          <w:p>
            <w:pPr>
              <w:spacing w:after="0"/>
              <w:rPr>
                <w:sz w:val="18"/>
                <w:szCs w:val="18"/>
                <w:color w:val="auto"/>
              </w:rPr>
            </w:pPr>
          </w:p>
        </w:tc>
        <w:tc>
          <w:tcPr>
            <w:tcW w:w="4640" w:type="dxa"/>
            <w:vAlign w:val="bottom"/>
          </w:tcPr>
          <w:p>
            <w:pPr>
              <w:ind w:left="240"/>
              <w:spacing w:after="0"/>
              <w:rPr>
                <w:sz w:val="20"/>
                <w:szCs w:val="20"/>
                <w:color w:val="auto"/>
              </w:rPr>
            </w:pPr>
            <w:r>
              <w:rPr>
                <w:rFonts w:ascii="Arial" w:cs="Arial" w:eastAsia="Arial" w:hAnsi="Arial"/>
                <w:sz w:val="17"/>
                <w:szCs w:val="17"/>
                <w:color w:val="auto"/>
              </w:rPr>
              <w:t>(NASDAQ:SABR)</w:t>
            </w:r>
          </w:p>
        </w:tc>
        <w:tc>
          <w:tcPr>
            <w:tcW w:w="2700" w:type="dxa"/>
            <w:vAlign w:val="bottom"/>
          </w:tcPr>
          <w:p>
            <w:pPr>
              <w:spacing w:after="0"/>
              <w:rPr>
                <w:sz w:val="18"/>
                <w:szCs w:val="18"/>
                <w:color w:val="auto"/>
              </w:rPr>
            </w:pPr>
          </w:p>
        </w:tc>
      </w:tr>
      <w:tr>
        <w:trPr>
          <w:trHeight w:val="224"/>
        </w:trPr>
        <w:tc>
          <w:tcPr>
            <w:tcW w:w="1460" w:type="dxa"/>
            <w:vAlign w:val="bottom"/>
            <w:shd w:val="clear" w:color="auto" w:fill="FBF4ED"/>
          </w:tcPr>
          <w:p>
            <w:pPr>
              <w:ind w:left="80"/>
              <w:spacing w:after="0"/>
              <w:rPr>
                <w:sz w:val="20"/>
                <w:szCs w:val="20"/>
                <w:color w:val="auto"/>
              </w:rPr>
            </w:pPr>
            <w:r>
              <w:rPr>
                <w:rFonts w:ascii="Arial" w:cs="Arial" w:eastAsia="Arial" w:hAnsi="Arial"/>
                <w:sz w:val="17"/>
                <w:szCs w:val="17"/>
                <w:color w:val="auto"/>
              </w:rPr>
              <w:t>Nitin Sahney</w:t>
            </w:r>
          </w:p>
        </w:tc>
        <w:tc>
          <w:tcPr>
            <w:tcW w:w="4640" w:type="dxa"/>
            <w:vAlign w:val="bottom"/>
            <w:shd w:val="clear" w:color="auto" w:fill="FBF4ED"/>
          </w:tcPr>
          <w:p>
            <w:pPr>
              <w:ind w:left="240"/>
              <w:spacing w:after="0"/>
              <w:rPr>
                <w:sz w:val="20"/>
                <w:szCs w:val="20"/>
                <w:color w:val="auto"/>
              </w:rPr>
            </w:pPr>
            <w:r>
              <w:rPr>
                <w:rFonts w:ascii="Arial" w:cs="Arial" w:eastAsia="Arial" w:hAnsi="Arial"/>
                <w:sz w:val="17"/>
                <w:szCs w:val="17"/>
                <w:color w:val="auto"/>
              </w:rPr>
              <w:t>Independent Director; Member-Manager and Chief</w:t>
            </w:r>
          </w:p>
        </w:tc>
        <w:tc>
          <w:tcPr>
            <w:tcW w:w="2700" w:type="dxa"/>
            <w:vAlign w:val="bottom"/>
            <w:shd w:val="clear" w:color="auto" w:fill="FBF4ED"/>
          </w:tcPr>
          <w:p>
            <w:pPr>
              <w:ind w:left="120"/>
              <w:spacing w:after="0"/>
              <w:rPr>
                <w:sz w:val="20"/>
                <w:szCs w:val="20"/>
                <w:color w:val="auto"/>
              </w:rPr>
            </w:pPr>
            <w:r>
              <w:rPr>
                <w:rFonts w:ascii="Arial" w:cs="Arial" w:eastAsia="Arial" w:hAnsi="Arial"/>
                <w:sz w:val="17"/>
                <w:szCs w:val="17"/>
                <w:color w:val="auto"/>
              </w:rPr>
              <w:t>Audit Committee</w:t>
            </w:r>
          </w:p>
        </w:tc>
      </w:tr>
      <w:tr>
        <w:trPr>
          <w:trHeight w:val="192"/>
        </w:trPr>
        <w:tc>
          <w:tcPr>
            <w:tcW w:w="1460" w:type="dxa"/>
            <w:vAlign w:val="bottom"/>
            <w:shd w:val="clear" w:color="auto" w:fill="FBF4ED"/>
          </w:tcPr>
          <w:p>
            <w:pPr>
              <w:ind w:left="80"/>
              <w:spacing w:after="0" w:line="193" w:lineRule="exact"/>
              <w:rPr>
                <w:sz w:val="20"/>
                <w:szCs w:val="20"/>
                <w:color w:val="auto"/>
              </w:rPr>
            </w:pPr>
            <w:r>
              <w:rPr>
                <w:rFonts w:ascii="Arial" w:cs="Arial" w:eastAsia="Arial" w:hAnsi="Arial"/>
                <w:sz w:val="17"/>
                <w:szCs w:val="17"/>
                <w:color w:val="auto"/>
              </w:rPr>
              <w:t>(January 2016)</w:t>
            </w:r>
          </w:p>
        </w:tc>
        <w:tc>
          <w:tcPr>
            <w:tcW w:w="4640" w:type="dxa"/>
            <w:vAlign w:val="bottom"/>
            <w:shd w:val="clear" w:color="auto" w:fill="FBF4ED"/>
          </w:tcPr>
          <w:p>
            <w:pPr>
              <w:ind w:left="240"/>
              <w:spacing w:after="0" w:line="193" w:lineRule="exact"/>
              <w:rPr>
                <w:sz w:val="20"/>
                <w:szCs w:val="20"/>
                <w:color w:val="auto"/>
              </w:rPr>
            </w:pPr>
            <w:r>
              <w:rPr>
                <w:rFonts w:ascii="Arial" w:cs="Arial" w:eastAsia="Arial" w:hAnsi="Arial"/>
                <w:sz w:val="17"/>
                <w:szCs w:val="17"/>
                <w:color w:val="auto"/>
              </w:rPr>
              <w:t>Executive Officer, PharmaCord, LLC; former President</w:t>
            </w:r>
          </w:p>
        </w:tc>
        <w:tc>
          <w:tcPr>
            <w:tcW w:w="2700" w:type="dxa"/>
            <w:vAlign w:val="bottom"/>
            <w:shd w:val="clear" w:color="auto" w:fill="FBF4ED"/>
          </w:tcPr>
          <w:p>
            <w:pPr>
              <w:ind w:left="120"/>
              <w:spacing w:after="0" w:line="193" w:lineRule="exact"/>
              <w:rPr>
                <w:sz w:val="20"/>
                <w:szCs w:val="20"/>
                <w:color w:val="auto"/>
              </w:rPr>
            </w:pPr>
            <w:r>
              <w:rPr>
                <w:rFonts w:ascii="Arial" w:cs="Arial" w:eastAsia="Arial" w:hAnsi="Arial"/>
                <w:sz w:val="17"/>
                <w:szCs w:val="17"/>
                <w:color w:val="auto"/>
              </w:rPr>
              <w:t>Nominating and Corporate</w:t>
            </w:r>
          </w:p>
        </w:tc>
      </w:tr>
      <w:tr>
        <w:trPr>
          <w:trHeight w:val="219"/>
        </w:trPr>
        <w:tc>
          <w:tcPr>
            <w:tcW w:w="1460" w:type="dxa"/>
            <w:vAlign w:val="bottom"/>
            <w:shd w:val="clear" w:color="auto" w:fill="FBF4ED"/>
          </w:tcPr>
          <w:p>
            <w:pPr>
              <w:spacing w:after="0"/>
              <w:rPr>
                <w:sz w:val="19"/>
                <w:szCs w:val="19"/>
                <w:color w:val="auto"/>
              </w:rPr>
            </w:pPr>
          </w:p>
        </w:tc>
        <w:tc>
          <w:tcPr>
            <w:tcW w:w="4640" w:type="dxa"/>
            <w:vAlign w:val="bottom"/>
            <w:shd w:val="clear" w:color="auto" w:fill="FBF4ED"/>
          </w:tcPr>
          <w:p>
            <w:pPr>
              <w:ind w:left="240"/>
              <w:spacing w:after="0"/>
              <w:rPr>
                <w:sz w:val="20"/>
                <w:szCs w:val="20"/>
                <w:color w:val="auto"/>
              </w:rPr>
            </w:pPr>
            <w:r>
              <w:rPr>
                <w:rFonts w:ascii="Arial" w:cs="Arial" w:eastAsia="Arial" w:hAnsi="Arial"/>
                <w:sz w:val="17"/>
                <w:szCs w:val="17"/>
                <w:color w:val="auto"/>
              </w:rPr>
              <w:t>and CEO of Omnicare, Inc.</w:t>
            </w:r>
          </w:p>
        </w:tc>
        <w:tc>
          <w:tcPr>
            <w:tcW w:w="2700" w:type="dxa"/>
            <w:vAlign w:val="bottom"/>
            <w:shd w:val="clear" w:color="auto" w:fill="FBF4ED"/>
          </w:tcPr>
          <w:p>
            <w:pPr>
              <w:ind w:left="120"/>
              <w:spacing w:after="0"/>
              <w:rPr>
                <w:sz w:val="20"/>
                <w:szCs w:val="20"/>
                <w:color w:val="auto"/>
              </w:rPr>
            </w:pPr>
            <w:r>
              <w:rPr>
                <w:rFonts w:ascii="Arial" w:cs="Arial" w:eastAsia="Arial" w:hAnsi="Arial"/>
                <w:sz w:val="17"/>
                <w:szCs w:val="17"/>
                <w:color w:val="auto"/>
              </w:rPr>
              <w:t>Governance Committee</w:t>
            </w:r>
          </w:p>
        </w:tc>
      </w:tr>
      <w:tr>
        <w:trPr>
          <w:trHeight w:val="217"/>
        </w:trPr>
        <w:tc>
          <w:tcPr>
            <w:tcW w:w="1460" w:type="dxa"/>
            <w:vAlign w:val="bottom"/>
          </w:tcPr>
          <w:p>
            <w:pPr>
              <w:ind w:left="80"/>
              <w:spacing w:after="0"/>
              <w:rPr>
                <w:sz w:val="20"/>
                <w:szCs w:val="20"/>
                <w:color w:val="auto"/>
              </w:rPr>
            </w:pPr>
            <w:r>
              <w:rPr>
                <w:rFonts w:ascii="Arial" w:cs="Arial" w:eastAsia="Arial" w:hAnsi="Arial"/>
                <w:sz w:val="17"/>
                <w:szCs w:val="17"/>
                <w:color w:val="auto"/>
              </w:rPr>
              <w:t>Garen Staglin</w:t>
            </w:r>
          </w:p>
        </w:tc>
        <w:tc>
          <w:tcPr>
            <w:tcW w:w="4640" w:type="dxa"/>
            <w:vAlign w:val="bottom"/>
          </w:tcPr>
          <w:p>
            <w:pPr>
              <w:ind w:left="240"/>
              <w:spacing w:after="0"/>
              <w:rPr>
                <w:sz w:val="20"/>
                <w:szCs w:val="20"/>
                <w:color w:val="auto"/>
              </w:rPr>
            </w:pPr>
            <w:r>
              <w:rPr>
                <w:rFonts w:ascii="Arial" w:cs="Arial" w:eastAsia="Arial" w:hAnsi="Arial"/>
                <w:sz w:val="17"/>
                <w:szCs w:val="17"/>
                <w:color w:val="auto"/>
              </w:rPr>
              <w:t>Independent Director and Chairman of the Board; former</w:t>
            </w:r>
          </w:p>
        </w:tc>
        <w:tc>
          <w:tcPr>
            <w:tcW w:w="2700" w:type="dxa"/>
            <w:vAlign w:val="bottom"/>
          </w:tcPr>
          <w:p>
            <w:pPr>
              <w:ind w:left="120"/>
              <w:spacing w:after="0"/>
              <w:rPr>
                <w:sz w:val="20"/>
                <w:szCs w:val="20"/>
                <w:color w:val="auto"/>
              </w:rPr>
            </w:pPr>
            <w:r>
              <w:rPr>
                <w:rFonts w:ascii="Arial" w:cs="Arial" w:eastAsia="Arial" w:hAnsi="Arial"/>
                <w:sz w:val="17"/>
                <w:szCs w:val="17"/>
                <w:color w:val="auto"/>
              </w:rPr>
              <w:t>Compensation Committee</w:t>
            </w:r>
          </w:p>
        </w:tc>
      </w:tr>
      <w:tr>
        <w:trPr>
          <w:trHeight w:val="192"/>
        </w:trPr>
        <w:tc>
          <w:tcPr>
            <w:tcW w:w="1460" w:type="dxa"/>
            <w:vAlign w:val="bottom"/>
          </w:tcPr>
          <w:p>
            <w:pPr>
              <w:ind w:left="80"/>
              <w:spacing w:after="0" w:line="193" w:lineRule="exact"/>
              <w:rPr>
                <w:sz w:val="20"/>
                <w:szCs w:val="20"/>
                <w:color w:val="auto"/>
              </w:rPr>
            </w:pPr>
            <w:r>
              <w:rPr>
                <w:rFonts w:ascii="Arial" w:cs="Arial" w:eastAsia="Arial" w:hAnsi="Arial"/>
                <w:sz w:val="17"/>
                <w:szCs w:val="17"/>
                <w:color w:val="auto"/>
              </w:rPr>
              <w:t>(June 2005)</w:t>
            </w:r>
          </w:p>
        </w:tc>
        <w:tc>
          <w:tcPr>
            <w:tcW w:w="4640" w:type="dxa"/>
            <w:vAlign w:val="bottom"/>
          </w:tcPr>
          <w:p>
            <w:pPr>
              <w:ind w:left="240"/>
              <w:spacing w:after="0" w:line="193" w:lineRule="exact"/>
              <w:rPr>
                <w:sz w:val="20"/>
                <w:szCs w:val="20"/>
                <w:color w:val="auto"/>
              </w:rPr>
            </w:pPr>
            <w:r>
              <w:rPr>
                <w:rFonts w:ascii="Arial" w:cs="Arial" w:eastAsia="Arial" w:hAnsi="Arial"/>
                <w:sz w:val="17"/>
                <w:szCs w:val="17"/>
                <w:color w:val="auto"/>
              </w:rPr>
              <w:t>Chief Executive Officer of eONE Global LP and former</w:t>
            </w:r>
          </w:p>
        </w:tc>
        <w:tc>
          <w:tcPr>
            <w:tcW w:w="2700" w:type="dxa"/>
            <w:vAlign w:val="bottom"/>
          </w:tcPr>
          <w:p>
            <w:pPr>
              <w:ind w:left="120"/>
              <w:spacing w:after="0" w:line="193" w:lineRule="exact"/>
              <w:rPr>
                <w:sz w:val="20"/>
                <w:szCs w:val="20"/>
                <w:color w:val="auto"/>
              </w:rPr>
            </w:pPr>
            <w:r>
              <w:rPr>
                <w:rFonts w:ascii="Arial" w:cs="Arial" w:eastAsia="Arial" w:hAnsi="Arial"/>
                <w:sz w:val="17"/>
                <w:szCs w:val="17"/>
                <w:color w:val="auto"/>
              </w:rPr>
              <w:t>Nominating and Corporate</w:t>
            </w:r>
          </w:p>
        </w:tc>
      </w:tr>
      <w:tr>
        <w:trPr>
          <w:trHeight w:val="205"/>
        </w:trPr>
        <w:tc>
          <w:tcPr>
            <w:tcW w:w="1460" w:type="dxa"/>
            <w:vAlign w:val="bottom"/>
          </w:tcPr>
          <w:p>
            <w:pPr>
              <w:spacing w:after="0"/>
              <w:rPr>
                <w:sz w:val="17"/>
                <w:szCs w:val="17"/>
                <w:color w:val="auto"/>
              </w:rPr>
            </w:pPr>
          </w:p>
        </w:tc>
        <w:tc>
          <w:tcPr>
            <w:tcW w:w="4640" w:type="dxa"/>
            <w:vAlign w:val="bottom"/>
          </w:tcPr>
          <w:p>
            <w:pPr>
              <w:ind w:left="240"/>
              <w:spacing w:after="0"/>
              <w:rPr>
                <w:sz w:val="20"/>
                <w:szCs w:val="20"/>
                <w:color w:val="auto"/>
              </w:rPr>
            </w:pPr>
            <w:r>
              <w:rPr>
                <w:rFonts w:ascii="Arial" w:cs="Arial" w:eastAsia="Arial" w:hAnsi="Arial"/>
                <w:sz w:val="17"/>
                <w:szCs w:val="17"/>
                <w:color w:val="auto"/>
              </w:rPr>
              <w:t>Chief Executive Officer of Safelite Auto Glass</w:t>
            </w:r>
          </w:p>
        </w:tc>
        <w:tc>
          <w:tcPr>
            <w:tcW w:w="2700" w:type="dxa"/>
            <w:vAlign w:val="bottom"/>
          </w:tcPr>
          <w:p>
            <w:pPr>
              <w:ind w:left="120"/>
              <w:spacing w:after="0"/>
              <w:rPr>
                <w:sz w:val="20"/>
                <w:szCs w:val="20"/>
                <w:color w:val="auto"/>
              </w:rPr>
            </w:pPr>
            <w:r>
              <w:rPr>
                <w:rFonts w:ascii="Arial" w:cs="Arial" w:eastAsia="Arial" w:hAnsi="Arial"/>
                <w:sz w:val="17"/>
                <w:szCs w:val="17"/>
                <w:color w:val="auto"/>
              </w:rPr>
              <w:t>Governance Committee</w:t>
            </w:r>
          </w:p>
        </w:tc>
      </w:tr>
    </w:tbl>
    <w:p>
      <w:pPr>
        <w:spacing w:after="0" w:line="16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 complete list of each nominee’s business experience and directorships is listed below beginning on page 14.</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Our Business</w:t>
      </w:r>
    </w:p>
    <w:p>
      <w:pPr>
        <w:spacing w:after="0" w:line="162" w:lineRule="exact"/>
        <w:rPr>
          <w:sz w:val="20"/>
          <w:szCs w:val="20"/>
          <w:color w:val="auto"/>
        </w:rPr>
      </w:pPr>
    </w:p>
    <w:p>
      <w:pPr>
        <w:jc w:val="both"/>
        <w:ind w:left="160" w:right="59"/>
        <w:spacing w:after="0" w:line="238" w:lineRule="auto"/>
        <w:rPr>
          <w:sz w:val="20"/>
          <w:szCs w:val="20"/>
          <w:color w:val="auto"/>
        </w:rPr>
      </w:pPr>
      <w:r>
        <w:rPr>
          <w:rFonts w:ascii="Arial" w:cs="Arial" w:eastAsia="Arial" w:hAnsi="Arial"/>
          <w:sz w:val="17"/>
          <w:szCs w:val="17"/>
          <w:color w:val="auto"/>
        </w:rPr>
        <w:t>We are an operations management and analytics company that helps businesses enhance revenue growth and improve profitability. Using our proprietary platforms, methodologies and our full range of digital capabilities, we look deeper to help companies transform their businesses, functions and operations, to help them deliver better customer experience and business outcomes, while managing risk and compliance. We serve our customers in the insurance, healthcare, travel, transportation and logistics, banking and financial services and utilities industries, among others. Headquartered in New York, we have approximately 27,800 employees in locations throughout the United States, Europe, Asia (primarily India and the Philippines), Latin America, Australia and South Africa.</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Performance Highlights for 2017</w:t>
      </w:r>
    </w:p>
    <w:p>
      <w:pPr>
        <w:spacing w:after="0" w:line="150" w:lineRule="exact"/>
        <w:rPr>
          <w:sz w:val="20"/>
          <w:szCs w:val="20"/>
          <w:color w:val="auto"/>
        </w:rPr>
      </w:pPr>
    </w:p>
    <w:tbl>
      <w:tblPr>
        <w:tblLayout w:type="fixed"/>
        <w:tblInd w:w="170" w:type="dxa"/>
        <w:tblCellMar>
          <w:top w:w="0" w:type="dxa"/>
          <w:left w:w="0" w:type="dxa"/>
          <w:bottom w:w="0" w:type="dxa"/>
          <w:right w:w="0" w:type="dxa"/>
        </w:tblCellMar>
      </w:tblPr>
      <w:tr>
        <w:trPr>
          <w:trHeight w:val="223"/>
        </w:trPr>
        <w:tc>
          <w:tcPr>
            <w:tcW w:w="4180" w:type="dxa"/>
            <w:vAlign w:val="bottom"/>
            <w:tcBorders>
              <w:left w:val="single" w:sz="8" w:color="DD924E"/>
            </w:tcBorders>
            <w:shd w:val="clear" w:color="auto" w:fill="DD924E"/>
          </w:tcPr>
          <w:p>
            <w:pPr>
              <w:spacing w:after="0"/>
              <w:rPr>
                <w:sz w:val="19"/>
                <w:szCs w:val="19"/>
                <w:color w:val="auto"/>
              </w:rPr>
            </w:pPr>
          </w:p>
        </w:tc>
        <w:tc>
          <w:tcPr>
            <w:tcW w:w="780" w:type="dxa"/>
            <w:vAlign w:val="bottom"/>
            <w:shd w:val="clear" w:color="auto" w:fill="DD924E"/>
          </w:tcPr>
          <w:p>
            <w:pPr>
              <w:spacing w:after="0"/>
              <w:rPr>
                <w:sz w:val="19"/>
                <w:szCs w:val="19"/>
                <w:color w:val="auto"/>
              </w:rPr>
            </w:pPr>
          </w:p>
        </w:tc>
        <w:tc>
          <w:tcPr>
            <w:tcW w:w="3100" w:type="dxa"/>
            <w:vAlign w:val="bottom"/>
            <w:gridSpan w:val="4"/>
            <w:shd w:val="clear" w:color="auto" w:fill="DD924E"/>
          </w:tcPr>
          <w:p>
            <w:pPr>
              <w:jc w:val="center"/>
              <w:spacing w:after="0"/>
              <w:rPr>
                <w:sz w:val="20"/>
                <w:szCs w:val="20"/>
                <w:color w:val="auto"/>
              </w:rPr>
            </w:pPr>
            <w:r>
              <w:rPr>
                <w:rFonts w:ascii="Arial" w:cs="Arial" w:eastAsia="Arial" w:hAnsi="Arial"/>
                <w:sz w:val="19"/>
                <w:szCs w:val="19"/>
                <w:b w:val="1"/>
                <w:bCs w:val="1"/>
                <w:color w:val="FFFFFF"/>
                <w:w w:val="98"/>
              </w:rPr>
              <w:t>Company 3 Year Performance</w:t>
            </w:r>
          </w:p>
        </w:tc>
        <w:tc>
          <w:tcPr>
            <w:tcW w:w="760" w:type="dxa"/>
            <w:vAlign w:val="bottom"/>
            <w:tcBorders>
              <w:right w:val="single" w:sz="8" w:color="DD924E"/>
            </w:tcBorders>
            <w:shd w:val="clear" w:color="auto" w:fill="DD924E"/>
          </w:tcPr>
          <w:p>
            <w:pPr>
              <w:spacing w:after="0"/>
              <w:rPr>
                <w:sz w:val="19"/>
                <w:szCs w:val="19"/>
                <w:color w:val="auto"/>
              </w:rPr>
            </w:pPr>
          </w:p>
        </w:tc>
      </w:tr>
      <w:tr>
        <w:trPr>
          <w:trHeight w:val="239"/>
        </w:trPr>
        <w:tc>
          <w:tcPr>
            <w:tcW w:w="4180" w:type="dxa"/>
            <w:vAlign w:val="bottom"/>
            <w:tcBorders>
              <w:left w:val="single" w:sz="8" w:color="DD924E"/>
            </w:tcBorders>
            <w:shd w:val="clear" w:color="auto" w:fill="DD924E"/>
          </w:tcPr>
          <w:p>
            <w:pPr>
              <w:spacing w:after="0"/>
              <w:rPr>
                <w:sz w:val="20"/>
                <w:szCs w:val="20"/>
                <w:color w:val="auto"/>
              </w:rPr>
            </w:pPr>
          </w:p>
        </w:tc>
        <w:tc>
          <w:tcPr>
            <w:tcW w:w="4640" w:type="dxa"/>
            <w:vAlign w:val="bottom"/>
            <w:tcBorders>
              <w:right w:val="single" w:sz="8" w:color="DD924E"/>
            </w:tcBorders>
            <w:gridSpan w:val="6"/>
            <w:shd w:val="clear" w:color="auto" w:fill="DD924E"/>
          </w:tcPr>
          <w:p>
            <w:pPr>
              <w:jc w:val="center"/>
              <w:spacing w:after="0"/>
              <w:rPr>
                <w:sz w:val="20"/>
                <w:szCs w:val="20"/>
                <w:color w:val="auto"/>
              </w:rPr>
            </w:pPr>
            <w:r>
              <w:rPr>
                <w:rFonts w:ascii="Arial" w:cs="Arial" w:eastAsia="Arial" w:hAnsi="Arial"/>
                <w:sz w:val="17"/>
                <w:szCs w:val="17"/>
                <w:b w:val="1"/>
                <w:bCs w:val="1"/>
                <w:color w:val="FFFFFF"/>
              </w:rPr>
              <w:t>Revenue and Segment Information ($ in millions)</w:t>
            </w:r>
          </w:p>
        </w:tc>
      </w:tr>
      <w:tr>
        <w:trPr>
          <w:trHeight w:val="229"/>
        </w:trPr>
        <w:tc>
          <w:tcPr>
            <w:tcW w:w="4180" w:type="dxa"/>
            <w:vAlign w:val="bottom"/>
            <w:tcBorders>
              <w:left w:val="single" w:sz="8" w:color="DD924E"/>
            </w:tcBorders>
            <w:shd w:val="clear" w:color="auto" w:fill="F4DECA"/>
          </w:tcPr>
          <w:p>
            <w:pPr>
              <w:spacing w:after="0"/>
              <w:rPr>
                <w:sz w:val="19"/>
                <w:szCs w:val="19"/>
                <w:color w:val="auto"/>
              </w:rPr>
            </w:pPr>
          </w:p>
        </w:tc>
        <w:tc>
          <w:tcPr>
            <w:tcW w:w="780" w:type="dxa"/>
            <w:vAlign w:val="bottom"/>
            <w:shd w:val="clear" w:color="auto" w:fill="F4DECA"/>
          </w:tcPr>
          <w:p>
            <w:pPr>
              <w:spacing w:after="0"/>
              <w:rPr>
                <w:sz w:val="19"/>
                <w:szCs w:val="19"/>
                <w:color w:val="auto"/>
              </w:rPr>
            </w:pPr>
          </w:p>
        </w:tc>
        <w:tc>
          <w:tcPr>
            <w:tcW w:w="3100" w:type="dxa"/>
            <w:vAlign w:val="bottom"/>
            <w:gridSpan w:val="4"/>
            <w:shd w:val="clear" w:color="auto" w:fill="F4DECA"/>
          </w:tcPr>
          <w:p>
            <w:pPr>
              <w:jc w:val="center"/>
              <w:spacing w:after="0"/>
              <w:rPr>
                <w:sz w:val="20"/>
                <w:szCs w:val="20"/>
                <w:color w:val="auto"/>
              </w:rPr>
            </w:pPr>
            <w:r>
              <w:rPr>
                <w:rFonts w:ascii="Arial" w:cs="Arial" w:eastAsia="Arial" w:hAnsi="Arial"/>
                <w:sz w:val="17"/>
                <w:szCs w:val="17"/>
                <w:b w:val="1"/>
                <w:bCs w:val="1"/>
                <w:color w:val="auto"/>
              </w:rPr>
              <w:t>Revenue (Year-over-year growth %)</w:t>
            </w:r>
          </w:p>
        </w:tc>
        <w:tc>
          <w:tcPr>
            <w:tcW w:w="760" w:type="dxa"/>
            <w:vAlign w:val="bottom"/>
            <w:tcBorders>
              <w:right w:val="single" w:sz="8" w:color="DD924E"/>
            </w:tcBorders>
            <w:shd w:val="clear" w:color="auto" w:fill="F4DECA"/>
          </w:tcPr>
          <w:p>
            <w:pPr>
              <w:spacing w:after="0"/>
              <w:rPr>
                <w:sz w:val="19"/>
                <w:szCs w:val="19"/>
                <w:color w:val="auto"/>
              </w:rPr>
            </w:pPr>
          </w:p>
        </w:tc>
      </w:tr>
      <w:tr>
        <w:trPr>
          <w:trHeight w:val="258"/>
        </w:trPr>
        <w:tc>
          <w:tcPr>
            <w:tcW w:w="4180" w:type="dxa"/>
            <w:vAlign w:val="bottom"/>
            <w:tcBorders>
              <w:left w:val="single" w:sz="8" w:color="DD924E"/>
            </w:tcBorders>
            <w:shd w:val="clear" w:color="auto" w:fill="F4DECA"/>
          </w:tcPr>
          <w:p>
            <w:pPr>
              <w:spacing w:after="0"/>
              <w:rPr>
                <w:sz w:val="22"/>
                <w:szCs w:val="22"/>
                <w:color w:val="auto"/>
              </w:rPr>
            </w:pPr>
          </w:p>
        </w:tc>
        <w:tc>
          <w:tcPr>
            <w:tcW w:w="780" w:type="dxa"/>
            <w:vAlign w:val="bottom"/>
            <w:shd w:val="clear" w:color="auto" w:fill="F4DECA"/>
          </w:tcPr>
          <w:p>
            <w:pPr>
              <w:jc w:val="right"/>
              <w:ind w:right="115"/>
              <w:spacing w:after="0"/>
              <w:rPr>
                <w:sz w:val="20"/>
                <w:szCs w:val="20"/>
                <w:color w:val="auto"/>
              </w:rPr>
            </w:pPr>
            <w:r>
              <w:rPr>
                <w:rFonts w:ascii="Arial" w:cs="Arial" w:eastAsia="Arial" w:hAnsi="Arial"/>
                <w:sz w:val="17"/>
                <w:szCs w:val="17"/>
                <w:b w:val="1"/>
                <w:bCs w:val="1"/>
                <w:color w:val="auto"/>
              </w:rPr>
              <w:t>2015</w:t>
            </w:r>
          </w:p>
        </w:tc>
        <w:tc>
          <w:tcPr>
            <w:tcW w:w="820" w:type="dxa"/>
            <w:vAlign w:val="bottom"/>
            <w:shd w:val="clear" w:color="auto" w:fill="F4DECA"/>
          </w:tcPr>
          <w:p>
            <w:pPr>
              <w:jc w:val="right"/>
              <w:ind w:right="114"/>
              <w:spacing w:after="0"/>
              <w:rPr>
                <w:sz w:val="20"/>
                <w:szCs w:val="20"/>
                <w:color w:val="auto"/>
              </w:rPr>
            </w:pPr>
            <w:r>
              <w:rPr>
                <w:rFonts w:ascii="Arial" w:cs="Arial" w:eastAsia="Arial" w:hAnsi="Arial"/>
                <w:sz w:val="17"/>
                <w:szCs w:val="17"/>
                <w:b w:val="1"/>
                <w:bCs w:val="1"/>
                <w:color w:val="auto"/>
              </w:rPr>
              <w:t>YOY%</w:t>
            </w:r>
          </w:p>
        </w:tc>
        <w:tc>
          <w:tcPr>
            <w:tcW w:w="740" w:type="dxa"/>
            <w:vAlign w:val="bottom"/>
            <w:shd w:val="clear" w:color="auto" w:fill="F4DECA"/>
          </w:tcPr>
          <w:p>
            <w:pPr>
              <w:jc w:val="right"/>
              <w:ind w:right="155"/>
              <w:spacing w:after="0"/>
              <w:rPr>
                <w:sz w:val="20"/>
                <w:szCs w:val="20"/>
                <w:color w:val="auto"/>
              </w:rPr>
            </w:pPr>
            <w:r>
              <w:rPr>
                <w:rFonts w:ascii="Arial" w:cs="Arial" w:eastAsia="Arial" w:hAnsi="Arial"/>
                <w:sz w:val="17"/>
                <w:szCs w:val="17"/>
                <w:b w:val="1"/>
                <w:bCs w:val="1"/>
                <w:color w:val="auto"/>
              </w:rPr>
              <w:t>2016</w:t>
            </w:r>
          </w:p>
        </w:tc>
        <w:tc>
          <w:tcPr>
            <w:tcW w:w="800" w:type="dxa"/>
            <w:vAlign w:val="bottom"/>
            <w:shd w:val="clear" w:color="auto" w:fill="F4DECA"/>
          </w:tcPr>
          <w:p>
            <w:pPr>
              <w:jc w:val="right"/>
              <w:ind w:right="115"/>
              <w:spacing w:after="0"/>
              <w:rPr>
                <w:sz w:val="20"/>
                <w:szCs w:val="20"/>
                <w:color w:val="auto"/>
              </w:rPr>
            </w:pPr>
            <w:r>
              <w:rPr>
                <w:rFonts w:ascii="Arial" w:cs="Arial" w:eastAsia="Arial" w:hAnsi="Arial"/>
                <w:sz w:val="17"/>
                <w:szCs w:val="17"/>
                <w:b w:val="1"/>
                <w:bCs w:val="1"/>
                <w:color w:val="auto"/>
              </w:rPr>
              <w:t>YOY%</w:t>
            </w:r>
          </w:p>
        </w:tc>
        <w:tc>
          <w:tcPr>
            <w:tcW w:w="740" w:type="dxa"/>
            <w:vAlign w:val="bottom"/>
            <w:shd w:val="clear" w:color="auto" w:fill="F4DECA"/>
          </w:tcPr>
          <w:p>
            <w:pPr>
              <w:jc w:val="right"/>
              <w:ind w:right="155"/>
              <w:spacing w:after="0"/>
              <w:rPr>
                <w:sz w:val="20"/>
                <w:szCs w:val="20"/>
                <w:color w:val="auto"/>
              </w:rPr>
            </w:pPr>
            <w:r>
              <w:rPr>
                <w:rFonts w:ascii="Arial" w:cs="Arial" w:eastAsia="Arial" w:hAnsi="Arial"/>
                <w:sz w:val="17"/>
                <w:szCs w:val="17"/>
                <w:b w:val="1"/>
                <w:bCs w:val="1"/>
                <w:color w:val="auto"/>
              </w:rPr>
              <w:t>2017</w:t>
            </w:r>
          </w:p>
        </w:tc>
        <w:tc>
          <w:tcPr>
            <w:tcW w:w="760" w:type="dxa"/>
            <w:vAlign w:val="bottom"/>
            <w:tcBorders>
              <w:right w:val="single" w:sz="8" w:color="DD924E"/>
            </w:tcBorders>
            <w:shd w:val="clear" w:color="auto" w:fill="F4DECA"/>
          </w:tcPr>
          <w:p>
            <w:pPr>
              <w:jc w:val="right"/>
              <w:ind w:right="75"/>
              <w:spacing w:after="0"/>
              <w:rPr>
                <w:sz w:val="20"/>
                <w:szCs w:val="20"/>
                <w:color w:val="auto"/>
              </w:rPr>
            </w:pPr>
            <w:r>
              <w:rPr>
                <w:rFonts w:ascii="Arial" w:cs="Arial" w:eastAsia="Arial" w:hAnsi="Arial"/>
                <w:sz w:val="17"/>
                <w:szCs w:val="17"/>
                <w:b w:val="1"/>
                <w:bCs w:val="1"/>
                <w:color w:val="auto"/>
              </w:rPr>
              <w:t>YOY%</w:t>
            </w:r>
          </w:p>
        </w:tc>
      </w:tr>
      <w:tr>
        <w:trPr>
          <w:trHeight w:val="244"/>
        </w:trPr>
        <w:tc>
          <w:tcPr>
            <w:tcW w:w="4180" w:type="dxa"/>
            <w:vAlign w:val="bottom"/>
            <w:tcBorders>
              <w:left w:val="single" w:sz="8" w:color="DD924E"/>
            </w:tcBorders>
            <w:shd w:val="clear" w:color="auto" w:fill="FBF4ED"/>
          </w:tcPr>
          <w:p>
            <w:pPr>
              <w:ind w:left="60"/>
              <w:spacing w:after="0"/>
              <w:rPr>
                <w:sz w:val="20"/>
                <w:szCs w:val="20"/>
                <w:color w:val="auto"/>
              </w:rPr>
            </w:pPr>
            <w:r>
              <w:rPr>
                <w:rFonts w:ascii="Arial" w:cs="Arial" w:eastAsia="Arial" w:hAnsi="Arial"/>
                <w:sz w:val="17"/>
                <w:szCs w:val="17"/>
                <w:color w:val="auto"/>
              </w:rPr>
              <w:t>Insurance Segment</w:t>
            </w:r>
          </w:p>
        </w:tc>
        <w:tc>
          <w:tcPr>
            <w:tcW w:w="780" w:type="dxa"/>
            <w:vAlign w:val="bottom"/>
            <w:shd w:val="clear" w:color="auto" w:fill="FBF4ED"/>
          </w:tcPr>
          <w:p>
            <w:pPr>
              <w:jc w:val="right"/>
              <w:spacing w:after="0"/>
              <w:rPr>
                <w:sz w:val="20"/>
                <w:szCs w:val="20"/>
                <w:color w:val="auto"/>
              </w:rPr>
            </w:pPr>
            <w:r>
              <w:rPr>
                <w:rFonts w:ascii="Arial" w:cs="Arial" w:eastAsia="Arial" w:hAnsi="Arial"/>
                <w:sz w:val="17"/>
                <w:szCs w:val="17"/>
                <w:color w:val="auto"/>
              </w:rPr>
              <w:t>$199.9</w:t>
            </w:r>
          </w:p>
        </w:tc>
        <w:tc>
          <w:tcPr>
            <w:tcW w:w="820" w:type="dxa"/>
            <w:vAlign w:val="bottom"/>
            <w:shd w:val="clear" w:color="auto" w:fill="FBF4ED"/>
          </w:tcPr>
          <w:p>
            <w:pPr>
              <w:jc w:val="right"/>
              <w:ind w:right="34"/>
              <w:spacing w:after="0"/>
              <w:rPr>
                <w:sz w:val="20"/>
                <w:szCs w:val="20"/>
                <w:color w:val="auto"/>
              </w:rPr>
            </w:pPr>
            <w:r>
              <w:rPr>
                <w:rFonts w:ascii="Arial" w:cs="Arial" w:eastAsia="Arial" w:hAnsi="Arial"/>
                <w:sz w:val="17"/>
                <w:szCs w:val="17"/>
                <w:color w:val="auto"/>
              </w:rPr>
              <w:t>32.1%</w:t>
            </w:r>
          </w:p>
        </w:tc>
        <w:tc>
          <w:tcPr>
            <w:tcW w:w="740" w:type="dxa"/>
            <w:vAlign w:val="bottom"/>
            <w:shd w:val="clear" w:color="auto" w:fill="FBF4ED"/>
          </w:tcPr>
          <w:p>
            <w:pPr>
              <w:jc w:val="right"/>
              <w:spacing w:after="0"/>
              <w:rPr>
                <w:sz w:val="20"/>
                <w:szCs w:val="20"/>
                <w:color w:val="auto"/>
              </w:rPr>
            </w:pPr>
            <w:r>
              <w:rPr>
                <w:rFonts w:ascii="Arial" w:cs="Arial" w:eastAsia="Arial" w:hAnsi="Arial"/>
                <w:sz w:val="17"/>
                <w:szCs w:val="17"/>
                <w:color w:val="auto"/>
              </w:rPr>
              <w:t>$206.3</w:t>
            </w:r>
          </w:p>
        </w:tc>
        <w:tc>
          <w:tcPr>
            <w:tcW w:w="800" w:type="dxa"/>
            <w:vAlign w:val="bottom"/>
            <w:shd w:val="clear" w:color="auto" w:fill="FBF4ED"/>
          </w:tcPr>
          <w:p>
            <w:pPr>
              <w:jc w:val="right"/>
              <w:ind w:right="35"/>
              <w:spacing w:after="0"/>
              <w:rPr>
                <w:sz w:val="20"/>
                <w:szCs w:val="20"/>
                <w:color w:val="auto"/>
              </w:rPr>
            </w:pPr>
            <w:r>
              <w:rPr>
                <w:rFonts w:ascii="Arial" w:cs="Arial" w:eastAsia="Arial" w:hAnsi="Arial"/>
                <w:sz w:val="17"/>
                <w:szCs w:val="17"/>
                <w:color w:val="auto"/>
              </w:rPr>
              <w:t>3.2%</w:t>
            </w:r>
          </w:p>
        </w:tc>
        <w:tc>
          <w:tcPr>
            <w:tcW w:w="740" w:type="dxa"/>
            <w:vAlign w:val="bottom"/>
            <w:shd w:val="clear" w:color="auto" w:fill="FBF4ED"/>
          </w:tcPr>
          <w:p>
            <w:pPr>
              <w:jc w:val="right"/>
              <w:spacing w:after="0"/>
              <w:rPr>
                <w:sz w:val="20"/>
                <w:szCs w:val="20"/>
                <w:color w:val="auto"/>
              </w:rPr>
            </w:pPr>
            <w:r>
              <w:rPr>
                <w:rFonts w:ascii="Arial" w:cs="Arial" w:eastAsia="Arial" w:hAnsi="Arial"/>
                <w:sz w:val="17"/>
                <w:szCs w:val="17"/>
                <w:color w:val="auto"/>
              </w:rPr>
              <w:t>$234.8</w:t>
            </w:r>
          </w:p>
        </w:tc>
        <w:tc>
          <w:tcPr>
            <w:tcW w:w="760" w:type="dxa"/>
            <w:vAlign w:val="bottom"/>
            <w:tcBorders>
              <w:right w:val="single" w:sz="8" w:color="DD924E"/>
            </w:tcBorders>
            <w:shd w:val="clear" w:color="auto" w:fill="FBF4ED"/>
          </w:tcPr>
          <w:p>
            <w:pPr>
              <w:jc w:val="right"/>
              <w:spacing w:after="0"/>
              <w:rPr>
                <w:sz w:val="20"/>
                <w:szCs w:val="20"/>
                <w:color w:val="auto"/>
              </w:rPr>
            </w:pPr>
            <w:r>
              <w:rPr>
                <w:rFonts w:ascii="Arial" w:cs="Arial" w:eastAsia="Arial" w:hAnsi="Arial"/>
                <w:sz w:val="17"/>
                <w:szCs w:val="17"/>
                <w:color w:val="auto"/>
              </w:rPr>
              <w:t>13.8%</w:t>
            </w:r>
          </w:p>
        </w:tc>
      </w:tr>
      <w:tr>
        <w:trPr>
          <w:trHeight w:val="237"/>
        </w:trPr>
        <w:tc>
          <w:tcPr>
            <w:tcW w:w="4180" w:type="dxa"/>
            <w:vAlign w:val="bottom"/>
            <w:tcBorders>
              <w:left w:val="single" w:sz="8" w:color="DD924E"/>
            </w:tcBorders>
          </w:tcPr>
          <w:p>
            <w:pPr>
              <w:ind w:left="60"/>
              <w:spacing w:after="0"/>
              <w:rPr>
                <w:sz w:val="20"/>
                <w:szCs w:val="20"/>
                <w:color w:val="auto"/>
              </w:rPr>
            </w:pPr>
            <w:r>
              <w:rPr>
                <w:rFonts w:ascii="Arial" w:cs="Arial" w:eastAsia="Arial" w:hAnsi="Arial"/>
                <w:sz w:val="17"/>
                <w:szCs w:val="17"/>
                <w:color w:val="auto"/>
              </w:rPr>
              <w:t>Healthcare Segment</w:t>
            </w:r>
          </w:p>
        </w:tc>
        <w:tc>
          <w:tcPr>
            <w:tcW w:w="780" w:type="dxa"/>
            <w:vAlign w:val="bottom"/>
          </w:tcPr>
          <w:p>
            <w:pPr>
              <w:jc w:val="right"/>
              <w:spacing w:after="0"/>
              <w:rPr>
                <w:sz w:val="20"/>
                <w:szCs w:val="20"/>
                <w:color w:val="auto"/>
              </w:rPr>
            </w:pPr>
            <w:r>
              <w:rPr>
                <w:rFonts w:ascii="Arial" w:cs="Arial" w:eastAsia="Arial" w:hAnsi="Arial"/>
                <w:sz w:val="17"/>
                <w:szCs w:val="17"/>
                <w:color w:val="auto"/>
              </w:rPr>
              <w:t>55.2</w:t>
            </w: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28.7%</w:t>
            </w:r>
          </w:p>
        </w:tc>
        <w:tc>
          <w:tcPr>
            <w:tcW w:w="740" w:type="dxa"/>
            <w:vAlign w:val="bottom"/>
          </w:tcPr>
          <w:p>
            <w:pPr>
              <w:jc w:val="right"/>
              <w:spacing w:after="0"/>
              <w:rPr>
                <w:sz w:val="20"/>
                <w:szCs w:val="20"/>
                <w:color w:val="auto"/>
              </w:rPr>
            </w:pPr>
            <w:r>
              <w:rPr>
                <w:rFonts w:ascii="Arial" w:cs="Arial" w:eastAsia="Arial" w:hAnsi="Arial"/>
                <w:sz w:val="17"/>
                <w:szCs w:val="17"/>
                <w:color w:val="auto"/>
              </w:rPr>
              <w:t>68.7</w:t>
            </w: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24.4%</w:t>
            </w:r>
          </w:p>
        </w:tc>
        <w:tc>
          <w:tcPr>
            <w:tcW w:w="740" w:type="dxa"/>
            <w:vAlign w:val="bottom"/>
          </w:tcPr>
          <w:p>
            <w:pPr>
              <w:jc w:val="right"/>
              <w:spacing w:after="0"/>
              <w:rPr>
                <w:sz w:val="20"/>
                <w:szCs w:val="20"/>
                <w:color w:val="auto"/>
              </w:rPr>
            </w:pPr>
            <w:r>
              <w:rPr>
                <w:rFonts w:ascii="Arial" w:cs="Arial" w:eastAsia="Arial" w:hAnsi="Arial"/>
                <w:sz w:val="17"/>
                <w:szCs w:val="17"/>
                <w:color w:val="auto"/>
              </w:rPr>
              <w:t>77.0</w:t>
            </w:r>
          </w:p>
        </w:tc>
        <w:tc>
          <w:tcPr>
            <w:tcW w:w="760" w:type="dxa"/>
            <w:vAlign w:val="bottom"/>
            <w:tcBorders>
              <w:right w:val="single" w:sz="8" w:color="DD924E"/>
            </w:tcBorders>
          </w:tcPr>
          <w:p>
            <w:pPr>
              <w:jc w:val="right"/>
              <w:spacing w:after="0"/>
              <w:rPr>
                <w:sz w:val="20"/>
                <w:szCs w:val="20"/>
                <w:color w:val="auto"/>
              </w:rPr>
            </w:pPr>
            <w:r>
              <w:rPr>
                <w:rFonts w:ascii="Arial" w:cs="Arial" w:eastAsia="Arial" w:hAnsi="Arial"/>
                <w:sz w:val="17"/>
                <w:szCs w:val="17"/>
                <w:color w:val="auto"/>
              </w:rPr>
              <w:t>12.2%</w:t>
            </w:r>
          </w:p>
        </w:tc>
      </w:tr>
      <w:tr>
        <w:trPr>
          <w:trHeight w:val="251"/>
        </w:trPr>
        <w:tc>
          <w:tcPr>
            <w:tcW w:w="4180" w:type="dxa"/>
            <w:vAlign w:val="bottom"/>
            <w:tcBorders>
              <w:left w:val="single" w:sz="8" w:color="DD924E"/>
            </w:tcBorders>
            <w:shd w:val="clear" w:color="auto" w:fill="FBF4ED"/>
          </w:tcPr>
          <w:p>
            <w:pPr>
              <w:ind w:left="60"/>
              <w:spacing w:after="0"/>
              <w:rPr>
                <w:sz w:val="20"/>
                <w:szCs w:val="20"/>
                <w:color w:val="auto"/>
              </w:rPr>
            </w:pPr>
            <w:r>
              <w:rPr>
                <w:rFonts w:ascii="Arial" w:cs="Arial" w:eastAsia="Arial" w:hAnsi="Arial"/>
                <w:sz w:val="17"/>
                <w:szCs w:val="17"/>
                <w:color w:val="auto"/>
              </w:rPr>
              <w:t>Travel, Transportation and Logistics Segment</w:t>
            </w:r>
          </w:p>
        </w:tc>
        <w:tc>
          <w:tcPr>
            <w:tcW w:w="780" w:type="dxa"/>
            <w:vAlign w:val="bottom"/>
            <w:shd w:val="clear" w:color="auto" w:fill="FBF4ED"/>
          </w:tcPr>
          <w:p>
            <w:pPr>
              <w:jc w:val="right"/>
              <w:spacing w:after="0"/>
              <w:rPr>
                <w:sz w:val="20"/>
                <w:szCs w:val="20"/>
                <w:color w:val="auto"/>
              </w:rPr>
            </w:pPr>
            <w:r>
              <w:rPr>
                <w:rFonts w:ascii="Arial" w:cs="Arial" w:eastAsia="Arial" w:hAnsi="Arial"/>
                <w:sz w:val="17"/>
                <w:szCs w:val="17"/>
                <w:color w:val="auto"/>
              </w:rPr>
              <w:t>62.2</w:t>
            </w:r>
          </w:p>
        </w:tc>
        <w:tc>
          <w:tcPr>
            <w:tcW w:w="820" w:type="dxa"/>
            <w:vAlign w:val="bottom"/>
            <w:shd w:val="clear" w:color="auto" w:fill="FBF4ED"/>
          </w:tcPr>
          <w:p>
            <w:pPr>
              <w:jc w:val="right"/>
              <w:ind w:right="34"/>
              <w:spacing w:after="0"/>
              <w:rPr>
                <w:sz w:val="20"/>
                <w:szCs w:val="20"/>
                <w:color w:val="auto"/>
              </w:rPr>
            </w:pPr>
            <w:r>
              <w:rPr>
                <w:rFonts w:ascii="Arial" w:cs="Arial" w:eastAsia="Arial" w:hAnsi="Arial"/>
                <w:sz w:val="17"/>
                <w:szCs w:val="17"/>
                <w:color w:val="auto"/>
              </w:rPr>
              <w:t>30.9%</w:t>
            </w:r>
          </w:p>
        </w:tc>
        <w:tc>
          <w:tcPr>
            <w:tcW w:w="740" w:type="dxa"/>
            <w:vAlign w:val="bottom"/>
            <w:shd w:val="clear" w:color="auto" w:fill="FBF4ED"/>
          </w:tcPr>
          <w:p>
            <w:pPr>
              <w:jc w:val="right"/>
              <w:spacing w:after="0"/>
              <w:rPr>
                <w:sz w:val="20"/>
                <w:szCs w:val="20"/>
                <w:color w:val="auto"/>
              </w:rPr>
            </w:pPr>
            <w:r>
              <w:rPr>
                <w:rFonts w:ascii="Arial" w:cs="Arial" w:eastAsia="Arial" w:hAnsi="Arial"/>
                <w:sz w:val="17"/>
                <w:szCs w:val="17"/>
                <w:color w:val="auto"/>
              </w:rPr>
              <w:t>69.4</w:t>
            </w:r>
          </w:p>
        </w:tc>
        <w:tc>
          <w:tcPr>
            <w:tcW w:w="800" w:type="dxa"/>
            <w:vAlign w:val="bottom"/>
            <w:shd w:val="clear" w:color="auto" w:fill="FBF4ED"/>
          </w:tcPr>
          <w:p>
            <w:pPr>
              <w:jc w:val="right"/>
              <w:ind w:right="35"/>
              <w:spacing w:after="0"/>
              <w:rPr>
                <w:sz w:val="20"/>
                <w:szCs w:val="20"/>
                <w:color w:val="auto"/>
              </w:rPr>
            </w:pPr>
            <w:r>
              <w:rPr>
                <w:rFonts w:ascii="Arial" w:cs="Arial" w:eastAsia="Arial" w:hAnsi="Arial"/>
                <w:sz w:val="17"/>
                <w:szCs w:val="17"/>
                <w:color w:val="auto"/>
              </w:rPr>
              <w:t>11.4%</w:t>
            </w:r>
          </w:p>
        </w:tc>
        <w:tc>
          <w:tcPr>
            <w:tcW w:w="740" w:type="dxa"/>
            <w:vAlign w:val="bottom"/>
            <w:shd w:val="clear" w:color="auto" w:fill="FBF4ED"/>
          </w:tcPr>
          <w:p>
            <w:pPr>
              <w:jc w:val="right"/>
              <w:spacing w:after="0"/>
              <w:rPr>
                <w:sz w:val="20"/>
                <w:szCs w:val="20"/>
                <w:color w:val="auto"/>
              </w:rPr>
            </w:pPr>
            <w:r>
              <w:rPr>
                <w:rFonts w:ascii="Arial" w:cs="Arial" w:eastAsia="Arial" w:hAnsi="Arial"/>
                <w:sz w:val="17"/>
                <w:szCs w:val="17"/>
                <w:color w:val="auto"/>
              </w:rPr>
              <w:t>71.0</w:t>
            </w:r>
          </w:p>
        </w:tc>
        <w:tc>
          <w:tcPr>
            <w:tcW w:w="760" w:type="dxa"/>
            <w:vAlign w:val="bottom"/>
            <w:tcBorders>
              <w:right w:val="single" w:sz="8" w:color="DD924E"/>
            </w:tcBorders>
            <w:shd w:val="clear" w:color="auto" w:fill="FBF4ED"/>
          </w:tcPr>
          <w:p>
            <w:pPr>
              <w:jc w:val="right"/>
              <w:spacing w:after="0"/>
              <w:rPr>
                <w:sz w:val="20"/>
                <w:szCs w:val="20"/>
                <w:color w:val="auto"/>
              </w:rPr>
            </w:pPr>
            <w:r>
              <w:rPr>
                <w:rFonts w:ascii="Arial" w:cs="Arial" w:eastAsia="Arial" w:hAnsi="Arial"/>
                <w:sz w:val="17"/>
                <w:szCs w:val="17"/>
                <w:color w:val="auto"/>
              </w:rPr>
              <w:t>2.3%</w:t>
            </w:r>
          </w:p>
        </w:tc>
      </w:tr>
      <w:tr>
        <w:trPr>
          <w:trHeight w:val="237"/>
        </w:trPr>
        <w:tc>
          <w:tcPr>
            <w:tcW w:w="4180" w:type="dxa"/>
            <w:vAlign w:val="bottom"/>
            <w:tcBorders>
              <w:left w:val="single" w:sz="8" w:color="DD924E"/>
            </w:tcBorders>
          </w:tcPr>
          <w:p>
            <w:pPr>
              <w:ind w:left="60"/>
              <w:spacing w:after="0"/>
              <w:rPr>
                <w:sz w:val="20"/>
                <w:szCs w:val="20"/>
                <w:color w:val="auto"/>
              </w:rPr>
            </w:pPr>
            <w:r>
              <w:rPr>
                <w:rFonts w:ascii="Arial" w:cs="Arial" w:eastAsia="Arial" w:hAnsi="Arial"/>
                <w:sz w:val="17"/>
                <w:szCs w:val="17"/>
                <w:color w:val="auto"/>
              </w:rPr>
              <w:t>Finance and Accounting Segment</w:t>
            </w:r>
          </w:p>
        </w:tc>
        <w:tc>
          <w:tcPr>
            <w:tcW w:w="780" w:type="dxa"/>
            <w:vAlign w:val="bottom"/>
          </w:tcPr>
          <w:p>
            <w:pPr>
              <w:jc w:val="right"/>
              <w:spacing w:after="0"/>
              <w:rPr>
                <w:sz w:val="20"/>
                <w:szCs w:val="20"/>
                <w:color w:val="auto"/>
              </w:rPr>
            </w:pPr>
            <w:r>
              <w:rPr>
                <w:rFonts w:ascii="Arial" w:cs="Arial" w:eastAsia="Arial" w:hAnsi="Arial"/>
                <w:sz w:val="17"/>
                <w:szCs w:val="17"/>
                <w:color w:val="auto"/>
              </w:rPr>
              <w:t>78.5</w:t>
            </w: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-14.7%</w:t>
            </w:r>
          </w:p>
        </w:tc>
        <w:tc>
          <w:tcPr>
            <w:tcW w:w="740" w:type="dxa"/>
            <w:vAlign w:val="bottom"/>
          </w:tcPr>
          <w:p>
            <w:pPr>
              <w:jc w:val="right"/>
              <w:spacing w:after="0"/>
              <w:rPr>
                <w:sz w:val="20"/>
                <w:szCs w:val="20"/>
                <w:color w:val="auto"/>
              </w:rPr>
            </w:pPr>
            <w:r>
              <w:rPr>
                <w:rFonts w:ascii="Arial" w:cs="Arial" w:eastAsia="Arial" w:hAnsi="Arial"/>
                <w:sz w:val="17"/>
                <w:szCs w:val="17"/>
                <w:color w:val="auto"/>
              </w:rPr>
              <w:t>79.4</w:t>
            </w: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1.2%</w:t>
            </w:r>
          </w:p>
        </w:tc>
        <w:tc>
          <w:tcPr>
            <w:tcW w:w="740" w:type="dxa"/>
            <w:vAlign w:val="bottom"/>
          </w:tcPr>
          <w:p>
            <w:pPr>
              <w:jc w:val="right"/>
              <w:spacing w:after="0"/>
              <w:rPr>
                <w:sz w:val="20"/>
                <w:szCs w:val="20"/>
                <w:color w:val="auto"/>
              </w:rPr>
            </w:pPr>
            <w:r>
              <w:rPr>
                <w:rFonts w:ascii="Arial" w:cs="Arial" w:eastAsia="Arial" w:hAnsi="Arial"/>
                <w:sz w:val="17"/>
                <w:szCs w:val="17"/>
                <w:color w:val="auto"/>
              </w:rPr>
              <w:t>86.5</w:t>
            </w:r>
          </w:p>
        </w:tc>
        <w:tc>
          <w:tcPr>
            <w:tcW w:w="760" w:type="dxa"/>
            <w:vAlign w:val="bottom"/>
            <w:tcBorders>
              <w:right w:val="single" w:sz="8" w:color="DD924E"/>
            </w:tcBorders>
          </w:tcPr>
          <w:p>
            <w:pPr>
              <w:jc w:val="right"/>
              <w:spacing w:after="0"/>
              <w:rPr>
                <w:sz w:val="20"/>
                <w:szCs w:val="20"/>
                <w:color w:val="auto"/>
              </w:rPr>
            </w:pPr>
            <w:r>
              <w:rPr>
                <w:rFonts w:ascii="Arial" w:cs="Arial" w:eastAsia="Arial" w:hAnsi="Arial"/>
                <w:sz w:val="17"/>
                <w:szCs w:val="17"/>
                <w:color w:val="auto"/>
              </w:rPr>
              <w:t>9.0%</w:t>
            </w:r>
          </w:p>
        </w:tc>
      </w:tr>
      <w:tr>
        <w:trPr>
          <w:trHeight w:val="251"/>
        </w:trPr>
        <w:tc>
          <w:tcPr>
            <w:tcW w:w="4180" w:type="dxa"/>
            <w:vAlign w:val="bottom"/>
            <w:tcBorders>
              <w:left w:val="single" w:sz="8" w:color="DD924E"/>
            </w:tcBorders>
            <w:shd w:val="clear" w:color="auto" w:fill="FBF4ED"/>
          </w:tcPr>
          <w:p>
            <w:pPr>
              <w:ind w:left="60"/>
              <w:spacing w:after="0"/>
              <w:rPr>
                <w:sz w:val="20"/>
                <w:szCs w:val="20"/>
                <w:color w:val="auto"/>
              </w:rPr>
            </w:pPr>
            <w:r>
              <w:rPr>
                <w:rFonts w:ascii="Arial" w:cs="Arial" w:eastAsia="Arial" w:hAnsi="Arial"/>
                <w:sz w:val="17"/>
                <w:szCs w:val="17"/>
                <w:color w:val="auto"/>
              </w:rPr>
              <w:t>All Other</w:t>
            </w:r>
          </w:p>
        </w:tc>
        <w:tc>
          <w:tcPr>
            <w:tcW w:w="780" w:type="dxa"/>
            <w:vAlign w:val="bottom"/>
            <w:shd w:val="clear" w:color="auto" w:fill="FBF4ED"/>
          </w:tcPr>
          <w:p>
            <w:pPr>
              <w:jc w:val="right"/>
              <w:spacing w:after="0"/>
              <w:rPr>
                <w:sz w:val="20"/>
                <w:szCs w:val="20"/>
                <w:color w:val="auto"/>
              </w:rPr>
            </w:pPr>
            <w:r>
              <w:rPr>
                <w:rFonts w:ascii="Arial" w:cs="Arial" w:eastAsia="Arial" w:hAnsi="Arial"/>
                <w:sz w:val="17"/>
                <w:szCs w:val="17"/>
                <w:color w:val="auto"/>
              </w:rPr>
              <w:t>110.5</w:t>
            </w:r>
          </w:p>
        </w:tc>
        <w:tc>
          <w:tcPr>
            <w:tcW w:w="820" w:type="dxa"/>
            <w:vAlign w:val="bottom"/>
            <w:shd w:val="clear" w:color="auto" w:fill="FBF4ED"/>
          </w:tcPr>
          <w:p>
            <w:pPr>
              <w:jc w:val="right"/>
              <w:ind w:right="34"/>
              <w:spacing w:after="0"/>
              <w:rPr>
                <w:sz w:val="20"/>
                <w:szCs w:val="20"/>
                <w:color w:val="auto"/>
              </w:rPr>
            </w:pPr>
            <w:r>
              <w:rPr>
                <w:rFonts w:ascii="Arial" w:cs="Arial" w:eastAsia="Arial" w:hAnsi="Arial"/>
                <w:sz w:val="17"/>
                <w:szCs w:val="17"/>
                <w:color w:val="auto"/>
              </w:rPr>
              <w:t>10.5%</w:t>
            </w:r>
          </w:p>
        </w:tc>
        <w:tc>
          <w:tcPr>
            <w:tcW w:w="740" w:type="dxa"/>
            <w:vAlign w:val="bottom"/>
            <w:shd w:val="clear" w:color="auto" w:fill="FBF4ED"/>
          </w:tcPr>
          <w:p>
            <w:pPr>
              <w:jc w:val="right"/>
              <w:spacing w:after="0"/>
              <w:rPr>
                <w:sz w:val="20"/>
                <w:szCs w:val="20"/>
                <w:color w:val="auto"/>
              </w:rPr>
            </w:pPr>
            <w:r>
              <w:rPr>
                <w:rFonts w:ascii="Arial" w:cs="Arial" w:eastAsia="Arial" w:hAnsi="Arial"/>
                <w:sz w:val="17"/>
                <w:szCs w:val="17"/>
                <w:color w:val="auto"/>
              </w:rPr>
              <w:t>96.5</w:t>
            </w:r>
          </w:p>
        </w:tc>
        <w:tc>
          <w:tcPr>
            <w:tcW w:w="800" w:type="dxa"/>
            <w:vAlign w:val="bottom"/>
            <w:shd w:val="clear" w:color="auto" w:fill="FBF4ED"/>
          </w:tcPr>
          <w:p>
            <w:pPr>
              <w:jc w:val="right"/>
              <w:ind w:right="35"/>
              <w:spacing w:after="0"/>
              <w:rPr>
                <w:sz w:val="20"/>
                <w:szCs w:val="20"/>
                <w:color w:val="auto"/>
              </w:rPr>
            </w:pPr>
            <w:r>
              <w:rPr>
                <w:rFonts w:ascii="Arial" w:cs="Arial" w:eastAsia="Arial" w:hAnsi="Arial"/>
                <w:sz w:val="17"/>
                <w:szCs w:val="17"/>
                <w:color w:val="auto"/>
              </w:rPr>
              <w:t>-12.7%</w:t>
            </w:r>
          </w:p>
        </w:tc>
        <w:tc>
          <w:tcPr>
            <w:tcW w:w="740" w:type="dxa"/>
            <w:vAlign w:val="bottom"/>
            <w:shd w:val="clear" w:color="auto" w:fill="FBF4ED"/>
          </w:tcPr>
          <w:p>
            <w:pPr>
              <w:jc w:val="right"/>
              <w:spacing w:after="0"/>
              <w:rPr>
                <w:sz w:val="20"/>
                <w:szCs w:val="20"/>
                <w:color w:val="auto"/>
              </w:rPr>
            </w:pPr>
            <w:r>
              <w:rPr>
                <w:rFonts w:ascii="Arial" w:cs="Arial" w:eastAsia="Arial" w:hAnsi="Arial"/>
                <w:sz w:val="17"/>
                <w:szCs w:val="17"/>
                <w:color w:val="auto"/>
              </w:rPr>
              <w:t>83.1</w:t>
            </w:r>
          </w:p>
        </w:tc>
        <w:tc>
          <w:tcPr>
            <w:tcW w:w="760" w:type="dxa"/>
            <w:vAlign w:val="bottom"/>
            <w:tcBorders>
              <w:right w:val="single" w:sz="8" w:color="DD924E"/>
            </w:tcBorders>
            <w:shd w:val="clear" w:color="auto" w:fill="FBF4ED"/>
          </w:tcPr>
          <w:p>
            <w:pPr>
              <w:jc w:val="right"/>
              <w:spacing w:after="0"/>
              <w:rPr>
                <w:sz w:val="20"/>
                <w:szCs w:val="20"/>
                <w:color w:val="auto"/>
              </w:rPr>
            </w:pPr>
            <w:r>
              <w:rPr>
                <w:rFonts w:ascii="Arial" w:cs="Arial" w:eastAsia="Arial" w:hAnsi="Arial"/>
                <w:sz w:val="17"/>
                <w:szCs w:val="17"/>
                <w:color w:val="auto"/>
              </w:rPr>
              <w:t>-13.9%</w:t>
            </w:r>
          </w:p>
        </w:tc>
      </w:tr>
      <w:tr>
        <w:trPr>
          <w:trHeight w:val="237"/>
        </w:trPr>
        <w:tc>
          <w:tcPr>
            <w:tcW w:w="4180" w:type="dxa"/>
            <w:vAlign w:val="bottom"/>
            <w:tcBorders>
              <w:left w:val="single" w:sz="8" w:color="DD924E"/>
            </w:tcBorders>
          </w:tcPr>
          <w:p>
            <w:pPr>
              <w:ind w:left="60"/>
              <w:spacing w:after="0"/>
              <w:rPr>
                <w:sz w:val="20"/>
                <w:szCs w:val="20"/>
                <w:color w:val="auto"/>
              </w:rPr>
            </w:pPr>
            <w:r>
              <w:rPr>
                <w:rFonts w:ascii="Arial" w:cs="Arial" w:eastAsia="Arial" w:hAnsi="Arial"/>
                <w:sz w:val="17"/>
                <w:szCs w:val="17"/>
                <w:color w:val="auto"/>
              </w:rPr>
              <w:t>Analytics</w:t>
            </w:r>
          </w:p>
        </w:tc>
        <w:tc>
          <w:tcPr>
            <w:tcW w:w="780" w:type="dxa"/>
            <w:vAlign w:val="bottom"/>
          </w:tcPr>
          <w:p>
            <w:pPr>
              <w:jc w:val="right"/>
              <w:spacing w:after="0"/>
              <w:rPr>
                <w:sz w:val="20"/>
                <w:szCs w:val="20"/>
                <w:color w:val="auto"/>
              </w:rPr>
            </w:pPr>
            <w:r>
              <w:rPr>
                <w:rFonts w:ascii="Arial" w:cs="Arial" w:eastAsia="Arial" w:hAnsi="Arial"/>
                <w:sz w:val="17"/>
                <w:szCs w:val="17"/>
                <w:color w:val="auto"/>
              </w:rPr>
              <w:t>122.2</w:t>
            </w: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86.3%</w:t>
            </w:r>
          </w:p>
        </w:tc>
        <w:tc>
          <w:tcPr>
            <w:tcW w:w="740" w:type="dxa"/>
            <w:vAlign w:val="bottom"/>
          </w:tcPr>
          <w:p>
            <w:pPr>
              <w:jc w:val="right"/>
              <w:spacing w:after="0"/>
              <w:rPr>
                <w:sz w:val="20"/>
                <w:szCs w:val="20"/>
                <w:color w:val="auto"/>
              </w:rPr>
            </w:pPr>
            <w:r>
              <w:rPr>
                <w:rFonts w:ascii="Arial" w:cs="Arial" w:eastAsia="Arial" w:hAnsi="Arial"/>
                <w:sz w:val="17"/>
                <w:szCs w:val="17"/>
                <w:color w:val="auto"/>
              </w:rPr>
              <w:t>165.7</w:t>
            </w: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35.7%</w:t>
            </w:r>
          </w:p>
        </w:tc>
        <w:tc>
          <w:tcPr>
            <w:tcW w:w="740" w:type="dxa"/>
            <w:vAlign w:val="bottom"/>
          </w:tcPr>
          <w:p>
            <w:pPr>
              <w:jc w:val="right"/>
              <w:spacing w:after="0"/>
              <w:rPr>
                <w:sz w:val="20"/>
                <w:szCs w:val="20"/>
                <w:color w:val="auto"/>
              </w:rPr>
            </w:pPr>
            <w:r>
              <w:rPr>
                <w:rFonts w:ascii="Arial" w:cs="Arial" w:eastAsia="Arial" w:hAnsi="Arial"/>
                <w:sz w:val="17"/>
                <w:szCs w:val="17"/>
                <w:color w:val="auto"/>
              </w:rPr>
              <w:t>209.9</w:t>
            </w:r>
          </w:p>
        </w:tc>
        <w:tc>
          <w:tcPr>
            <w:tcW w:w="760" w:type="dxa"/>
            <w:vAlign w:val="bottom"/>
            <w:tcBorders>
              <w:right w:val="single" w:sz="8" w:color="DD924E"/>
            </w:tcBorders>
          </w:tcPr>
          <w:p>
            <w:pPr>
              <w:jc w:val="right"/>
              <w:spacing w:after="0"/>
              <w:rPr>
                <w:sz w:val="20"/>
                <w:szCs w:val="20"/>
                <w:color w:val="auto"/>
              </w:rPr>
            </w:pPr>
            <w:r>
              <w:rPr>
                <w:rFonts w:ascii="Arial" w:cs="Arial" w:eastAsia="Arial" w:hAnsi="Arial"/>
                <w:sz w:val="17"/>
                <w:szCs w:val="17"/>
                <w:color w:val="auto"/>
              </w:rPr>
              <w:t>26.7%</w:t>
            </w:r>
          </w:p>
        </w:tc>
      </w:tr>
      <w:tr>
        <w:trPr>
          <w:trHeight w:val="244"/>
        </w:trPr>
        <w:tc>
          <w:tcPr>
            <w:tcW w:w="4180" w:type="dxa"/>
            <w:vAlign w:val="bottom"/>
            <w:tcBorders>
              <w:left w:val="single" w:sz="8" w:color="DD924E"/>
              <w:bottom w:val="single" w:sz="8" w:color="DD924E"/>
            </w:tcBorders>
            <w:shd w:val="clear" w:color="auto" w:fill="FBF4ED"/>
          </w:tcPr>
          <w:p>
            <w:pPr>
              <w:ind w:left="60"/>
              <w:spacing w:after="0"/>
              <w:rPr>
                <w:sz w:val="20"/>
                <w:szCs w:val="20"/>
                <w:color w:val="auto"/>
              </w:rPr>
            </w:pPr>
            <w:r>
              <w:rPr>
                <w:rFonts w:ascii="Arial" w:cs="Arial" w:eastAsia="Arial" w:hAnsi="Arial"/>
                <w:sz w:val="17"/>
                <w:szCs w:val="17"/>
                <w:b w:val="1"/>
                <w:bCs w:val="1"/>
                <w:color w:val="auto"/>
              </w:rPr>
              <w:t>Consolidated</w:t>
            </w:r>
          </w:p>
        </w:tc>
        <w:tc>
          <w:tcPr>
            <w:tcW w:w="780" w:type="dxa"/>
            <w:vAlign w:val="bottom"/>
            <w:tcBorders>
              <w:bottom w:val="single" w:sz="8" w:color="DD924E"/>
            </w:tcBorders>
            <w:shd w:val="clear" w:color="auto" w:fill="FBF4ED"/>
          </w:tcPr>
          <w:p>
            <w:pPr>
              <w:jc w:val="right"/>
              <w:spacing w:after="0"/>
              <w:rPr>
                <w:sz w:val="20"/>
                <w:szCs w:val="20"/>
                <w:color w:val="auto"/>
              </w:rPr>
            </w:pPr>
            <w:r>
              <w:rPr>
                <w:rFonts w:ascii="Arial" w:cs="Arial" w:eastAsia="Arial" w:hAnsi="Arial"/>
                <w:sz w:val="17"/>
                <w:szCs w:val="17"/>
                <w:b w:val="1"/>
                <w:bCs w:val="1"/>
                <w:color w:val="auto"/>
              </w:rPr>
              <w:t>$628.5</w:t>
            </w:r>
          </w:p>
        </w:tc>
        <w:tc>
          <w:tcPr>
            <w:tcW w:w="820" w:type="dxa"/>
            <w:vAlign w:val="bottom"/>
            <w:tcBorders>
              <w:bottom w:val="single" w:sz="8" w:color="DD924E"/>
            </w:tcBorders>
            <w:shd w:val="clear" w:color="auto" w:fill="FBF4ED"/>
          </w:tcPr>
          <w:p>
            <w:pPr>
              <w:jc w:val="right"/>
              <w:ind w:right="34"/>
              <w:spacing w:after="0"/>
              <w:rPr>
                <w:sz w:val="20"/>
                <w:szCs w:val="20"/>
                <w:color w:val="auto"/>
              </w:rPr>
            </w:pPr>
            <w:r>
              <w:rPr>
                <w:rFonts w:ascii="Arial" w:cs="Arial" w:eastAsia="Arial" w:hAnsi="Arial"/>
                <w:sz w:val="17"/>
                <w:szCs w:val="17"/>
                <w:b w:val="1"/>
                <w:bCs w:val="1"/>
                <w:color w:val="auto"/>
              </w:rPr>
              <w:t>25.9%</w:t>
            </w:r>
          </w:p>
        </w:tc>
        <w:tc>
          <w:tcPr>
            <w:tcW w:w="740" w:type="dxa"/>
            <w:vAlign w:val="bottom"/>
            <w:tcBorders>
              <w:bottom w:val="single" w:sz="8" w:color="DD924E"/>
            </w:tcBorders>
            <w:shd w:val="clear" w:color="auto" w:fill="FBF4ED"/>
          </w:tcPr>
          <w:p>
            <w:pPr>
              <w:jc w:val="right"/>
              <w:spacing w:after="0"/>
              <w:rPr>
                <w:sz w:val="20"/>
                <w:szCs w:val="20"/>
                <w:color w:val="auto"/>
              </w:rPr>
            </w:pPr>
            <w:r>
              <w:rPr>
                <w:rFonts w:ascii="Arial" w:cs="Arial" w:eastAsia="Arial" w:hAnsi="Arial"/>
                <w:sz w:val="17"/>
                <w:szCs w:val="17"/>
                <w:b w:val="1"/>
                <w:bCs w:val="1"/>
                <w:color w:val="auto"/>
              </w:rPr>
              <w:t>$686.0</w:t>
            </w:r>
          </w:p>
        </w:tc>
        <w:tc>
          <w:tcPr>
            <w:tcW w:w="800" w:type="dxa"/>
            <w:vAlign w:val="bottom"/>
            <w:tcBorders>
              <w:bottom w:val="single" w:sz="8" w:color="DD924E"/>
            </w:tcBorders>
            <w:shd w:val="clear" w:color="auto" w:fill="FBF4ED"/>
          </w:tcPr>
          <w:p>
            <w:pPr>
              <w:jc w:val="right"/>
              <w:ind w:right="35"/>
              <w:spacing w:after="0"/>
              <w:rPr>
                <w:sz w:val="20"/>
                <w:szCs w:val="20"/>
                <w:color w:val="auto"/>
              </w:rPr>
            </w:pPr>
            <w:r>
              <w:rPr>
                <w:rFonts w:ascii="Arial" w:cs="Arial" w:eastAsia="Arial" w:hAnsi="Arial"/>
                <w:sz w:val="17"/>
                <w:szCs w:val="17"/>
                <w:b w:val="1"/>
                <w:bCs w:val="1"/>
                <w:color w:val="auto"/>
              </w:rPr>
              <w:t>9.1%</w:t>
            </w:r>
          </w:p>
        </w:tc>
        <w:tc>
          <w:tcPr>
            <w:tcW w:w="740" w:type="dxa"/>
            <w:vAlign w:val="bottom"/>
            <w:tcBorders>
              <w:bottom w:val="single" w:sz="8" w:color="DD924E"/>
            </w:tcBorders>
            <w:shd w:val="clear" w:color="auto" w:fill="FBF4ED"/>
          </w:tcPr>
          <w:p>
            <w:pPr>
              <w:jc w:val="right"/>
              <w:spacing w:after="0"/>
              <w:rPr>
                <w:sz w:val="20"/>
                <w:szCs w:val="20"/>
                <w:color w:val="auto"/>
              </w:rPr>
            </w:pPr>
            <w:r>
              <w:rPr>
                <w:rFonts w:ascii="Arial" w:cs="Arial" w:eastAsia="Arial" w:hAnsi="Arial"/>
                <w:sz w:val="17"/>
                <w:szCs w:val="17"/>
                <w:b w:val="1"/>
                <w:bCs w:val="1"/>
                <w:color w:val="auto"/>
              </w:rPr>
              <w:t>$762.3</w:t>
            </w:r>
          </w:p>
        </w:tc>
        <w:tc>
          <w:tcPr>
            <w:tcW w:w="760" w:type="dxa"/>
            <w:vAlign w:val="bottom"/>
            <w:tcBorders>
              <w:bottom w:val="single" w:sz="8" w:color="DD924E"/>
              <w:right w:val="single" w:sz="8" w:color="DD924E"/>
            </w:tcBorders>
            <w:shd w:val="clear" w:color="auto" w:fill="FBF4ED"/>
          </w:tcPr>
          <w:p>
            <w:pPr>
              <w:jc w:val="right"/>
              <w:spacing w:after="0"/>
              <w:rPr>
                <w:sz w:val="20"/>
                <w:szCs w:val="20"/>
                <w:color w:val="auto"/>
              </w:rPr>
            </w:pPr>
            <w:r>
              <w:rPr>
                <w:rFonts w:ascii="Arial" w:cs="Arial" w:eastAsia="Arial" w:hAnsi="Arial"/>
                <w:sz w:val="17"/>
                <w:szCs w:val="17"/>
                <w:b w:val="1"/>
                <w:bCs w:val="1"/>
                <w:color w:val="auto"/>
              </w:rPr>
              <w:t>11.1%</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 w:name="page8"/>
    <w:bookmarkEnd w:id="7"/>
    <w:p>
      <w:pPr>
        <w:spacing w:after="0" w:line="58" w:lineRule="exact"/>
        <w:rPr>
          <w:sz w:val="20"/>
          <w:szCs w:val="20"/>
          <w:color w:val="auto"/>
        </w:rPr>
      </w:pPr>
    </w:p>
    <w:p>
      <w:pPr>
        <w:ind w:left="160" w:right="59"/>
        <w:spacing w:after="0" w:line="247" w:lineRule="auto"/>
        <w:rPr>
          <w:sz w:val="20"/>
          <w:szCs w:val="20"/>
          <w:color w:val="auto"/>
        </w:rPr>
      </w:pPr>
      <w:r>
        <w:rPr>
          <w:rFonts w:ascii="Arial" w:cs="Arial" w:eastAsia="Arial" w:hAnsi="Arial"/>
          <w:sz w:val="17"/>
          <w:szCs w:val="17"/>
          <w:color w:val="auto"/>
        </w:rPr>
        <w:t>We improved our annual revenues to $762.3 million in fiscal year 2017 from $686.0 million in fiscal year 2016, an increase of 11.1%. We also achieved the following:</w:t>
      </w:r>
    </w:p>
    <w:p>
      <w:pPr>
        <w:spacing w:after="0" w:line="110" w:lineRule="exact"/>
        <w:rPr>
          <w:sz w:val="20"/>
          <w:szCs w:val="20"/>
          <w:color w:val="auto"/>
        </w:rPr>
      </w:pPr>
    </w:p>
    <w:p>
      <w:pPr>
        <w:ind w:left="840" w:right="79" w:hanging="345"/>
        <w:spacing w:after="0" w:line="247" w:lineRule="auto"/>
        <w:tabs>
          <w:tab w:leader="none" w:pos="840" w:val="left"/>
        </w:tabs>
        <w:numPr>
          <w:ilvl w:val="0"/>
          <w:numId w:val="8"/>
        </w:numPr>
        <w:rPr>
          <w:rFonts w:ascii="Arial" w:cs="Arial" w:eastAsia="Arial" w:hAnsi="Arial"/>
          <w:sz w:val="17"/>
          <w:szCs w:val="17"/>
          <w:color w:val="DD924E"/>
        </w:rPr>
      </w:pPr>
      <w:r>
        <w:rPr>
          <w:rFonts w:ascii="Arial" w:cs="Arial" w:eastAsia="Arial" w:hAnsi="Arial"/>
          <w:sz w:val="17"/>
          <w:szCs w:val="17"/>
          <w:color w:val="auto"/>
        </w:rPr>
        <w:t>We completed the acquisition of substantially all the assets of Health Integrated, Inc., a healthcare company that specializes in providing care management on behalf of health plans.</w:t>
      </w:r>
    </w:p>
    <w:p>
      <w:pPr>
        <w:spacing w:after="0" w:line="123" w:lineRule="exact"/>
        <w:rPr>
          <w:rFonts w:ascii="Arial" w:cs="Arial" w:eastAsia="Arial" w:hAnsi="Arial"/>
          <w:sz w:val="17"/>
          <w:szCs w:val="17"/>
          <w:color w:val="DD924E"/>
        </w:rPr>
      </w:pPr>
    </w:p>
    <w:p>
      <w:pPr>
        <w:ind w:left="840" w:right="79" w:hanging="345"/>
        <w:spacing w:after="0" w:line="247" w:lineRule="auto"/>
        <w:tabs>
          <w:tab w:leader="none" w:pos="840" w:val="left"/>
        </w:tabs>
        <w:numPr>
          <w:ilvl w:val="0"/>
          <w:numId w:val="8"/>
        </w:numPr>
        <w:rPr>
          <w:rFonts w:ascii="Arial" w:cs="Arial" w:eastAsia="Arial" w:hAnsi="Arial"/>
          <w:sz w:val="17"/>
          <w:szCs w:val="17"/>
          <w:color w:val="DD924E"/>
        </w:rPr>
      </w:pPr>
      <w:r>
        <w:rPr>
          <w:rFonts w:ascii="Arial" w:cs="Arial" w:eastAsia="Arial" w:hAnsi="Arial"/>
          <w:sz w:val="17"/>
          <w:szCs w:val="17"/>
          <w:color w:val="auto"/>
        </w:rPr>
        <w:t>We acquired a minority stake in Corridor Platforms, Inc., a proprietary big data risk management platform in analytics.</w:t>
      </w:r>
    </w:p>
    <w:p>
      <w:pPr>
        <w:spacing w:after="0" w:line="123" w:lineRule="exact"/>
        <w:rPr>
          <w:rFonts w:ascii="Arial" w:cs="Arial" w:eastAsia="Arial" w:hAnsi="Arial"/>
          <w:sz w:val="17"/>
          <w:szCs w:val="17"/>
          <w:color w:val="DD924E"/>
        </w:rPr>
      </w:pPr>
    </w:p>
    <w:p>
      <w:pPr>
        <w:jc w:val="both"/>
        <w:ind w:left="840" w:right="59" w:hanging="345"/>
        <w:spacing w:after="0" w:line="241" w:lineRule="auto"/>
        <w:tabs>
          <w:tab w:leader="none" w:pos="840" w:val="left"/>
        </w:tabs>
        <w:numPr>
          <w:ilvl w:val="0"/>
          <w:numId w:val="8"/>
        </w:numPr>
        <w:rPr>
          <w:rFonts w:ascii="Arial" w:cs="Arial" w:eastAsia="Arial" w:hAnsi="Arial"/>
          <w:sz w:val="17"/>
          <w:szCs w:val="17"/>
          <w:color w:val="DD924E"/>
        </w:rPr>
      </w:pPr>
      <w:r>
        <w:rPr>
          <w:rFonts w:ascii="Arial" w:cs="Arial" w:eastAsia="Arial" w:hAnsi="Arial"/>
          <w:sz w:val="17"/>
          <w:szCs w:val="17"/>
          <w:color w:val="auto"/>
        </w:rPr>
        <w:t>We opened a state-of-the-art Digital Experience Center in Jersey City, N.J., which is an experiential laboratory where clients and partners can actively work with technologies such as advance automation, robotics, analytics, machine learning and natural language processing.</w:t>
      </w:r>
    </w:p>
    <w:p>
      <w:pPr>
        <w:spacing w:after="0" w:line="116" w:lineRule="exact"/>
        <w:rPr>
          <w:rFonts w:ascii="Arial" w:cs="Arial" w:eastAsia="Arial" w:hAnsi="Arial"/>
          <w:sz w:val="17"/>
          <w:szCs w:val="17"/>
          <w:color w:val="DD924E"/>
        </w:rPr>
      </w:pPr>
    </w:p>
    <w:p>
      <w:pPr>
        <w:ind w:left="840" w:right="79" w:hanging="345"/>
        <w:spacing w:after="0" w:line="247" w:lineRule="auto"/>
        <w:tabs>
          <w:tab w:leader="none" w:pos="840" w:val="left"/>
        </w:tabs>
        <w:numPr>
          <w:ilvl w:val="0"/>
          <w:numId w:val="8"/>
        </w:numPr>
        <w:rPr>
          <w:rFonts w:ascii="Arial" w:cs="Arial" w:eastAsia="Arial" w:hAnsi="Arial"/>
          <w:sz w:val="17"/>
          <w:szCs w:val="17"/>
          <w:color w:val="DD924E"/>
        </w:rPr>
      </w:pPr>
      <w:r>
        <w:rPr>
          <w:rFonts w:ascii="Arial" w:cs="Arial" w:eastAsia="Arial" w:hAnsi="Arial"/>
          <w:sz w:val="17"/>
          <w:szCs w:val="17"/>
          <w:color w:val="auto"/>
        </w:rPr>
        <w:t>We opened new delivery centers in Chennai and Hyderabad in India and in Richmond, VA, Dallas TX, Kansas City, MO, and Tampa, FL.</w:t>
      </w:r>
    </w:p>
    <w:p>
      <w:pPr>
        <w:spacing w:after="0" w:line="123" w:lineRule="exact"/>
        <w:rPr>
          <w:rFonts w:ascii="Arial" w:cs="Arial" w:eastAsia="Arial" w:hAnsi="Arial"/>
          <w:sz w:val="17"/>
          <w:szCs w:val="17"/>
          <w:color w:val="DD924E"/>
        </w:rPr>
      </w:pPr>
    </w:p>
    <w:p>
      <w:pPr>
        <w:ind w:left="840" w:hanging="345"/>
        <w:spacing w:after="0"/>
        <w:tabs>
          <w:tab w:leader="none" w:pos="840" w:val="left"/>
        </w:tabs>
        <w:numPr>
          <w:ilvl w:val="0"/>
          <w:numId w:val="8"/>
        </w:numPr>
        <w:rPr>
          <w:rFonts w:ascii="Arial" w:cs="Arial" w:eastAsia="Arial" w:hAnsi="Arial"/>
          <w:sz w:val="17"/>
          <w:szCs w:val="17"/>
          <w:color w:val="DD924E"/>
        </w:rPr>
      </w:pPr>
      <w:r>
        <w:rPr>
          <w:rFonts w:ascii="Arial" w:cs="Arial" w:eastAsia="Arial" w:hAnsi="Arial"/>
          <w:sz w:val="17"/>
          <w:szCs w:val="17"/>
          <w:color w:val="auto"/>
        </w:rPr>
        <w:t>We won 42 new clients across all of our industry verticals.</w:t>
      </w:r>
    </w:p>
    <w:p>
      <w:pPr>
        <w:spacing w:after="0" w:line="137" w:lineRule="exact"/>
        <w:rPr>
          <w:rFonts w:ascii="Arial" w:cs="Arial" w:eastAsia="Arial" w:hAnsi="Arial"/>
          <w:sz w:val="17"/>
          <w:szCs w:val="17"/>
          <w:color w:val="DD924E"/>
        </w:rPr>
      </w:pPr>
    </w:p>
    <w:p>
      <w:pPr>
        <w:ind w:left="840" w:hanging="345"/>
        <w:spacing w:after="0"/>
        <w:tabs>
          <w:tab w:leader="none" w:pos="840" w:val="left"/>
        </w:tabs>
        <w:numPr>
          <w:ilvl w:val="0"/>
          <w:numId w:val="8"/>
        </w:numPr>
        <w:rPr>
          <w:rFonts w:ascii="Arial" w:cs="Arial" w:eastAsia="Arial" w:hAnsi="Arial"/>
          <w:sz w:val="17"/>
          <w:szCs w:val="17"/>
          <w:color w:val="DD924E"/>
        </w:rPr>
      </w:pPr>
      <w:r>
        <w:rPr>
          <w:rFonts w:ascii="Arial" w:cs="Arial" w:eastAsia="Arial" w:hAnsi="Arial"/>
          <w:sz w:val="17"/>
          <w:szCs w:val="17"/>
          <w:color w:val="auto"/>
        </w:rPr>
        <w:t>We received numerous awards and industry recognition.</w:t>
      </w:r>
    </w:p>
    <w:p>
      <w:pPr>
        <w:spacing w:after="0" w:line="117" w:lineRule="exact"/>
        <w:rPr>
          <w:rFonts w:ascii="Arial" w:cs="Arial" w:eastAsia="Arial" w:hAnsi="Arial"/>
          <w:sz w:val="17"/>
          <w:szCs w:val="17"/>
          <w:color w:val="DD924E"/>
        </w:rPr>
      </w:pPr>
    </w:p>
    <w:p>
      <w:pPr>
        <w:ind w:left="840" w:right="59" w:hanging="345"/>
        <w:spacing w:after="0" w:line="191" w:lineRule="auto"/>
        <w:tabs>
          <w:tab w:leader="none" w:pos="840" w:val="left"/>
        </w:tabs>
        <w:numPr>
          <w:ilvl w:val="0"/>
          <w:numId w:val="8"/>
        </w:numPr>
        <w:rPr>
          <w:rFonts w:ascii="Arial" w:cs="Arial" w:eastAsia="Arial" w:hAnsi="Arial"/>
          <w:sz w:val="17"/>
          <w:szCs w:val="17"/>
          <w:color w:val="DD924E"/>
        </w:rPr>
      </w:pPr>
      <w:r>
        <w:rPr>
          <w:rFonts w:ascii="Arial" w:cs="Arial" w:eastAsia="Arial" w:hAnsi="Arial"/>
          <w:sz w:val="17"/>
          <w:szCs w:val="17"/>
          <w:color w:val="auto"/>
        </w:rPr>
        <w:t>We launched LifePRO</w:t>
      </w:r>
      <w:r>
        <w:rPr>
          <w:rFonts w:ascii="Arial" w:cs="Arial" w:eastAsia="Arial" w:hAnsi="Arial"/>
          <w:sz w:val="27"/>
          <w:szCs w:val="27"/>
          <w:color w:val="auto"/>
          <w:vertAlign w:val="superscript"/>
        </w:rPr>
        <w:t>®</w:t>
      </w:r>
      <w:r>
        <w:rPr>
          <w:rFonts w:ascii="Arial" w:cs="Arial" w:eastAsia="Arial" w:hAnsi="Arial"/>
          <w:sz w:val="17"/>
          <w:szCs w:val="17"/>
          <w:color w:val="auto"/>
        </w:rPr>
        <w:t xml:space="preserve"> Version 19, our administration platform for life, health and annuity insurers with enhanced management of complex annuities.</w:t>
      </w:r>
    </w:p>
    <w:p>
      <w:pPr>
        <w:spacing w:after="0" w:line="130" w:lineRule="exact"/>
        <w:rPr>
          <w:sz w:val="20"/>
          <w:szCs w:val="20"/>
          <w:color w:val="auto"/>
        </w:rPr>
      </w:pPr>
    </w:p>
    <w:p>
      <w:pPr>
        <w:jc w:val="both"/>
        <w:ind w:left="160" w:right="59"/>
        <w:spacing w:after="0" w:line="247" w:lineRule="auto"/>
        <w:rPr>
          <w:sz w:val="20"/>
          <w:szCs w:val="20"/>
          <w:color w:val="auto"/>
        </w:rPr>
      </w:pPr>
      <w:r>
        <w:rPr>
          <w:rFonts w:ascii="Arial" w:cs="Arial" w:eastAsia="Arial" w:hAnsi="Arial"/>
          <w:sz w:val="17"/>
          <w:szCs w:val="17"/>
          <w:color w:val="auto"/>
        </w:rPr>
        <w:t>For more information regarding these and other business highlights, please see page 30 below and the 2017 Form 10-K.</w:t>
      </w:r>
    </w:p>
    <w:p>
      <w:pPr>
        <w:spacing w:after="0" w:line="123"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The graphs below compare our 1-year, 3-year and 5-year total stockholder return (“TSR”) with that of the companies comprising Nasdaq, S&amp;P 500 and our peer group. As shown in the table, our TSR outperformed all but one of our market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204470</wp:posOffset>
            </wp:positionV>
            <wp:extent cx="5584825" cy="1611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82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40" w:hanging="345"/>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Cumulative growth rate as of December 31, 2017.</w:t>
      </w:r>
    </w:p>
    <w:p>
      <w:pPr>
        <w:spacing w:after="0" w:line="125" w:lineRule="exact"/>
        <w:rPr>
          <w:rFonts w:ascii="Arial" w:cs="Arial" w:eastAsia="Arial" w:hAnsi="Arial"/>
          <w:sz w:val="17"/>
          <w:szCs w:val="17"/>
          <w:color w:val="auto"/>
        </w:rPr>
      </w:pPr>
    </w:p>
    <w:p>
      <w:pPr>
        <w:ind w:left="840" w:right="59" w:hanging="345"/>
        <w:spacing w:after="0" w:line="247"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Peer group TSR data excludes Solera Holdings, which was taken private in March 2016, and Ciber Inc., which filed for bankruptcy in April 2017.</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 w:name="page9"/>
    <w:bookmarkEnd w:id="8"/>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2017 Compensation Highlights</w:t>
      </w:r>
    </w:p>
    <w:p>
      <w:pPr>
        <w:spacing w:after="0" w:line="150" w:lineRule="exact"/>
        <w:rPr>
          <w:sz w:val="20"/>
          <w:szCs w:val="20"/>
          <w:color w:val="auto"/>
        </w:rPr>
      </w:pPr>
    </w:p>
    <w:tbl>
      <w:tblPr>
        <w:tblLayout w:type="fixed"/>
        <w:tblInd w:w="170" w:type="dxa"/>
        <w:tblCellMar>
          <w:top w:w="0" w:type="dxa"/>
          <w:left w:w="0" w:type="dxa"/>
          <w:bottom w:w="0" w:type="dxa"/>
          <w:right w:w="0" w:type="dxa"/>
        </w:tblCellMar>
      </w:tblPr>
      <w:tr>
        <w:trPr>
          <w:trHeight w:val="295"/>
        </w:trPr>
        <w:tc>
          <w:tcPr>
            <w:tcW w:w="2500" w:type="dxa"/>
            <w:vAlign w:val="bottom"/>
            <w:tcBorders>
              <w:left w:val="single" w:sz="8" w:color="DD924E"/>
            </w:tcBorders>
            <w:shd w:val="clear" w:color="auto" w:fill="DD924E"/>
          </w:tcPr>
          <w:p>
            <w:pPr>
              <w:spacing w:after="0"/>
              <w:rPr>
                <w:sz w:val="24"/>
                <w:szCs w:val="24"/>
                <w:color w:val="auto"/>
              </w:rPr>
            </w:pPr>
          </w:p>
        </w:tc>
        <w:tc>
          <w:tcPr>
            <w:tcW w:w="3920" w:type="dxa"/>
            <w:vAlign w:val="bottom"/>
            <w:gridSpan w:val="3"/>
            <w:shd w:val="clear" w:color="auto" w:fill="DD924E"/>
          </w:tcPr>
          <w:p>
            <w:pPr>
              <w:jc w:val="right"/>
              <w:ind w:right="675"/>
              <w:spacing w:after="0"/>
              <w:rPr>
                <w:sz w:val="20"/>
                <w:szCs w:val="20"/>
                <w:color w:val="auto"/>
              </w:rPr>
            </w:pPr>
            <w:r>
              <w:rPr>
                <w:rFonts w:ascii="Arial" w:cs="Arial" w:eastAsia="Arial" w:hAnsi="Arial"/>
                <w:sz w:val="21"/>
                <w:szCs w:val="21"/>
                <w:b w:val="1"/>
                <w:bCs w:val="1"/>
                <w:color w:val="FFFFFF"/>
              </w:rPr>
              <w:t>Named Executive Officers</w:t>
            </w:r>
          </w:p>
        </w:tc>
        <w:tc>
          <w:tcPr>
            <w:tcW w:w="1400" w:type="dxa"/>
            <w:vAlign w:val="bottom"/>
            <w:shd w:val="clear" w:color="auto" w:fill="DD924E"/>
          </w:tcPr>
          <w:p>
            <w:pPr>
              <w:spacing w:after="0"/>
              <w:rPr>
                <w:sz w:val="24"/>
                <w:szCs w:val="24"/>
                <w:color w:val="auto"/>
              </w:rPr>
            </w:pPr>
          </w:p>
        </w:tc>
        <w:tc>
          <w:tcPr>
            <w:tcW w:w="1000" w:type="dxa"/>
            <w:vAlign w:val="bottom"/>
            <w:tcBorders>
              <w:right w:val="single" w:sz="8" w:color="DD924E"/>
            </w:tcBorders>
            <w:shd w:val="clear" w:color="auto" w:fill="DD924E"/>
          </w:tcPr>
          <w:p>
            <w:pPr>
              <w:spacing w:after="0"/>
              <w:rPr>
                <w:sz w:val="24"/>
                <w:szCs w:val="24"/>
                <w:color w:val="auto"/>
              </w:rPr>
            </w:pPr>
          </w:p>
        </w:tc>
      </w:tr>
      <w:tr>
        <w:trPr>
          <w:trHeight w:val="244"/>
        </w:trPr>
        <w:tc>
          <w:tcPr>
            <w:tcW w:w="2500" w:type="dxa"/>
            <w:vAlign w:val="bottom"/>
            <w:tcBorders>
              <w:left w:val="single" w:sz="8" w:color="DD924E"/>
            </w:tcBorders>
            <w:shd w:val="clear" w:color="auto" w:fill="FBF4ED"/>
          </w:tcPr>
          <w:p>
            <w:pPr>
              <w:ind w:left="1300"/>
              <w:spacing w:after="0"/>
              <w:rPr>
                <w:sz w:val="20"/>
                <w:szCs w:val="20"/>
                <w:color w:val="auto"/>
              </w:rPr>
            </w:pPr>
            <w:r>
              <w:rPr>
                <w:rFonts w:ascii="Arial" w:cs="Arial" w:eastAsia="Arial" w:hAnsi="Arial"/>
                <w:sz w:val="17"/>
                <w:szCs w:val="17"/>
                <w:b w:val="1"/>
                <w:bCs w:val="1"/>
                <w:color w:val="auto"/>
              </w:rPr>
              <w:t>Name</w:t>
            </w:r>
          </w:p>
        </w:tc>
        <w:tc>
          <w:tcPr>
            <w:tcW w:w="1460" w:type="dxa"/>
            <w:vAlign w:val="bottom"/>
            <w:shd w:val="clear" w:color="auto" w:fill="FBF4ED"/>
          </w:tcPr>
          <w:p>
            <w:pPr>
              <w:spacing w:after="0"/>
              <w:rPr>
                <w:sz w:val="21"/>
                <w:szCs w:val="21"/>
                <w:color w:val="auto"/>
              </w:rPr>
            </w:pPr>
          </w:p>
        </w:tc>
        <w:tc>
          <w:tcPr>
            <w:tcW w:w="1280" w:type="dxa"/>
            <w:vAlign w:val="bottom"/>
            <w:shd w:val="clear" w:color="auto" w:fill="FBF4ED"/>
          </w:tcPr>
          <w:p>
            <w:pPr>
              <w:spacing w:after="0"/>
              <w:rPr>
                <w:sz w:val="21"/>
                <w:szCs w:val="21"/>
                <w:color w:val="auto"/>
              </w:rPr>
            </w:pPr>
          </w:p>
        </w:tc>
        <w:tc>
          <w:tcPr>
            <w:tcW w:w="1180" w:type="dxa"/>
            <w:vAlign w:val="bottom"/>
            <w:shd w:val="clear" w:color="auto" w:fill="FBF4ED"/>
          </w:tcPr>
          <w:p>
            <w:pPr>
              <w:jc w:val="right"/>
              <w:ind w:right="235"/>
              <w:spacing w:after="0"/>
              <w:rPr>
                <w:sz w:val="20"/>
                <w:szCs w:val="20"/>
                <w:color w:val="auto"/>
              </w:rPr>
            </w:pPr>
            <w:r>
              <w:rPr>
                <w:rFonts w:ascii="Arial" w:cs="Arial" w:eastAsia="Arial" w:hAnsi="Arial"/>
                <w:sz w:val="17"/>
                <w:szCs w:val="17"/>
                <w:b w:val="1"/>
                <w:bCs w:val="1"/>
                <w:color w:val="auto"/>
              </w:rPr>
              <w:t>Title</w:t>
            </w:r>
          </w:p>
        </w:tc>
        <w:tc>
          <w:tcPr>
            <w:tcW w:w="1400" w:type="dxa"/>
            <w:vAlign w:val="bottom"/>
            <w:shd w:val="clear" w:color="auto" w:fill="FBF4ED"/>
          </w:tcPr>
          <w:p>
            <w:pPr>
              <w:spacing w:after="0"/>
              <w:rPr>
                <w:sz w:val="21"/>
                <w:szCs w:val="21"/>
                <w:color w:val="auto"/>
              </w:rPr>
            </w:pPr>
          </w:p>
        </w:tc>
        <w:tc>
          <w:tcPr>
            <w:tcW w:w="1000" w:type="dxa"/>
            <w:vAlign w:val="bottom"/>
            <w:tcBorders>
              <w:right w:val="single" w:sz="8" w:color="DD924E"/>
            </w:tcBorders>
            <w:shd w:val="clear" w:color="auto" w:fill="FBF4ED"/>
          </w:tcPr>
          <w:p>
            <w:pPr>
              <w:spacing w:after="0"/>
              <w:rPr>
                <w:sz w:val="21"/>
                <w:szCs w:val="21"/>
                <w:color w:val="auto"/>
              </w:rPr>
            </w:pPr>
          </w:p>
        </w:tc>
      </w:tr>
      <w:tr>
        <w:trPr>
          <w:trHeight w:val="237"/>
        </w:trPr>
        <w:tc>
          <w:tcPr>
            <w:tcW w:w="2500" w:type="dxa"/>
            <w:vAlign w:val="bottom"/>
            <w:tcBorders>
              <w:left w:val="single" w:sz="8" w:color="DD924E"/>
            </w:tcBorders>
          </w:tcPr>
          <w:p>
            <w:pPr>
              <w:ind w:left="60"/>
              <w:spacing w:after="0"/>
              <w:rPr>
                <w:sz w:val="20"/>
                <w:szCs w:val="20"/>
                <w:color w:val="auto"/>
              </w:rPr>
            </w:pPr>
            <w:r>
              <w:rPr>
                <w:rFonts w:ascii="Arial" w:cs="Arial" w:eastAsia="Arial" w:hAnsi="Arial"/>
                <w:sz w:val="17"/>
                <w:szCs w:val="17"/>
                <w:color w:val="auto"/>
              </w:rPr>
              <w:t>Rohit Kapoor</w:t>
            </w:r>
          </w:p>
        </w:tc>
        <w:tc>
          <w:tcPr>
            <w:tcW w:w="2740" w:type="dxa"/>
            <w:vAlign w:val="bottom"/>
            <w:gridSpan w:val="2"/>
          </w:tcPr>
          <w:p>
            <w:pPr>
              <w:ind w:left="600"/>
              <w:spacing w:after="0"/>
              <w:rPr>
                <w:sz w:val="20"/>
                <w:szCs w:val="20"/>
                <w:color w:val="auto"/>
              </w:rPr>
            </w:pPr>
            <w:r>
              <w:rPr>
                <w:rFonts w:ascii="Arial" w:cs="Arial" w:eastAsia="Arial" w:hAnsi="Arial"/>
                <w:sz w:val="17"/>
                <w:szCs w:val="17"/>
                <w:color w:val="auto"/>
              </w:rPr>
              <w:t>Vice Chairman and CEO</w:t>
            </w: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0" w:type="dxa"/>
            <w:vAlign w:val="bottom"/>
            <w:tcBorders>
              <w:right w:val="single" w:sz="8" w:color="DD924E"/>
            </w:tcBorders>
          </w:tcPr>
          <w:p>
            <w:pPr>
              <w:spacing w:after="0"/>
              <w:rPr>
                <w:sz w:val="20"/>
                <w:szCs w:val="20"/>
                <w:color w:val="auto"/>
              </w:rPr>
            </w:pPr>
          </w:p>
        </w:tc>
      </w:tr>
      <w:tr>
        <w:trPr>
          <w:trHeight w:val="251"/>
        </w:trPr>
        <w:tc>
          <w:tcPr>
            <w:tcW w:w="2500" w:type="dxa"/>
            <w:vAlign w:val="bottom"/>
            <w:tcBorders>
              <w:left w:val="single" w:sz="8" w:color="DD924E"/>
            </w:tcBorders>
            <w:shd w:val="clear" w:color="auto" w:fill="FBF4ED"/>
          </w:tcPr>
          <w:p>
            <w:pPr>
              <w:ind w:left="60"/>
              <w:spacing w:after="0"/>
              <w:rPr>
                <w:sz w:val="20"/>
                <w:szCs w:val="20"/>
                <w:color w:val="auto"/>
              </w:rPr>
            </w:pPr>
            <w:r>
              <w:rPr>
                <w:rFonts w:ascii="Arial" w:cs="Arial" w:eastAsia="Arial" w:hAnsi="Arial"/>
                <w:sz w:val="17"/>
                <w:szCs w:val="17"/>
                <w:color w:val="auto"/>
              </w:rPr>
              <w:t>Vishal Chhibbar</w:t>
            </w:r>
          </w:p>
        </w:tc>
        <w:tc>
          <w:tcPr>
            <w:tcW w:w="3920" w:type="dxa"/>
            <w:vAlign w:val="bottom"/>
            <w:gridSpan w:val="3"/>
            <w:shd w:val="clear" w:color="auto" w:fill="FBF4ED"/>
          </w:tcPr>
          <w:p>
            <w:pPr>
              <w:ind w:left="600"/>
              <w:spacing w:after="0"/>
              <w:rPr>
                <w:sz w:val="20"/>
                <w:szCs w:val="20"/>
                <w:color w:val="auto"/>
              </w:rPr>
            </w:pPr>
            <w:r>
              <w:rPr>
                <w:rFonts w:ascii="Arial" w:cs="Arial" w:eastAsia="Arial" w:hAnsi="Arial"/>
                <w:sz w:val="17"/>
                <w:szCs w:val="17"/>
                <w:color w:val="auto"/>
              </w:rPr>
              <w:t>Executive Vice President and CFO</w:t>
            </w:r>
          </w:p>
        </w:tc>
        <w:tc>
          <w:tcPr>
            <w:tcW w:w="1400" w:type="dxa"/>
            <w:vAlign w:val="bottom"/>
            <w:shd w:val="clear" w:color="auto" w:fill="FBF4ED"/>
          </w:tcPr>
          <w:p>
            <w:pPr>
              <w:spacing w:after="0"/>
              <w:rPr>
                <w:sz w:val="21"/>
                <w:szCs w:val="21"/>
                <w:color w:val="auto"/>
              </w:rPr>
            </w:pPr>
          </w:p>
        </w:tc>
        <w:tc>
          <w:tcPr>
            <w:tcW w:w="1000" w:type="dxa"/>
            <w:vAlign w:val="bottom"/>
            <w:tcBorders>
              <w:right w:val="single" w:sz="8" w:color="DD924E"/>
            </w:tcBorders>
            <w:shd w:val="clear" w:color="auto" w:fill="FBF4ED"/>
          </w:tcPr>
          <w:p>
            <w:pPr>
              <w:spacing w:after="0"/>
              <w:rPr>
                <w:sz w:val="21"/>
                <w:szCs w:val="21"/>
                <w:color w:val="auto"/>
              </w:rPr>
            </w:pPr>
          </w:p>
        </w:tc>
      </w:tr>
      <w:tr>
        <w:trPr>
          <w:trHeight w:val="237"/>
        </w:trPr>
        <w:tc>
          <w:tcPr>
            <w:tcW w:w="2500" w:type="dxa"/>
            <w:vAlign w:val="bottom"/>
            <w:tcBorders>
              <w:left w:val="single" w:sz="8" w:color="DD924E"/>
            </w:tcBorders>
          </w:tcPr>
          <w:p>
            <w:pPr>
              <w:ind w:left="60"/>
              <w:spacing w:after="0"/>
              <w:rPr>
                <w:sz w:val="20"/>
                <w:szCs w:val="20"/>
                <w:color w:val="auto"/>
              </w:rPr>
            </w:pPr>
            <w:r>
              <w:rPr>
                <w:rFonts w:ascii="Arial" w:cs="Arial" w:eastAsia="Arial" w:hAnsi="Arial"/>
                <w:sz w:val="17"/>
                <w:szCs w:val="17"/>
                <w:color w:val="auto"/>
              </w:rPr>
              <w:t>Pavan Bagai</w:t>
            </w:r>
          </w:p>
        </w:tc>
        <w:tc>
          <w:tcPr>
            <w:tcW w:w="3920" w:type="dxa"/>
            <w:vAlign w:val="bottom"/>
            <w:gridSpan w:val="3"/>
          </w:tcPr>
          <w:p>
            <w:pPr>
              <w:ind w:left="600"/>
              <w:spacing w:after="0"/>
              <w:rPr>
                <w:sz w:val="20"/>
                <w:szCs w:val="20"/>
                <w:color w:val="auto"/>
              </w:rPr>
            </w:pPr>
            <w:r>
              <w:rPr>
                <w:rFonts w:ascii="Arial" w:cs="Arial" w:eastAsia="Arial" w:hAnsi="Arial"/>
                <w:sz w:val="17"/>
                <w:szCs w:val="17"/>
                <w:color w:val="auto"/>
              </w:rPr>
              <w:t>President and Chief Operating Officer</w:t>
            </w:r>
          </w:p>
        </w:tc>
        <w:tc>
          <w:tcPr>
            <w:tcW w:w="1400" w:type="dxa"/>
            <w:vAlign w:val="bottom"/>
          </w:tcPr>
          <w:p>
            <w:pPr>
              <w:spacing w:after="0"/>
              <w:rPr>
                <w:sz w:val="20"/>
                <w:szCs w:val="20"/>
                <w:color w:val="auto"/>
              </w:rPr>
            </w:pPr>
          </w:p>
        </w:tc>
        <w:tc>
          <w:tcPr>
            <w:tcW w:w="1000" w:type="dxa"/>
            <w:vAlign w:val="bottom"/>
            <w:tcBorders>
              <w:right w:val="single" w:sz="8" w:color="DD924E"/>
            </w:tcBorders>
          </w:tcPr>
          <w:p>
            <w:pPr>
              <w:spacing w:after="0"/>
              <w:rPr>
                <w:sz w:val="20"/>
                <w:szCs w:val="20"/>
                <w:color w:val="auto"/>
              </w:rPr>
            </w:pPr>
          </w:p>
        </w:tc>
      </w:tr>
      <w:tr>
        <w:trPr>
          <w:trHeight w:val="251"/>
        </w:trPr>
        <w:tc>
          <w:tcPr>
            <w:tcW w:w="2500" w:type="dxa"/>
            <w:vAlign w:val="bottom"/>
            <w:tcBorders>
              <w:left w:val="single" w:sz="8" w:color="DD924E"/>
            </w:tcBorders>
            <w:shd w:val="clear" w:color="auto" w:fill="FBF4ED"/>
          </w:tcPr>
          <w:p>
            <w:pPr>
              <w:ind w:left="60"/>
              <w:spacing w:after="0"/>
              <w:rPr>
                <w:sz w:val="20"/>
                <w:szCs w:val="20"/>
                <w:color w:val="auto"/>
              </w:rPr>
            </w:pPr>
            <w:r>
              <w:rPr>
                <w:rFonts w:ascii="Arial" w:cs="Arial" w:eastAsia="Arial" w:hAnsi="Arial"/>
                <w:sz w:val="17"/>
                <w:szCs w:val="17"/>
                <w:color w:val="auto"/>
              </w:rPr>
              <w:t>Nagaraja Srivatsan</w:t>
            </w:r>
          </w:p>
        </w:tc>
        <w:tc>
          <w:tcPr>
            <w:tcW w:w="5320" w:type="dxa"/>
            <w:vAlign w:val="bottom"/>
            <w:gridSpan w:val="4"/>
            <w:shd w:val="clear" w:color="auto" w:fill="FBF4ED"/>
          </w:tcPr>
          <w:p>
            <w:pPr>
              <w:ind w:left="600"/>
              <w:spacing w:after="0"/>
              <w:rPr>
                <w:sz w:val="20"/>
                <w:szCs w:val="20"/>
                <w:color w:val="auto"/>
              </w:rPr>
            </w:pPr>
            <w:r>
              <w:rPr>
                <w:rFonts w:ascii="Arial" w:cs="Arial" w:eastAsia="Arial" w:hAnsi="Arial"/>
                <w:sz w:val="17"/>
                <w:szCs w:val="17"/>
                <w:color w:val="auto"/>
              </w:rPr>
              <w:t>Executive Vice President and Chief Growth Officer</w:t>
            </w:r>
          </w:p>
        </w:tc>
        <w:tc>
          <w:tcPr>
            <w:tcW w:w="1000" w:type="dxa"/>
            <w:vAlign w:val="bottom"/>
            <w:tcBorders>
              <w:right w:val="single" w:sz="8" w:color="DD924E"/>
            </w:tcBorders>
            <w:shd w:val="clear" w:color="auto" w:fill="FBF4ED"/>
          </w:tcPr>
          <w:p>
            <w:pPr>
              <w:spacing w:after="0"/>
              <w:rPr>
                <w:sz w:val="21"/>
                <w:szCs w:val="21"/>
                <w:color w:val="auto"/>
              </w:rPr>
            </w:pPr>
          </w:p>
        </w:tc>
      </w:tr>
      <w:tr>
        <w:trPr>
          <w:trHeight w:val="237"/>
        </w:trPr>
        <w:tc>
          <w:tcPr>
            <w:tcW w:w="2500" w:type="dxa"/>
            <w:vAlign w:val="bottom"/>
            <w:tcBorders>
              <w:left w:val="single" w:sz="8" w:color="DD924E"/>
              <w:bottom w:val="single" w:sz="8" w:color="DD924E"/>
            </w:tcBorders>
          </w:tcPr>
          <w:p>
            <w:pPr>
              <w:ind w:left="60"/>
              <w:spacing w:after="0"/>
              <w:rPr>
                <w:sz w:val="20"/>
                <w:szCs w:val="20"/>
                <w:color w:val="auto"/>
              </w:rPr>
            </w:pPr>
            <w:r>
              <w:rPr>
                <w:rFonts w:ascii="Arial" w:cs="Arial" w:eastAsia="Arial" w:hAnsi="Arial"/>
                <w:sz w:val="17"/>
                <w:szCs w:val="17"/>
                <w:color w:val="auto"/>
              </w:rPr>
              <w:t>Nalin Miglani</w:t>
            </w:r>
          </w:p>
        </w:tc>
        <w:tc>
          <w:tcPr>
            <w:tcW w:w="5320" w:type="dxa"/>
            <w:vAlign w:val="bottom"/>
            <w:tcBorders>
              <w:bottom w:val="single" w:sz="8" w:color="DD924E"/>
            </w:tcBorders>
            <w:gridSpan w:val="4"/>
          </w:tcPr>
          <w:p>
            <w:pPr>
              <w:ind w:left="600"/>
              <w:spacing w:after="0"/>
              <w:rPr>
                <w:sz w:val="20"/>
                <w:szCs w:val="20"/>
                <w:color w:val="auto"/>
              </w:rPr>
            </w:pPr>
            <w:r>
              <w:rPr>
                <w:rFonts w:ascii="Arial" w:cs="Arial" w:eastAsia="Arial" w:hAnsi="Arial"/>
                <w:sz w:val="17"/>
                <w:szCs w:val="17"/>
                <w:color w:val="auto"/>
              </w:rPr>
              <w:t>Executive Vice President and Chief Human Resources Officer</w:t>
            </w:r>
          </w:p>
        </w:tc>
        <w:tc>
          <w:tcPr>
            <w:tcW w:w="1000" w:type="dxa"/>
            <w:vAlign w:val="bottom"/>
            <w:tcBorders>
              <w:bottom w:val="single" w:sz="8" w:color="DD924E"/>
              <w:right w:val="single" w:sz="8" w:color="DD924E"/>
            </w:tcBorders>
          </w:tcPr>
          <w:p>
            <w:pPr>
              <w:spacing w:after="0"/>
              <w:rPr>
                <w:sz w:val="20"/>
                <w:szCs w:val="20"/>
                <w:color w:val="auto"/>
              </w:rPr>
            </w:pPr>
          </w:p>
        </w:tc>
      </w:tr>
      <w:tr>
        <w:trPr>
          <w:trHeight w:val="397"/>
        </w:trPr>
        <w:tc>
          <w:tcPr>
            <w:tcW w:w="2500" w:type="dxa"/>
            <w:vAlign w:val="bottom"/>
          </w:tcPr>
          <w:p>
            <w:pPr>
              <w:spacing w:after="0"/>
              <w:rPr>
                <w:sz w:val="24"/>
                <w:szCs w:val="24"/>
                <w:color w:val="auto"/>
              </w:rPr>
            </w:pPr>
          </w:p>
        </w:tc>
        <w:tc>
          <w:tcPr>
            <w:tcW w:w="3920" w:type="dxa"/>
            <w:vAlign w:val="bottom"/>
            <w:gridSpan w:val="3"/>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9"/>
        </w:trPr>
        <w:tc>
          <w:tcPr>
            <w:tcW w:w="2500" w:type="dxa"/>
            <w:vAlign w:val="bottom"/>
            <w:tcBorders>
              <w:left w:val="single" w:sz="8" w:color="DD924E"/>
            </w:tcBorders>
            <w:shd w:val="clear" w:color="auto" w:fill="DD924E"/>
          </w:tcPr>
          <w:p>
            <w:pPr>
              <w:spacing w:after="0"/>
              <w:rPr>
                <w:sz w:val="23"/>
                <w:szCs w:val="23"/>
                <w:color w:val="auto"/>
              </w:rPr>
            </w:pPr>
          </w:p>
        </w:tc>
        <w:tc>
          <w:tcPr>
            <w:tcW w:w="3920" w:type="dxa"/>
            <w:vAlign w:val="bottom"/>
            <w:gridSpan w:val="3"/>
            <w:shd w:val="clear" w:color="auto" w:fill="DD924E"/>
          </w:tcPr>
          <w:p>
            <w:pPr>
              <w:jc w:val="right"/>
              <w:ind w:right="375"/>
              <w:spacing w:after="0"/>
              <w:rPr>
                <w:sz w:val="20"/>
                <w:szCs w:val="20"/>
                <w:color w:val="auto"/>
              </w:rPr>
            </w:pPr>
            <w:r>
              <w:rPr>
                <w:rFonts w:ascii="Arial" w:cs="Arial" w:eastAsia="Arial" w:hAnsi="Arial"/>
                <w:sz w:val="19"/>
                <w:szCs w:val="19"/>
                <w:color w:val="FFFFFF"/>
              </w:rPr>
              <w:t>2017 Standard Annual Compensation</w:t>
            </w:r>
          </w:p>
        </w:tc>
        <w:tc>
          <w:tcPr>
            <w:tcW w:w="1400" w:type="dxa"/>
            <w:vAlign w:val="bottom"/>
            <w:shd w:val="clear" w:color="auto" w:fill="DD924E"/>
          </w:tcPr>
          <w:p>
            <w:pPr>
              <w:spacing w:after="0"/>
              <w:rPr>
                <w:sz w:val="23"/>
                <w:szCs w:val="23"/>
                <w:color w:val="auto"/>
              </w:rPr>
            </w:pPr>
          </w:p>
        </w:tc>
        <w:tc>
          <w:tcPr>
            <w:tcW w:w="1000" w:type="dxa"/>
            <w:vAlign w:val="bottom"/>
            <w:tcBorders>
              <w:right w:val="single" w:sz="8" w:color="DD924E"/>
            </w:tcBorders>
            <w:shd w:val="clear" w:color="auto" w:fill="DD924E"/>
          </w:tcPr>
          <w:p>
            <w:pPr>
              <w:spacing w:after="0"/>
              <w:rPr>
                <w:sz w:val="23"/>
                <w:szCs w:val="23"/>
                <w:color w:val="auto"/>
              </w:rPr>
            </w:pPr>
          </w:p>
        </w:tc>
      </w:tr>
      <w:tr>
        <w:trPr>
          <w:trHeight w:val="197"/>
        </w:trPr>
        <w:tc>
          <w:tcPr>
            <w:tcW w:w="2500" w:type="dxa"/>
            <w:vAlign w:val="bottom"/>
            <w:tcBorders>
              <w:left w:val="single" w:sz="8" w:color="DD924E"/>
            </w:tcBorders>
            <w:shd w:val="clear" w:color="auto" w:fill="FBF4ED"/>
          </w:tcPr>
          <w:p>
            <w:pPr>
              <w:ind w:left="700"/>
              <w:spacing w:after="0"/>
              <w:rPr>
                <w:sz w:val="20"/>
                <w:szCs w:val="20"/>
                <w:color w:val="auto"/>
              </w:rPr>
            </w:pPr>
            <w:r>
              <w:rPr>
                <w:rFonts w:ascii="Arial" w:cs="Arial" w:eastAsia="Arial" w:hAnsi="Arial"/>
                <w:sz w:val="17"/>
                <w:szCs w:val="17"/>
                <w:b w:val="1"/>
                <w:bCs w:val="1"/>
                <w:color w:val="auto"/>
              </w:rPr>
              <w:t>Compensation</w:t>
            </w:r>
          </w:p>
        </w:tc>
        <w:tc>
          <w:tcPr>
            <w:tcW w:w="1460" w:type="dxa"/>
            <w:vAlign w:val="bottom"/>
            <w:shd w:val="clear" w:color="auto" w:fill="FBF4ED"/>
          </w:tcPr>
          <w:p>
            <w:pPr>
              <w:jc w:val="center"/>
              <w:spacing w:after="0"/>
              <w:rPr>
                <w:sz w:val="20"/>
                <w:szCs w:val="20"/>
                <w:color w:val="auto"/>
              </w:rPr>
            </w:pPr>
            <w:r>
              <w:rPr>
                <w:rFonts w:ascii="Arial" w:cs="Arial" w:eastAsia="Arial" w:hAnsi="Arial"/>
                <w:sz w:val="17"/>
                <w:szCs w:val="17"/>
                <w:b w:val="1"/>
                <w:bCs w:val="1"/>
                <w:color w:val="auto"/>
              </w:rPr>
              <w:t>Rohit</w:t>
            </w:r>
          </w:p>
        </w:tc>
        <w:tc>
          <w:tcPr>
            <w:tcW w:w="1280" w:type="dxa"/>
            <w:vAlign w:val="bottom"/>
            <w:shd w:val="clear" w:color="auto" w:fill="FBF4ED"/>
          </w:tcPr>
          <w:p>
            <w:pPr>
              <w:jc w:val="right"/>
              <w:ind w:right="435"/>
              <w:spacing w:after="0"/>
              <w:rPr>
                <w:sz w:val="20"/>
                <w:szCs w:val="20"/>
                <w:color w:val="auto"/>
              </w:rPr>
            </w:pPr>
            <w:r>
              <w:rPr>
                <w:rFonts w:ascii="Arial" w:cs="Arial" w:eastAsia="Arial" w:hAnsi="Arial"/>
                <w:sz w:val="17"/>
                <w:szCs w:val="17"/>
                <w:b w:val="1"/>
                <w:bCs w:val="1"/>
                <w:color w:val="auto"/>
              </w:rPr>
              <w:t>Vishal</w:t>
            </w:r>
          </w:p>
        </w:tc>
        <w:tc>
          <w:tcPr>
            <w:tcW w:w="1180" w:type="dxa"/>
            <w:vAlign w:val="bottom"/>
            <w:shd w:val="clear" w:color="auto" w:fill="FBF4ED"/>
          </w:tcPr>
          <w:p>
            <w:pPr>
              <w:jc w:val="right"/>
              <w:ind w:right="375"/>
              <w:spacing w:after="0"/>
              <w:rPr>
                <w:sz w:val="20"/>
                <w:szCs w:val="20"/>
                <w:color w:val="auto"/>
              </w:rPr>
            </w:pPr>
            <w:r>
              <w:rPr>
                <w:rFonts w:ascii="Arial" w:cs="Arial" w:eastAsia="Arial" w:hAnsi="Arial"/>
                <w:sz w:val="17"/>
                <w:szCs w:val="17"/>
                <w:b w:val="1"/>
                <w:bCs w:val="1"/>
                <w:color w:val="auto"/>
              </w:rPr>
              <w:t>Pavan</w:t>
            </w:r>
          </w:p>
        </w:tc>
        <w:tc>
          <w:tcPr>
            <w:tcW w:w="1400" w:type="dxa"/>
            <w:vAlign w:val="bottom"/>
            <w:shd w:val="clear" w:color="auto" w:fill="FBF4ED"/>
          </w:tcPr>
          <w:p>
            <w:pPr>
              <w:jc w:val="right"/>
              <w:ind w:right="435"/>
              <w:spacing w:after="0"/>
              <w:rPr>
                <w:sz w:val="20"/>
                <w:szCs w:val="20"/>
                <w:color w:val="auto"/>
              </w:rPr>
            </w:pPr>
            <w:r>
              <w:rPr>
                <w:rFonts w:ascii="Arial" w:cs="Arial" w:eastAsia="Arial" w:hAnsi="Arial"/>
                <w:sz w:val="17"/>
                <w:szCs w:val="17"/>
                <w:b w:val="1"/>
                <w:bCs w:val="1"/>
                <w:color w:val="auto"/>
              </w:rPr>
              <w:t>Nagaraja</w:t>
            </w:r>
          </w:p>
        </w:tc>
        <w:tc>
          <w:tcPr>
            <w:tcW w:w="1000" w:type="dxa"/>
            <w:vAlign w:val="bottom"/>
            <w:tcBorders>
              <w:right w:val="single" w:sz="8" w:color="DD924E"/>
            </w:tcBorders>
            <w:shd w:val="clear" w:color="auto" w:fill="FBF4ED"/>
          </w:tcPr>
          <w:p>
            <w:pPr>
              <w:jc w:val="right"/>
              <w:ind w:right="355"/>
              <w:spacing w:after="0"/>
              <w:rPr>
                <w:sz w:val="20"/>
                <w:szCs w:val="20"/>
                <w:color w:val="auto"/>
              </w:rPr>
            </w:pPr>
            <w:r>
              <w:rPr>
                <w:rFonts w:ascii="Arial" w:cs="Arial" w:eastAsia="Arial" w:hAnsi="Arial"/>
                <w:sz w:val="17"/>
                <w:szCs w:val="17"/>
                <w:b w:val="1"/>
                <w:bCs w:val="1"/>
                <w:color w:val="auto"/>
              </w:rPr>
              <w:t>Nalin</w:t>
            </w:r>
          </w:p>
        </w:tc>
      </w:tr>
      <w:tr>
        <w:trPr>
          <w:trHeight w:val="239"/>
        </w:trPr>
        <w:tc>
          <w:tcPr>
            <w:tcW w:w="2500" w:type="dxa"/>
            <w:vAlign w:val="bottom"/>
            <w:tcBorders>
              <w:left w:val="single" w:sz="8" w:color="DD924E"/>
            </w:tcBorders>
            <w:shd w:val="clear" w:color="auto" w:fill="FBF4ED"/>
          </w:tcPr>
          <w:p>
            <w:pPr>
              <w:ind w:left="840"/>
              <w:spacing w:after="0"/>
              <w:rPr>
                <w:sz w:val="20"/>
                <w:szCs w:val="20"/>
                <w:color w:val="auto"/>
              </w:rPr>
            </w:pPr>
            <w:r>
              <w:rPr>
                <w:rFonts w:ascii="Arial" w:cs="Arial" w:eastAsia="Arial" w:hAnsi="Arial"/>
                <w:sz w:val="17"/>
                <w:szCs w:val="17"/>
                <w:b w:val="1"/>
                <w:bCs w:val="1"/>
                <w:color w:val="auto"/>
              </w:rPr>
              <w:t>Component</w:t>
            </w:r>
          </w:p>
        </w:tc>
        <w:tc>
          <w:tcPr>
            <w:tcW w:w="1460" w:type="dxa"/>
            <w:vAlign w:val="bottom"/>
            <w:shd w:val="clear" w:color="auto" w:fill="FBF4ED"/>
          </w:tcPr>
          <w:p>
            <w:pPr>
              <w:jc w:val="center"/>
              <w:spacing w:after="0"/>
              <w:rPr>
                <w:sz w:val="20"/>
                <w:szCs w:val="20"/>
                <w:color w:val="auto"/>
              </w:rPr>
            </w:pPr>
            <w:r>
              <w:rPr>
                <w:rFonts w:ascii="Arial" w:cs="Arial" w:eastAsia="Arial" w:hAnsi="Arial"/>
                <w:sz w:val="17"/>
                <w:szCs w:val="17"/>
                <w:b w:val="1"/>
                <w:bCs w:val="1"/>
                <w:color w:val="auto"/>
              </w:rPr>
              <w:t>Kapoor</w:t>
            </w:r>
          </w:p>
        </w:tc>
        <w:tc>
          <w:tcPr>
            <w:tcW w:w="1280" w:type="dxa"/>
            <w:vAlign w:val="bottom"/>
            <w:shd w:val="clear" w:color="auto" w:fill="FBF4ED"/>
          </w:tcPr>
          <w:p>
            <w:pPr>
              <w:jc w:val="right"/>
              <w:ind w:right="295"/>
              <w:spacing w:after="0"/>
              <w:rPr>
                <w:sz w:val="20"/>
                <w:szCs w:val="20"/>
                <w:color w:val="auto"/>
              </w:rPr>
            </w:pPr>
            <w:r>
              <w:rPr>
                <w:rFonts w:ascii="Arial" w:cs="Arial" w:eastAsia="Arial" w:hAnsi="Arial"/>
                <w:sz w:val="17"/>
                <w:szCs w:val="17"/>
                <w:b w:val="1"/>
                <w:bCs w:val="1"/>
                <w:color w:val="auto"/>
              </w:rPr>
              <w:t>Chhibbar</w:t>
            </w:r>
          </w:p>
        </w:tc>
        <w:tc>
          <w:tcPr>
            <w:tcW w:w="1180" w:type="dxa"/>
            <w:vAlign w:val="bottom"/>
            <w:shd w:val="clear" w:color="auto" w:fill="FBF4ED"/>
          </w:tcPr>
          <w:p>
            <w:pPr>
              <w:jc w:val="right"/>
              <w:ind w:right="395"/>
              <w:spacing w:after="0"/>
              <w:rPr>
                <w:sz w:val="20"/>
                <w:szCs w:val="20"/>
                <w:color w:val="auto"/>
              </w:rPr>
            </w:pPr>
            <w:r>
              <w:rPr>
                <w:rFonts w:ascii="Arial" w:cs="Arial" w:eastAsia="Arial" w:hAnsi="Arial"/>
                <w:sz w:val="17"/>
                <w:szCs w:val="17"/>
                <w:b w:val="1"/>
                <w:bCs w:val="1"/>
                <w:color w:val="auto"/>
              </w:rPr>
              <w:t>Bagai</w:t>
            </w:r>
          </w:p>
        </w:tc>
        <w:tc>
          <w:tcPr>
            <w:tcW w:w="1400" w:type="dxa"/>
            <w:vAlign w:val="bottom"/>
            <w:shd w:val="clear" w:color="auto" w:fill="FBF4ED"/>
          </w:tcPr>
          <w:p>
            <w:pPr>
              <w:jc w:val="right"/>
              <w:ind w:right="395"/>
              <w:spacing w:after="0"/>
              <w:rPr>
                <w:sz w:val="20"/>
                <w:szCs w:val="20"/>
                <w:color w:val="auto"/>
              </w:rPr>
            </w:pPr>
            <w:r>
              <w:rPr>
                <w:rFonts w:ascii="Arial" w:cs="Arial" w:eastAsia="Arial" w:hAnsi="Arial"/>
                <w:sz w:val="17"/>
                <w:szCs w:val="17"/>
                <w:b w:val="1"/>
                <w:bCs w:val="1"/>
                <w:color w:val="auto"/>
              </w:rPr>
              <w:t>Srivatsan</w:t>
            </w:r>
          </w:p>
        </w:tc>
        <w:tc>
          <w:tcPr>
            <w:tcW w:w="1000" w:type="dxa"/>
            <w:vAlign w:val="bottom"/>
            <w:tcBorders>
              <w:right w:val="single" w:sz="8" w:color="DD924E"/>
            </w:tcBorders>
            <w:shd w:val="clear" w:color="auto" w:fill="FBF4ED"/>
          </w:tcPr>
          <w:p>
            <w:pPr>
              <w:jc w:val="right"/>
              <w:ind w:right="255"/>
              <w:spacing w:after="0"/>
              <w:rPr>
                <w:sz w:val="20"/>
                <w:szCs w:val="20"/>
                <w:color w:val="auto"/>
              </w:rPr>
            </w:pPr>
            <w:r>
              <w:rPr>
                <w:rFonts w:ascii="Arial" w:cs="Arial" w:eastAsia="Arial" w:hAnsi="Arial"/>
                <w:sz w:val="17"/>
                <w:szCs w:val="17"/>
                <w:b w:val="1"/>
                <w:bCs w:val="1"/>
                <w:color w:val="auto"/>
              </w:rPr>
              <w:t>Miglani</w:t>
            </w:r>
          </w:p>
        </w:tc>
      </w:tr>
      <w:tr>
        <w:trPr>
          <w:trHeight w:val="237"/>
        </w:trPr>
        <w:tc>
          <w:tcPr>
            <w:tcW w:w="2500" w:type="dxa"/>
            <w:vAlign w:val="bottom"/>
            <w:tcBorders>
              <w:left w:val="single" w:sz="8" w:color="DD924E"/>
            </w:tcBorders>
          </w:tcPr>
          <w:p>
            <w:pPr>
              <w:ind w:left="60"/>
              <w:spacing w:after="0"/>
              <w:rPr>
                <w:sz w:val="20"/>
                <w:szCs w:val="20"/>
                <w:color w:val="auto"/>
              </w:rPr>
            </w:pPr>
            <w:r>
              <w:rPr>
                <w:rFonts w:ascii="Arial" w:cs="Arial" w:eastAsia="Arial" w:hAnsi="Arial"/>
                <w:sz w:val="17"/>
                <w:szCs w:val="17"/>
                <w:b w:val="1"/>
                <w:bCs w:val="1"/>
                <w:color w:val="auto"/>
              </w:rPr>
              <w:t>Salary</w:t>
            </w:r>
          </w:p>
        </w:tc>
        <w:tc>
          <w:tcPr>
            <w:tcW w:w="1460" w:type="dxa"/>
            <w:vAlign w:val="bottom"/>
          </w:tcPr>
          <w:p>
            <w:pPr>
              <w:jc w:val="right"/>
              <w:ind w:right="73"/>
              <w:spacing w:after="0"/>
              <w:rPr>
                <w:sz w:val="20"/>
                <w:szCs w:val="20"/>
                <w:color w:val="auto"/>
              </w:rPr>
            </w:pPr>
            <w:r>
              <w:rPr>
                <w:rFonts w:ascii="Arial" w:cs="Arial" w:eastAsia="Arial" w:hAnsi="Arial"/>
                <w:sz w:val="17"/>
                <w:szCs w:val="17"/>
                <w:color w:val="auto"/>
              </w:rPr>
              <w:t>$620,000</w:t>
            </w:r>
          </w:p>
        </w:tc>
        <w:tc>
          <w:tcPr>
            <w:tcW w:w="1280" w:type="dxa"/>
            <w:vAlign w:val="bottom"/>
          </w:tcPr>
          <w:p>
            <w:pPr>
              <w:jc w:val="right"/>
              <w:ind w:right="95"/>
              <w:spacing w:after="0"/>
              <w:rPr>
                <w:sz w:val="20"/>
                <w:szCs w:val="20"/>
                <w:color w:val="auto"/>
              </w:rPr>
            </w:pPr>
            <w:r>
              <w:rPr>
                <w:rFonts w:ascii="Arial" w:cs="Arial" w:eastAsia="Arial" w:hAnsi="Arial"/>
                <w:sz w:val="17"/>
                <w:szCs w:val="17"/>
                <w:color w:val="auto"/>
              </w:rPr>
              <w:t>$400,000</w:t>
            </w: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$296,139</w:t>
            </w:r>
          </w:p>
        </w:tc>
        <w:tc>
          <w:tcPr>
            <w:tcW w:w="1400" w:type="dxa"/>
            <w:vAlign w:val="bottom"/>
          </w:tcPr>
          <w:p>
            <w:pPr>
              <w:jc w:val="right"/>
              <w:ind w:right="215"/>
              <w:spacing w:after="0"/>
              <w:rPr>
                <w:sz w:val="20"/>
                <w:szCs w:val="20"/>
                <w:color w:val="auto"/>
              </w:rPr>
            </w:pPr>
            <w:r>
              <w:rPr>
                <w:rFonts w:ascii="Arial" w:cs="Arial" w:eastAsia="Arial" w:hAnsi="Arial"/>
                <w:sz w:val="17"/>
                <w:szCs w:val="17"/>
                <w:color w:val="auto"/>
              </w:rPr>
              <w:t>$415,000</w:t>
            </w:r>
          </w:p>
        </w:tc>
        <w:tc>
          <w:tcPr>
            <w:tcW w:w="1000" w:type="dxa"/>
            <w:vAlign w:val="bottom"/>
            <w:tcBorders>
              <w:right w:val="single" w:sz="8" w:color="DD924E"/>
            </w:tcBorders>
          </w:tcPr>
          <w:p>
            <w:pPr>
              <w:jc w:val="right"/>
              <w:spacing w:after="0"/>
              <w:rPr>
                <w:sz w:val="20"/>
                <w:szCs w:val="20"/>
                <w:color w:val="auto"/>
              </w:rPr>
            </w:pPr>
            <w:r>
              <w:rPr>
                <w:rFonts w:ascii="Arial" w:cs="Arial" w:eastAsia="Arial" w:hAnsi="Arial"/>
                <w:sz w:val="17"/>
                <w:szCs w:val="17"/>
                <w:color w:val="auto"/>
              </w:rPr>
              <w:t>$410,000</w:t>
            </w:r>
          </w:p>
        </w:tc>
      </w:tr>
      <w:tr>
        <w:trPr>
          <w:trHeight w:val="204"/>
        </w:trPr>
        <w:tc>
          <w:tcPr>
            <w:tcW w:w="2500" w:type="dxa"/>
            <w:vAlign w:val="bottom"/>
            <w:tcBorders>
              <w:left w:val="single" w:sz="8" w:color="DD924E"/>
            </w:tcBorders>
            <w:shd w:val="clear" w:color="auto" w:fill="FBF4ED"/>
          </w:tcPr>
          <w:p>
            <w:pPr>
              <w:ind w:left="60"/>
              <w:spacing w:after="0"/>
              <w:rPr>
                <w:sz w:val="20"/>
                <w:szCs w:val="20"/>
                <w:color w:val="auto"/>
              </w:rPr>
            </w:pPr>
            <w:r>
              <w:rPr>
                <w:rFonts w:ascii="Arial" w:cs="Arial" w:eastAsia="Arial" w:hAnsi="Arial"/>
                <w:sz w:val="17"/>
                <w:szCs w:val="17"/>
                <w:b w:val="1"/>
                <w:bCs w:val="1"/>
                <w:color w:val="auto"/>
              </w:rPr>
              <w:t>Non-Equity Incentive Plan</w:t>
            </w:r>
          </w:p>
        </w:tc>
        <w:tc>
          <w:tcPr>
            <w:tcW w:w="1460" w:type="dxa"/>
            <w:vAlign w:val="bottom"/>
            <w:shd w:val="clear" w:color="auto" w:fill="FBF4ED"/>
          </w:tcPr>
          <w:p>
            <w:pPr>
              <w:spacing w:after="0"/>
              <w:rPr>
                <w:sz w:val="17"/>
                <w:szCs w:val="17"/>
                <w:color w:val="auto"/>
              </w:rPr>
            </w:pPr>
          </w:p>
        </w:tc>
        <w:tc>
          <w:tcPr>
            <w:tcW w:w="1280" w:type="dxa"/>
            <w:vAlign w:val="bottom"/>
            <w:shd w:val="clear" w:color="auto" w:fill="FBF4ED"/>
          </w:tcPr>
          <w:p>
            <w:pPr>
              <w:spacing w:after="0"/>
              <w:rPr>
                <w:sz w:val="17"/>
                <w:szCs w:val="17"/>
                <w:color w:val="auto"/>
              </w:rPr>
            </w:pPr>
          </w:p>
        </w:tc>
        <w:tc>
          <w:tcPr>
            <w:tcW w:w="1180" w:type="dxa"/>
            <w:vAlign w:val="bottom"/>
            <w:shd w:val="clear" w:color="auto" w:fill="FBF4ED"/>
          </w:tcPr>
          <w:p>
            <w:pPr>
              <w:spacing w:after="0"/>
              <w:rPr>
                <w:sz w:val="17"/>
                <w:szCs w:val="17"/>
                <w:color w:val="auto"/>
              </w:rPr>
            </w:pPr>
          </w:p>
        </w:tc>
        <w:tc>
          <w:tcPr>
            <w:tcW w:w="1400" w:type="dxa"/>
            <w:vAlign w:val="bottom"/>
            <w:shd w:val="clear" w:color="auto" w:fill="FBF4ED"/>
          </w:tcPr>
          <w:p>
            <w:pPr>
              <w:spacing w:after="0"/>
              <w:rPr>
                <w:sz w:val="17"/>
                <w:szCs w:val="17"/>
                <w:color w:val="auto"/>
              </w:rPr>
            </w:pPr>
          </w:p>
        </w:tc>
        <w:tc>
          <w:tcPr>
            <w:tcW w:w="1000" w:type="dxa"/>
            <w:vAlign w:val="bottom"/>
            <w:tcBorders>
              <w:right w:val="single" w:sz="8" w:color="DD924E"/>
            </w:tcBorders>
            <w:shd w:val="clear" w:color="auto" w:fill="FBF4ED"/>
          </w:tcPr>
          <w:p>
            <w:pPr>
              <w:spacing w:after="0"/>
              <w:rPr>
                <w:sz w:val="17"/>
                <w:szCs w:val="17"/>
                <w:color w:val="auto"/>
              </w:rPr>
            </w:pPr>
          </w:p>
        </w:tc>
      </w:tr>
      <w:tr>
        <w:trPr>
          <w:trHeight w:val="239"/>
        </w:trPr>
        <w:tc>
          <w:tcPr>
            <w:tcW w:w="2500" w:type="dxa"/>
            <w:vAlign w:val="bottom"/>
            <w:tcBorders>
              <w:left w:val="single" w:sz="8" w:color="DD924E"/>
            </w:tcBorders>
            <w:shd w:val="clear" w:color="auto" w:fill="FBF4ED"/>
          </w:tcPr>
          <w:p>
            <w:pPr>
              <w:ind w:left="60"/>
              <w:spacing w:after="0"/>
              <w:rPr>
                <w:sz w:val="20"/>
                <w:szCs w:val="20"/>
                <w:color w:val="auto"/>
              </w:rPr>
            </w:pPr>
            <w:r>
              <w:rPr>
                <w:rFonts w:ascii="Arial" w:cs="Arial" w:eastAsia="Arial" w:hAnsi="Arial"/>
                <w:sz w:val="17"/>
                <w:szCs w:val="17"/>
                <w:b w:val="1"/>
                <w:bCs w:val="1"/>
                <w:color w:val="auto"/>
              </w:rPr>
              <w:t>Compensation</w:t>
            </w:r>
          </w:p>
        </w:tc>
        <w:tc>
          <w:tcPr>
            <w:tcW w:w="1460" w:type="dxa"/>
            <w:vAlign w:val="bottom"/>
            <w:shd w:val="clear" w:color="auto" w:fill="FBF4ED"/>
          </w:tcPr>
          <w:p>
            <w:pPr>
              <w:jc w:val="right"/>
              <w:ind w:right="73"/>
              <w:spacing w:after="0"/>
              <w:rPr>
                <w:sz w:val="20"/>
                <w:szCs w:val="20"/>
                <w:color w:val="auto"/>
              </w:rPr>
            </w:pPr>
            <w:r>
              <w:rPr>
                <w:rFonts w:ascii="Arial" w:cs="Arial" w:eastAsia="Arial" w:hAnsi="Arial"/>
                <w:sz w:val="17"/>
                <w:szCs w:val="17"/>
                <w:color w:val="auto"/>
              </w:rPr>
              <w:t>$591,028</w:t>
            </w:r>
          </w:p>
        </w:tc>
        <w:tc>
          <w:tcPr>
            <w:tcW w:w="1280" w:type="dxa"/>
            <w:vAlign w:val="bottom"/>
            <w:shd w:val="clear" w:color="auto" w:fill="FBF4ED"/>
          </w:tcPr>
          <w:p>
            <w:pPr>
              <w:jc w:val="right"/>
              <w:ind w:right="95"/>
              <w:spacing w:after="0"/>
              <w:rPr>
                <w:sz w:val="20"/>
                <w:szCs w:val="20"/>
                <w:color w:val="auto"/>
              </w:rPr>
            </w:pPr>
            <w:r>
              <w:rPr>
                <w:rFonts w:ascii="Arial" w:cs="Arial" w:eastAsia="Arial" w:hAnsi="Arial"/>
                <w:sz w:val="17"/>
                <w:szCs w:val="17"/>
                <w:color w:val="auto"/>
              </w:rPr>
              <w:t>$252,608</w:t>
            </w:r>
          </w:p>
        </w:tc>
        <w:tc>
          <w:tcPr>
            <w:tcW w:w="1180" w:type="dxa"/>
            <w:vAlign w:val="bottom"/>
            <w:shd w:val="clear" w:color="auto" w:fill="FBF4ED"/>
          </w:tcPr>
          <w:p>
            <w:pPr>
              <w:jc w:val="right"/>
              <w:ind w:right="55"/>
              <w:spacing w:after="0"/>
              <w:rPr>
                <w:sz w:val="20"/>
                <w:szCs w:val="20"/>
                <w:color w:val="auto"/>
              </w:rPr>
            </w:pPr>
            <w:r>
              <w:rPr>
                <w:rFonts w:ascii="Arial" w:cs="Arial" w:eastAsia="Arial" w:hAnsi="Arial"/>
                <w:sz w:val="17"/>
                <w:szCs w:val="17"/>
                <w:color w:val="auto"/>
              </w:rPr>
              <w:t>$265,561</w:t>
            </w:r>
          </w:p>
        </w:tc>
        <w:tc>
          <w:tcPr>
            <w:tcW w:w="1400" w:type="dxa"/>
            <w:vAlign w:val="bottom"/>
            <w:shd w:val="clear" w:color="auto" w:fill="FBF4ED"/>
          </w:tcPr>
          <w:p>
            <w:pPr>
              <w:jc w:val="right"/>
              <w:ind w:right="215"/>
              <w:spacing w:after="0"/>
              <w:rPr>
                <w:sz w:val="20"/>
                <w:szCs w:val="20"/>
                <w:color w:val="auto"/>
              </w:rPr>
            </w:pPr>
            <w:r>
              <w:rPr>
                <w:rFonts w:ascii="Arial" w:cs="Arial" w:eastAsia="Arial" w:hAnsi="Arial"/>
                <w:sz w:val="17"/>
                <w:szCs w:val="17"/>
                <w:color w:val="auto"/>
              </w:rPr>
              <w:t>$302,701</w:t>
            </w:r>
          </w:p>
        </w:tc>
        <w:tc>
          <w:tcPr>
            <w:tcW w:w="1000" w:type="dxa"/>
            <w:vAlign w:val="bottom"/>
            <w:tcBorders>
              <w:right w:val="single" w:sz="8" w:color="DD924E"/>
            </w:tcBorders>
            <w:shd w:val="clear" w:color="auto" w:fill="FBF4ED"/>
          </w:tcPr>
          <w:p>
            <w:pPr>
              <w:jc w:val="right"/>
              <w:spacing w:after="0"/>
              <w:rPr>
                <w:sz w:val="20"/>
                <w:szCs w:val="20"/>
                <w:color w:val="auto"/>
              </w:rPr>
            </w:pPr>
            <w:r>
              <w:rPr>
                <w:rFonts w:ascii="Arial" w:cs="Arial" w:eastAsia="Arial" w:hAnsi="Arial"/>
                <w:sz w:val="17"/>
                <w:szCs w:val="17"/>
                <w:color w:val="auto"/>
              </w:rPr>
              <w:t>$249,083</w:t>
            </w:r>
          </w:p>
        </w:tc>
      </w:tr>
      <w:tr>
        <w:trPr>
          <w:trHeight w:val="237"/>
        </w:trPr>
        <w:tc>
          <w:tcPr>
            <w:tcW w:w="2500" w:type="dxa"/>
            <w:vAlign w:val="bottom"/>
            <w:tcBorders>
              <w:left w:val="single" w:sz="8" w:color="DD924E"/>
            </w:tcBorders>
          </w:tcPr>
          <w:p>
            <w:pPr>
              <w:ind w:left="60"/>
              <w:spacing w:after="0"/>
              <w:rPr>
                <w:sz w:val="20"/>
                <w:szCs w:val="20"/>
                <w:color w:val="auto"/>
              </w:rPr>
            </w:pPr>
            <w:r>
              <w:rPr>
                <w:rFonts w:ascii="Arial" w:cs="Arial" w:eastAsia="Arial" w:hAnsi="Arial"/>
                <w:sz w:val="17"/>
                <w:szCs w:val="17"/>
                <w:b w:val="1"/>
                <w:bCs w:val="1"/>
                <w:color w:val="auto"/>
              </w:rPr>
              <w:t>Equity Awards</w:t>
            </w:r>
          </w:p>
        </w:tc>
        <w:tc>
          <w:tcPr>
            <w:tcW w:w="1460" w:type="dxa"/>
            <w:vAlign w:val="bottom"/>
          </w:tcPr>
          <w:p>
            <w:pPr>
              <w:jc w:val="right"/>
              <w:ind w:right="73"/>
              <w:spacing w:after="0"/>
              <w:rPr>
                <w:sz w:val="20"/>
                <w:szCs w:val="20"/>
                <w:color w:val="auto"/>
              </w:rPr>
            </w:pPr>
            <w:r>
              <w:rPr>
                <w:rFonts w:ascii="Arial" w:cs="Arial" w:eastAsia="Arial" w:hAnsi="Arial"/>
                <w:sz w:val="17"/>
                <w:szCs w:val="17"/>
                <w:color w:val="auto"/>
              </w:rPr>
              <w:t>$3,145,687</w:t>
            </w:r>
          </w:p>
        </w:tc>
        <w:tc>
          <w:tcPr>
            <w:tcW w:w="1280" w:type="dxa"/>
            <w:vAlign w:val="bottom"/>
          </w:tcPr>
          <w:p>
            <w:pPr>
              <w:jc w:val="right"/>
              <w:ind w:right="95"/>
              <w:spacing w:after="0"/>
              <w:rPr>
                <w:sz w:val="20"/>
                <w:szCs w:val="20"/>
                <w:color w:val="auto"/>
              </w:rPr>
            </w:pPr>
            <w:r>
              <w:rPr>
                <w:rFonts w:ascii="Arial" w:cs="Arial" w:eastAsia="Arial" w:hAnsi="Arial"/>
                <w:sz w:val="17"/>
                <w:szCs w:val="17"/>
                <w:color w:val="auto"/>
              </w:rPr>
              <w:t>$717,639</w:t>
            </w: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$1,134,418</w:t>
            </w:r>
          </w:p>
        </w:tc>
        <w:tc>
          <w:tcPr>
            <w:tcW w:w="1400" w:type="dxa"/>
            <w:vAlign w:val="bottom"/>
          </w:tcPr>
          <w:p>
            <w:pPr>
              <w:jc w:val="right"/>
              <w:ind w:right="215"/>
              <w:spacing w:after="0"/>
              <w:rPr>
                <w:sz w:val="20"/>
                <w:szCs w:val="20"/>
                <w:color w:val="auto"/>
              </w:rPr>
            </w:pPr>
            <w:r>
              <w:rPr>
                <w:rFonts w:ascii="Arial" w:cs="Arial" w:eastAsia="Arial" w:hAnsi="Arial"/>
                <w:sz w:val="17"/>
                <w:szCs w:val="17"/>
                <w:color w:val="auto"/>
              </w:rPr>
              <w:t>$651,057</w:t>
            </w:r>
          </w:p>
        </w:tc>
        <w:tc>
          <w:tcPr>
            <w:tcW w:w="1000" w:type="dxa"/>
            <w:vAlign w:val="bottom"/>
            <w:tcBorders>
              <w:right w:val="single" w:sz="8" w:color="DD924E"/>
            </w:tcBorders>
          </w:tcPr>
          <w:p>
            <w:pPr>
              <w:jc w:val="right"/>
              <w:spacing w:after="0"/>
              <w:rPr>
                <w:sz w:val="20"/>
                <w:szCs w:val="20"/>
                <w:color w:val="auto"/>
              </w:rPr>
            </w:pPr>
            <w:r>
              <w:rPr>
                <w:rFonts w:ascii="Arial" w:cs="Arial" w:eastAsia="Arial" w:hAnsi="Arial"/>
                <w:sz w:val="17"/>
                <w:szCs w:val="17"/>
                <w:color w:val="auto"/>
              </w:rPr>
              <w:t>$705,312</w:t>
            </w:r>
          </w:p>
        </w:tc>
      </w:tr>
      <w:tr>
        <w:trPr>
          <w:trHeight w:val="251"/>
        </w:trPr>
        <w:tc>
          <w:tcPr>
            <w:tcW w:w="2500" w:type="dxa"/>
            <w:vAlign w:val="bottom"/>
            <w:tcBorders>
              <w:left w:val="single" w:sz="8" w:color="DD924E"/>
            </w:tcBorders>
            <w:shd w:val="clear" w:color="auto" w:fill="FBF4ED"/>
          </w:tcPr>
          <w:p>
            <w:pPr>
              <w:ind w:left="60"/>
              <w:spacing w:after="0" w:line="250" w:lineRule="exact"/>
              <w:rPr>
                <w:sz w:val="20"/>
                <w:szCs w:val="20"/>
                <w:color w:val="auto"/>
              </w:rPr>
            </w:pPr>
            <w:r>
              <w:rPr>
                <w:rFonts w:ascii="Arial" w:cs="Arial" w:eastAsia="Arial" w:hAnsi="Arial"/>
                <w:sz w:val="17"/>
                <w:szCs w:val="17"/>
                <w:b w:val="1"/>
                <w:bCs w:val="1"/>
                <w:color w:val="auto"/>
              </w:rPr>
              <w:t>Other Compensation</w:t>
            </w:r>
            <w:r>
              <w:rPr>
                <w:rFonts w:ascii="Arial" w:cs="Arial" w:eastAsia="Arial" w:hAnsi="Arial"/>
                <w:sz w:val="27"/>
                <w:szCs w:val="27"/>
                <w:b w:val="1"/>
                <w:bCs w:val="1"/>
                <w:color w:val="auto"/>
                <w:vertAlign w:val="superscript"/>
              </w:rPr>
              <w:t>(1)</w:t>
            </w:r>
          </w:p>
        </w:tc>
        <w:tc>
          <w:tcPr>
            <w:tcW w:w="1460" w:type="dxa"/>
            <w:vAlign w:val="bottom"/>
            <w:shd w:val="clear" w:color="auto" w:fill="FBF4ED"/>
          </w:tcPr>
          <w:p>
            <w:pPr>
              <w:jc w:val="right"/>
              <w:ind w:right="73"/>
              <w:spacing w:after="0"/>
              <w:rPr>
                <w:sz w:val="20"/>
                <w:szCs w:val="20"/>
                <w:color w:val="auto"/>
              </w:rPr>
            </w:pPr>
            <w:r>
              <w:rPr>
                <w:rFonts w:ascii="Arial" w:cs="Arial" w:eastAsia="Arial" w:hAnsi="Arial"/>
                <w:sz w:val="17"/>
                <w:szCs w:val="17"/>
                <w:color w:val="auto"/>
              </w:rPr>
              <w:t>$41,413</w:t>
            </w:r>
          </w:p>
        </w:tc>
        <w:tc>
          <w:tcPr>
            <w:tcW w:w="1280" w:type="dxa"/>
            <w:vAlign w:val="bottom"/>
            <w:shd w:val="clear" w:color="auto" w:fill="FBF4ED"/>
          </w:tcPr>
          <w:p>
            <w:pPr>
              <w:jc w:val="right"/>
              <w:ind w:right="95"/>
              <w:spacing w:after="0"/>
              <w:rPr>
                <w:sz w:val="20"/>
                <w:szCs w:val="20"/>
                <w:color w:val="auto"/>
              </w:rPr>
            </w:pPr>
            <w:r>
              <w:rPr>
                <w:rFonts w:ascii="Arial" w:cs="Arial" w:eastAsia="Arial" w:hAnsi="Arial"/>
                <w:sz w:val="17"/>
                <w:szCs w:val="17"/>
                <w:color w:val="auto"/>
              </w:rPr>
              <w:t>$8,990</w:t>
            </w:r>
          </w:p>
        </w:tc>
        <w:tc>
          <w:tcPr>
            <w:tcW w:w="1180" w:type="dxa"/>
            <w:vAlign w:val="bottom"/>
            <w:shd w:val="clear" w:color="auto" w:fill="FBF4ED"/>
          </w:tcPr>
          <w:p>
            <w:pPr>
              <w:jc w:val="right"/>
              <w:ind w:right="55"/>
              <w:spacing w:after="0"/>
              <w:rPr>
                <w:sz w:val="20"/>
                <w:szCs w:val="20"/>
                <w:color w:val="auto"/>
              </w:rPr>
            </w:pPr>
            <w:r>
              <w:rPr>
                <w:rFonts w:ascii="Arial" w:cs="Arial" w:eastAsia="Arial" w:hAnsi="Arial"/>
                <w:sz w:val="17"/>
                <w:szCs w:val="17"/>
                <w:color w:val="auto"/>
              </w:rPr>
              <w:t>$72,266</w:t>
            </w:r>
          </w:p>
        </w:tc>
        <w:tc>
          <w:tcPr>
            <w:tcW w:w="1400" w:type="dxa"/>
            <w:vAlign w:val="bottom"/>
            <w:shd w:val="clear" w:color="auto" w:fill="FBF4ED"/>
          </w:tcPr>
          <w:p>
            <w:pPr>
              <w:jc w:val="right"/>
              <w:ind w:right="215"/>
              <w:spacing w:after="0"/>
              <w:rPr>
                <w:sz w:val="20"/>
                <w:szCs w:val="20"/>
                <w:color w:val="auto"/>
              </w:rPr>
            </w:pPr>
            <w:r>
              <w:rPr>
                <w:rFonts w:ascii="Arial" w:cs="Arial" w:eastAsia="Arial" w:hAnsi="Arial"/>
                <w:sz w:val="17"/>
                <w:szCs w:val="17"/>
                <w:color w:val="auto"/>
              </w:rPr>
              <w:t>$8,490</w:t>
            </w:r>
          </w:p>
        </w:tc>
        <w:tc>
          <w:tcPr>
            <w:tcW w:w="1000" w:type="dxa"/>
            <w:vAlign w:val="bottom"/>
            <w:tcBorders>
              <w:right w:val="single" w:sz="8" w:color="DD924E"/>
            </w:tcBorders>
            <w:shd w:val="clear" w:color="auto" w:fill="FBF4ED"/>
          </w:tcPr>
          <w:p>
            <w:pPr>
              <w:jc w:val="right"/>
              <w:spacing w:after="0"/>
              <w:rPr>
                <w:sz w:val="20"/>
                <w:szCs w:val="20"/>
                <w:color w:val="auto"/>
              </w:rPr>
            </w:pPr>
            <w:r>
              <w:rPr>
                <w:rFonts w:ascii="Arial" w:cs="Arial" w:eastAsia="Arial" w:hAnsi="Arial"/>
                <w:sz w:val="17"/>
                <w:szCs w:val="17"/>
                <w:color w:val="auto"/>
              </w:rPr>
              <w:t>$8,490</w:t>
            </w:r>
          </w:p>
        </w:tc>
      </w:tr>
      <w:tr>
        <w:trPr>
          <w:trHeight w:val="237"/>
        </w:trPr>
        <w:tc>
          <w:tcPr>
            <w:tcW w:w="2500" w:type="dxa"/>
            <w:vAlign w:val="bottom"/>
            <w:tcBorders>
              <w:left w:val="single" w:sz="8" w:color="DD924E"/>
              <w:bottom w:val="single" w:sz="8" w:color="DD924E"/>
            </w:tcBorders>
          </w:tcPr>
          <w:p>
            <w:pPr>
              <w:ind w:left="60"/>
              <w:spacing w:after="0"/>
              <w:rPr>
                <w:sz w:val="20"/>
                <w:szCs w:val="20"/>
                <w:color w:val="auto"/>
              </w:rPr>
            </w:pPr>
            <w:r>
              <w:rPr>
                <w:rFonts w:ascii="Arial" w:cs="Arial" w:eastAsia="Arial" w:hAnsi="Arial"/>
                <w:sz w:val="17"/>
                <w:szCs w:val="17"/>
                <w:b w:val="1"/>
                <w:bCs w:val="1"/>
                <w:color w:val="auto"/>
              </w:rPr>
              <w:t>Total</w:t>
            </w:r>
          </w:p>
        </w:tc>
        <w:tc>
          <w:tcPr>
            <w:tcW w:w="1460" w:type="dxa"/>
            <w:vAlign w:val="bottom"/>
            <w:tcBorders>
              <w:bottom w:val="single" w:sz="8" w:color="DD924E"/>
            </w:tcBorders>
          </w:tcPr>
          <w:p>
            <w:pPr>
              <w:jc w:val="right"/>
              <w:ind w:right="73"/>
              <w:spacing w:after="0"/>
              <w:rPr>
                <w:sz w:val="20"/>
                <w:szCs w:val="20"/>
                <w:color w:val="auto"/>
              </w:rPr>
            </w:pPr>
            <w:r>
              <w:rPr>
                <w:rFonts w:ascii="Arial" w:cs="Arial" w:eastAsia="Arial" w:hAnsi="Arial"/>
                <w:sz w:val="17"/>
                <w:szCs w:val="17"/>
                <w:b w:val="1"/>
                <w:bCs w:val="1"/>
                <w:color w:val="auto"/>
              </w:rPr>
              <w:t>$4,398,128</w:t>
            </w:r>
          </w:p>
        </w:tc>
        <w:tc>
          <w:tcPr>
            <w:tcW w:w="1280" w:type="dxa"/>
            <w:vAlign w:val="bottom"/>
            <w:tcBorders>
              <w:bottom w:val="single" w:sz="8" w:color="DD924E"/>
            </w:tcBorders>
          </w:tcPr>
          <w:p>
            <w:pPr>
              <w:jc w:val="right"/>
              <w:ind w:right="95"/>
              <w:spacing w:after="0"/>
              <w:rPr>
                <w:sz w:val="20"/>
                <w:szCs w:val="20"/>
                <w:color w:val="auto"/>
              </w:rPr>
            </w:pPr>
            <w:r>
              <w:rPr>
                <w:rFonts w:ascii="Arial" w:cs="Arial" w:eastAsia="Arial" w:hAnsi="Arial"/>
                <w:sz w:val="17"/>
                <w:szCs w:val="17"/>
                <w:b w:val="1"/>
                <w:bCs w:val="1"/>
                <w:color w:val="auto"/>
              </w:rPr>
              <w:t>$1,379,237</w:t>
            </w:r>
          </w:p>
        </w:tc>
        <w:tc>
          <w:tcPr>
            <w:tcW w:w="1180" w:type="dxa"/>
            <w:vAlign w:val="bottom"/>
            <w:tcBorders>
              <w:bottom w:val="single" w:sz="8" w:color="DD924E"/>
            </w:tcBorders>
          </w:tcPr>
          <w:p>
            <w:pPr>
              <w:jc w:val="right"/>
              <w:ind w:right="55"/>
              <w:spacing w:after="0"/>
              <w:rPr>
                <w:sz w:val="20"/>
                <w:szCs w:val="20"/>
                <w:color w:val="auto"/>
              </w:rPr>
            </w:pPr>
            <w:r>
              <w:rPr>
                <w:rFonts w:ascii="Arial" w:cs="Arial" w:eastAsia="Arial" w:hAnsi="Arial"/>
                <w:sz w:val="17"/>
                <w:szCs w:val="17"/>
                <w:b w:val="1"/>
                <w:bCs w:val="1"/>
                <w:color w:val="auto"/>
              </w:rPr>
              <w:t>$1,768,384</w:t>
            </w:r>
          </w:p>
        </w:tc>
        <w:tc>
          <w:tcPr>
            <w:tcW w:w="1400" w:type="dxa"/>
            <w:vAlign w:val="bottom"/>
            <w:tcBorders>
              <w:bottom w:val="single" w:sz="8" w:color="DD924E"/>
            </w:tcBorders>
          </w:tcPr>
          <w:p>
            <w:pPr>
              <w:jc w:val="right"/>
              <w:ind w:right="215"/>
              <w:spacing w:after="0"/>
              <w:rPr>
                <w:sz w:val="20"/>
                <w:szCs w:val="20"/>
                <w:color w:val="auto"/>
              </w:rPr>
            </w:pPr>
            <w:r>
              <w:rPr>
                <w:rFonts w:ascii="Arial" w:cs="Arial" w:eastAsia="Arial" w:hAnsi="Arial"/>
                <w:sz w:val="17"/>
                <w:szCs w:val="17"/>
                <w:b w:val="1"/>
                <w:bCs w:val="1"/>
                <w:color w:val="auto"/>
              </w:rPr>
              <w:t>$1,377,248</w:t>
            </w:r>
          </w:p>
        </w:tc>
        <w:tc>
          <w:tcPr>
            <w:tcW w:w="1000" w:type="dxa"/>
            <w:vAlign w:val="bottom"/>
            <w:tcBorders>
              <w:bottom w:val="single" w:sz="8" w:color="DD924E"/>
              <w:right w:val="single" w:sz="8" w:color="DD924E"/>
            </w:tcBorders>
          </w:tcPr>
          <w:p>
            <w:pPr>
              <w:jc w:val="right"/>
              <w:spacing w:after="0"/>
              <w:rPr>
                <w:sz w:val="20"/>
                <w:szCs w:val="20"/>
                <w:color w:val="auto"/>
              </w:rPr>
            </w:pPr>
            <w:r>
              <w:rPr>
                <w:rFonts w:ascii="Arial" w:cs="Arial" w:eastAsia="Arial" w:hAnsi="Arial"/>
                <w:sz w:val="17"/>
                <w:szCs w:val="17"/>
                <w:b w:val="1"/>
                <w:bCs w:val="1"/>
                <w:color w:val="auto"/>
              </w:rPr>
              <w:t>$1,372,885</w:t>
            </w:r>
          </w:p>
        </w:tc>
      </w:tr>
    </w:tbl>
    <w:p>
      <w:pPr>
        <w:spacing w:after="0" w:line="140" w:lineRule="exact"/>
        <w:rPr>
          <w:sz w:val="20"/>
          <w:szCs w:val="20"/>
          <w:color w:val="auto"/>
        </w:rPr>
      </w:pPr>
    </w:p>
    <w:p>
      <w:pPr>
        <w:jc w:val="both"/>
        <w:ind w:left="840" w:right="59" w:hanging="345"/>
        <w:spacing w:after="0" w:line="239" w:lineRule="auto"/>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each named executive officer, this category includes, if applicable, his perquisites and personal benefits, changes in pension value, Company-paid life insurance premiums and Company contributions to our 401(k) plan. A detailed discussion of the compensation components for each named executive officer for fiscal year 2017 is provided in the “Summary Compensation Table for Fiscal Year 2017” beginning on page 47.</w:t>
      </w:r>
    </w:p>
    <w:p>
      <w:pPr>
        <w:spacing w:after="0" w:line="129"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On an annual basis, we submit to our stockholders a vote to approve, on a non-binding advisory basis, the compensation of our named executive officers as described in this proxy statement. We refer to this vote as “say-on-pay”. Please refer to our Compensation Discussion and Analysis, starting on page 30 for a complete description of our 2017 compensation program.</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Below are a few highlights of our executive compensation:</w:t>
      </w:r>
    </w:p>
    <w:p>
      <w:pPr>
        <w:spacing w:after="0" w:line="105" w:lineRule="exact"/>
        <w:rPr>
          <w:sz w:val="20"/>
          <w:szCs w:val="20"/>
          <w:color w:val="auto"/>
        </w:rPr>
      </w:pPr>
    </w:p>
    <w:p>
      <w:pPr>
        <w:jc w:val="both"/>
        <w:ind w:left="840" w:right="59" w:hanging="345"/>
        <w:spacing w:after="0" w:line="248" w:lineRule="auto"/>
        <w:tabs>
          <w:tab w:leader="none" w:pos="840" w:val="left"/>
        </w:tabs>
        <w:numPr>
          <w:ilvl w:val="0"/>
          <w:numId w:val="11"/>
        </w:numPr>
        <w:rPr>
          <w:rFonts w:ascii="Arial" w:cs="Arial" w:eastAsia="Arial" w:hAnsi="Arial"/>
          <w:sz w:val="17"/>
          <w:szCs w:val="17"/>
          <w:color w:val="DD924E"/>
        </w:rPr>
      </w:pPr>
      <w:r>
        <w:rPr>
          <w:rFonts w:ascii="Arial" w:cs="Arial" w:eastAsia="Arial" w:hAnsi="Arial"/>
          <w:sz w:val="17"/>
          <w:szCs w:val="17"/>
          <w:b w:val="1"/>
          <w:bCs w:val="1"/>
          <w:color w:val="auto"/>
        </w:rPr>
        <w:t>98.4% Say-on-Pay Approval of 2016 Compensation</w:t>
      </w:r>
      <w:r>
        <w:rPr>
          <w:rFonts w:ascii="Arial" w:cs="Arial" w:eastAsia="Arial" w:hAnsi="Arial"/>
          <w:sz w:val="17"/>
          <w:szCs w:val="17"/>
          <w:color w:val="auto"/>
        </w:rPr>
        <w:t>: At our 2017 Annual Meeting of Stockholders, our</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approved, on a non-binding advisory basis, the compensation paid to our named executive officers for fiscal year 2016. Approximately 98.4% of the votes present in person or by proxy voted in favor of fiscal year 2016 compensation.</w:t>
      </w:r>
    </w:p>
    <w:p>
      <w:pPr>
        <w:spacing w:after="0" w:line="102" w:lineRule="exact"/>
        <w:rPr>
          <w:rFonts w:ascii="Arial" w:cs="Arial" w:eastAsia="Arial" w:hAnsi="Arial"/>
          <w:sz w:val="17"/>
          <w:szCs w:val="17"/>
          <w:color w:val="DD924E"/>
        </w:rPr>
      </w:pPr>
    </w:p>
    <w:p>
      <w:pPr>
        <w:jc w:val="both"/>
        <w:ind w:left="840" w:right="59" w:hanging="345"/>
        <w:spacing w:after="0" w:line="254" w:lineRule="auto"/>
        <w:tabs>
          <w:tab w:leader="none" w:pos="840" w:val="left"/>
        </w:tabs>
        <w:numPr>
          <w:ilvl w:val="0"/>
          <w:numId w:val="11"/>
        </w:numPr>
        <w:rPr>
          <w:rFonts w:ascii="Arial" w:cs="Arial" w:eastAsia="Arial" w:hAnsi="Arial"/>
          <w:sz w:val="17"/>
          <w:szCs w:val="17"/>
          <w:color w:val="DD924E"/>
        </w:rPr>
      </w:pPr>
      <w:r>
        <w:rPr>
          <w:rFonts w:ascii="Arial" w:cs="Arial" w:eastAsia="Arial" w:hAnsi="Arial"/>
          <w:sz w:val="17"/>
          <w:szCs w:val="17"/>
          <w:b w:val="1"/>
          <w:bCs w:val="1"/>
          <w:color w:val="auto"/>
        </w:rPr>
        <w:t>Annual Bonus Program Based Upon Financial Performance Criteria</w:t>
      </w:r>
      <w:r>
        <w:rPr>
          <w:rFonts w:ascii="Arial" w:cs="Arial" w:eastAsia="Arial" w:hAnsi="Arial"/>
          <w:sz w:val="17"/>
          <w:szCs w:val="17"/>
          <w:color w:val="auto"/>
        </w:rPr>
        <w:t>: Our Compensation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the continued use of our annual bonus program, which was based upon the following performance criteria:</w:t>
      </w:r>
    </w:p>
    <w:p>
      <w:pPr>
        <w:spacing w:after="0" w:line="117" w:lineRule="exact"/>
        <w:rPr>
          <w:rFonts w:ascii="Arial" w:cs="Arial" w:eastAsia="Arial" w:hAnsi="Arial"/>
          <w:sz w:val="17"/>
          <w:szCs w:val="17"/>
          <w:color w:val="DD924E"/>
        </w:rPr>
      </w:pPr>
    </w:p>
    <w:p>
      <w:pPr>
        <w:ind w:left="1180"/>
        <w:spacing w:after="0"/>
        <w:rPr>
          <w:rFonts w:ascii="Arial" w:cs="Arial" w:eastAsia="Arial" w:hAnsi="Arial"/>
          <w:sz w:val="17"/>
          <w:szCs w:val="17"/>
          <w:color w:val="DD924E"/>
        </w:rPr>
      </w:pPr>
      <w:r>
        <w:rPr>
          <w:rFonts w:ascii="Arial" w:cs="Arial" w:eastAsia="Arial" w:hAnsi="Arial"/>
          <w:sz w:val="17"/>
          <w:szCs w:val="17"/>
          <w:color w:val="DD924E"/>
        </w:rPr>
        <w:t xml:space="preserve">–   </w:t>
      </w:r>
      <w:r>
        <w:rPr>
          <w:rFonts w:ascii="Arial" w:cs="Arial" w:eastAsia="Arial" w:hAnsi="Arial"/>
          <w:sz w:val="17"/>
          <w:szCs w:val="17"/>
          <w:color w:val="000000"/>
        </w:rPr>
        <w:t>Company Wide Metrics – Adjusted earnings per share (EPS) and revenue</w:t>
      </w:r>
    </w:p>
    <w:p>
      <w:pPr>
        <w:spacing w:after="0" w:line="125" w:lineRule="exact"/>
        <w:rPr>
          <w:rFonts w:ascii="Arial" w:cs="Arial" w:eastAsia="Arial" w:hAnsi="Arial"/>
          <w:sz w:val="17"/>
          <w:szCs w:val="17"/>
          <w:color w:val="DD924E"/>
        </w:rPr>
      </w:pPr>
    </w:p>
    <w:p>
      <w:pPr>
        <w:ind w:left="1180"/>
        <w:spacing w:after="0"/>
        <w:rPr>
          <w:rFonts w:ascii="Arial" w:cs="Arial" w:eastAsia="Arial" w:hAnsi="Arial"/>
          <w:sz w:val="17"/>
          <w:szCs w:val="17"/>
          <w:color w:val="DD924E"/>
        </w:rPr>
      </w:pPr>
      <w:r>
        <w:rPr>
          <w:rFonts w:ascii="Arial" w:cs="Arial" w:eastAsia="Arial" w:hAnsi="Arial"/>
          <w:sz w:val="17"/>
          <w:szCs w:val="17"/>
          <w:color w:val="DD924E"/>
        </w:rPr>
        <w:t xml:space="preserve">–   </w:t>
      </w:r>
      <w:r>
        <w:rPr>
          <w:rFonts w:ascii="Arial" w:cs="Arial" w:eastAsia="Arial" w:hAnsi="Arial"/>
          <w:sz w:val="17"/>
          <w:szCs w:val="17"/>
          <w:color w:val="000000"/>
        </w:rPr>
        <w:t>Business Line Metrics – Revenues, new client revenues and margin achievement</w:t>
      </w:r>
    </w:p>
    <w:p>
      <w:pPr>
        <w:spacing w:after="0" w:line="137" w:lineRule="exact"/>
        <w:rPr>
          <w:rFonts w:ascii="Arial" w:cs="Arial" w:eastAsia="Arial" w:hAnsi="Arial"/>
          <w:sz w:val="17"/>
          <w:szCs w:val="17"/>
          <w:color w:val="DD924E"/>
        </w:rPr>
      </w:pPr>
    </w:p>
    <w:p>
      <w:pPr>
        <w:ind w:left="1180"/>
        <w:spacing w:after="0"/>
        <w:rPr>
          <w:rFonts w:ascii="Arial" w:cs="Arial" w:eastAsia="Arial" w:hAnsi="Arial"/>
          <w:sz w:val="17"/>
          <w:szCs w:val="17"/>
          <w:color w:val="DD924E"/>
        </w:rPr>
      </w:pPr>
      <w:r>
        <w:rPr>
          <w:rFonts w:ascii="Arial" w:cs="Arial" w:eastAsia="Arial" w:hAnsi="Arial"/>
          <w:sz w:val="17"/>
          <w:szCs w:val="17"/>
          <w:color w:val="DD924E"/>
        </w:rPr>
        <w:t xml:space="preserve">–   </w:t>
      </w:r>
      <w:r>
        <w:rPr>
          <w:rFonts w:ascii="Arial" w:cs="Arial" w:eastAsia="Arial" w:hAnsi="Arial"/>
          <w:sz w:val="17"/>
          <w:szCs w:val="17"/>
          <w:color w:val="000000"/>
        </w:rPr>
        <w:t>Individual Metrics – Linked to areas of performance that are specific to each executive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 w:name="page10"/>
    <w:bookmarkEnd w:id="9"/>
    <w:p>
      <w:pPr>
        <w:spacing w:after="0" w:line="38" w:lineRule="exact"/>
        <w:rPr>
          <w:sz w:val="20"/>
          <w:szCs w:val="20"/>
          <w:color w:val="auto"/>
        </w:rPr>
      </w:pPr>
    </w:p>
    <w:p>
      <w:pPr>
        <w:jc w:val="both"/>
        <w:ind w:left="840" w:right="79" w:hanging="345"/>
        <w:spacing w:after="0" w:line="254" w:lineRule="auto"/>
        <w:tabs>
          <w:tab w:leader="none" w:pos="840" w:val="left"/>
        </w:tabs>
        <w:numPr>
          <w:ilvl w:val="0"/>
          <w:numId w:val="12"/>
        </w:numPr>
        <w:rPr>
          <w:rFonts w:ascii="Arial" w:cs="Arial" w:eastAsia="Arial" w:hAnsi="Arial"/>
          <w:sz w:val="17"/>
          <w:szCs w:val="17"/>
          <w:color w:val="DD924E"/>
        </w:rPr>
      </w:pPr>
      <w:r>
        <w:rPr>
          <w:rFonts w:ascii="Arial" w:cs="Arial" w:eastAsia="Arial" w:hAnsi="Arial"/>
          <w:sz w:val="17"/>
          <w:szCs w:val="17"/>
          <w:b w:val="1"/>
          <w:bCs w:val="1"/>
          <w:color w:val="auto"/>
        </w:rPr>
        <w:t>Long-Term Equity Incentive Program</w:t>
      </w:r>
      <w:r>
        <w:rPr>
          <w:rFonts w:ascii="Arial" w:cs="Arial" w:eastAsia="Arial" w:hAnsi="Arial"/>
          <w:sz w:val="17"/>
          <w:szCs w:val="17"/>
          <w:color w:val="auto"/>
        </w:rPr>
        <w:t>: We also continued our equity incentive program, which includes</w:t>
      </w:r>
      <w:r>
        <w:rPr>
          <w:rFonts w:ascii="Arial" w:cs="Arial" w:eastAsia="Arial" w:hAnsi="Arial"/>
          <w:sz w:val="17"/>
          <w:szCs w:val="17"/>
          <w:b w:val="1"/>
          <w:bCs w:val="1"/>
          <w:color w:val="auto"/>
        </w:rPr>
        <w:t xml:space="preserve"> </w:t>
      </w:r>
      <w:r>
        <w:rPr>
          <w:rFonts w:ascii="Arial" w:cs="Arial" w:eastAsia="Arial" w:hAnsi="Arial"/>
          <w:sz w:val="17"/>
          <w:szCs w:val="17"/>
          <w:color w:val="auto"/>
        </w:rPr>
        <w:t>granting a mix of time-vested restricted stock units and performance-based restricted stock units. The performance-based restricted stock units were comprised of:</w:t>
      </w:r>
    </w:p>
    <w:p>
      <w:pPr>
        <w:spacing w:after="0" w:line="104" w:lineRule="exact"/>
        <w:rPr>
          <w:rFonts w:ascii="Arial" w:cs="Arial" w:eastAsia="Arial" w:hAnsi="Arial"/>
          <w:sz w:val="17"/>
          <w:szCs w:val="17"/>
          <w:color w:val="DD924E"/>
        </w:rPr>
      </w:pPr>
    </w:p>
    <w:p>
      <w:pPr>
        <w:ind w:left="1180"/>
        <w:spacing w:after="0"/>
        <w:rPr>
          <w:rFonts w:ascii="Arial" w:cs="Arial" w:eastAsia="Arial" w:hAnsi="Arial"/>
          <w:sz w:val="17"/>
          <w:szCs w:val="17"/>
          <w:color w:val="DD924E"/>
        </w:rPr>
      </w:pPr>
      <w:r>
        <w:rPr>
          <w:rFonts w:ascii="Arial" w:cs="Arial" w:eastAsia="Arial" w:hAnsi="Arial"/>
          <w:sz w:val="17"/>
          <w:szCs w:val="17"/>
          <w:color w:val="DD924E"/>
        </w:rPr>
        <w:t xml:space="preserve">–   </w:t>
      </w:r>
      <w:r>
        <w:rPr>
          <w:rFonts w:ascii="Arial" w:cs="Arial" w:eastAsia="Arial" w:hAnsi="Arial"/>
          <w:sz w:val="17"/>
          <w:szCs w:val="17"/>
          <w:color w:val="000000"/>
        </w:rPr>
        <w:t>Relative total stockholder return-linked restricted stock units, and</w:t>
      </w:r>
    </w:p>
    <w:p>
      <w:pPr>
        <w:spacing w:after="0" w:line="137" w:lineRule="exact"/>
        <w:rPr>
          <w:rFonts w:ascii="Arial" w:cs="Arial" w:eastAsia="Arial" w:hAnsi="Arial"/>
          <w:sz w:val="17"/>
          <w:szCs w:val="17"/>
          <w:color w:val="DD924E"/>
        </w:rPr>
      </w:pPr>
    </w:p>
    <w:p>
      <w:pPr>
        <w:ind w:left="1180"/>
        <w:spacing w:after="0"/>
        <w:rPr>
          <w:rFonts w:ascii="Arial" w:cs="Arial" w:eastAsia="Arial" w:hAnsi="Arial"/>
          <w:sz w:val="17"/>
          <w:szCs w:val="17"/>
          <w:color w:val="DD924E"/>
        </w:rPr>
      </w:pPr>
      <w:r>
        <w:rPr>
          <w:rFonts w:ascii="Arial" w:cs="Arial" w:eastAsia="Arial" w:hAnsi="Arial"/>
          <w:sz w:val="17"/>
          <w:szCs w:val="17"/>
          <w:color w:val="DD924E"/>
        </w:rPr>
        <w:t xml:space="preserve">–   </w:t>
      </w:r>
      <w:r>
        <w:rPr>
          <w:rFonts w:ascii="Arial" w:cs="Arial" w:eastAsia="Arial" w:hAnsi="Arial"/>
          <w:sz w:val="17"/>
          <w:szCs w:val="17"/>
          <w:color w:val="000000"/>
        </w:rPr>
        <w:t>Revenue-linked restricted stock units.</w:t>
      </w:r>
    </w:p>
    <w:p>
      <w:pPr>
        <w:spacing w:after="0" w:line="117" w:lineRule="exact"/>
        <w:rPr>
          <w:rFonts w:ascii="Arial" w:cs="Arial" w:eastAsia="Arial" w:hAnsi="Arial"/>
          <w:sz w:val="17"/>
          <w:szCs w:val="17"/>
          <w:color w:val="DD924E"/>
        </w:rPr>
      </w:pPr>
    </w:p>
    <w:p>
      <w:pPr>
        <w:ind w:left="840" w:hanging="345"/>
        <w:spacing w:after="0"/>
        <w:tabs>
          <w:tab w:leader="none" w:pos="840" w:val="left"/>
        </w:tabs>
        <w:numPr>
          <w:ilvl w:val="0"/>
          <w:numId w:val="12"/>
        </w:numPr>
        <w:rPr>
          <w:rFonts w:ascii="Arial" w:cs="Arial" w:eastAsia="Arial" w:hAnsi="Arial"/>
          <w:sz w:val="17"/>
          <w:szCs w:val="17"/>
          <w:color w:val="DD924E"/>
        </w:rPr>
      </w:pPr>
      <w:r>
        <w:rPr>
          <w:rFonts w:ascii="Arial" w:cs="Arial" w:eastAsia="Arial" w:hAnsi="Arial"/>
          <w:sz w:val="17"/>
          <w:szCs w:val="17"/>
          <w:b w:val="1"/>
          <w:bCs w:val="1"/>
          <w:color w:val="auto"/>
        </w:rPr>
        <w:t>2017 Performance</w:t>
      </w:r>
      <w:r>
        <w:rPr>
          <w:rFonts w:ascii="Arial" w:cs="Arial" w:eastAsia="Arial" w:hAnsi="Arial"/>
          <w:sz w:val="17"/>
          <w:szCs w:val="17"/>
          <w:color w:val="auto"/>
        </w:rPr>
        <w:t>: We delivered solid revenue and Adjusted EPS performance in 2017.</w:t>
      </w:r>
    </w:p>
    <w:p>
      <w:pPr>
        <w:spacing w:after="0" w:line="125" w:lineRule="exact"/>
        <w:rPr>
          <w:rFonts w:ascii="Arial" w:cs="Arial" w:eastAsia="Arial" w:hAnsi="Arial"/>
          <w:sz w:val="17"/>
          <w:szCs w:val="17"/>
          <w:color w:val="DD924E"/>
        </w:rPr>
      </w:pPr>
    </w:p>
    <w:p>
      <w:pPr>
        <w:ind w:left="1520" w:right="59" w:hanging="338"/>
        <w:spacing w:after="0" w:line="254" w:lineRule="auto"/>
        <w:rPr>
          <w:rFonts w:ascii="Arial" w:cs="Arial" w:eastAsia="Arial" w:hAnsi="Arial"/>
          <w:sz w:val="17"/>
          <w:szCs w:val="17"/>
          <w:color w:val="DD924E"/>
        </w:rPr>
      </w:pPr>
      <w:r>
        <w:rPr>
          <w:rFonts w:ascii="Arial" w:cs="Arial" w:eastAsia="Arial" w:hAnsi="Arial"/>
          <w:sz w:val="17"/>
          <w:szCs w:val="17"/>
          <w:color w:val="DD924E"/>
        </w:rPr>
        <w:t xml:space="preserve">– </w:t>
      </w:r>
      <w:r>
        <w:rPr>
          <w:rFonts w:ascii="Arial" w:cs="Arial" w:eastAsia="Arial" w:hAnsi="Arial"/>
          <w:sz w:val="17"/>
          <w:szCs w:val="17"/>
          <w:b w:val="1"/>
          <w:bCs w:val="1"/>
          <w:color w:val="000000"/>
        </w:rPr>
        <w:t>Annual Incentive Program:</w:t>
      </w:r>
      <w:r>
        <w:rPr>
          <w:rFonts w:ascii="Arial" w:cs="Arial" w:eastAsia="Arial" w:hAnsi="Arial"/>
          <w:sz w:val="17"/>
          <w:szCs w:val="17"/>
          <w:color w:val="DD924E"/>
        </w:rPr>
        <w:t xml:space="preserve"> </w:t>
      </w:r>
      <w:r>
        <w:rPr>
          <w:rFonts w:ascii="Arial" w:cs="Arial" w:eastAsia="Arial" w:hAnsi="Arial"/>
          <w:sz w:val="17"/>
          <w:szCs w:val="17"/>
          <w:color w:val="000000"/>
        </w:rPr>
        <w:t>As measured under our annual incentive plan, we delivered 101.7%</w:t>
      </w:r>
      <w:r>
        <w:rPr>
          <w:rFonts w:ascii="Arial" w:cs="Arial" w:eastAsia="Arial" w:hAnsi="Arial"/>
          <w:sz w:val="17"/>
          <w:szCs w:val="17"/>
          <w:color w:val="DD924E"/>
        </w:rPr>
        <w:t xml:space="preserve"> </w:t>
      </w:r>
      <w:r>
        <w:rPr>
          <w:rFonts w:ascii="Arial" w:cs="Arial" w:eastAsia="Arial" w:hAnsi="Arial"/>
          <w:sz w:val="17"/>
          <w:szCs w:val="17"/>
          <w:color w:val="000000"/>
        </w:rPr>
        <w:t>of our Adjusted EPS target and fell just short of our revenue performance target achieving 98.1% of target.</w:t>
      </w:r>
    </w:p>
    <w:p>
      <w:pPr>
        <w:spacing w:after="0" w:line="97" w:lineRule="exact"/>
        <w:rPr>
          <w:rFonts w:ascii="Arial" w:cs="Arial" w:eastAsia="Arial" w:hAnsi="Arial"/>
          <w:sz w:val="17"/>
          <w:szCs w:val="17"/>
          <w:color w:val="DD924E"/>
        </w:rPr>
      </w:pPr>
    </w:p>
    <w:p>
      <w:pPr>
        <w:ind w:left="1520" w:right="59" w:hanging="338"/>
        <w:spacing w:after="0" w:line="243" w:lineRule="auto"/>
        <w:rPr>
          <w:rFonts w:ascii="Arial" w:cs="Arial" w:eastAsia="Arial" w:hAnsi="Arial"/>
          <w:sz w:val="17"/>
          <w:szCs w:val="17"/>
          <w:color w:val="DD924E"/>
        </w:rPr>
      </w:pPr>
      <w:r>
        <w:rPr>
          <w:rFonts w:ascii="Arial" w:cs="Arial" w:eastAsia="Arial" w:hAnsi="Arial"/>
          <w:sz w:val="17"/>
          <w:szCs w:val="17"/>
          <w:color w:val="DD924E"/>
        </w:rPr>
        <w:t xml:space="preserve">– </w:t>
      </w:r>
      <w:r>
        <w:rPr>
          <w:rFonts w:ascii="Arial" w:cs="Arial" w:eastAsia="Arial" w:hAnsi="Arial"/>
          <w:sz w:val="17"/>
          <w:szCs w:val="17"/>
          <w:b w:val="1"/>
          <w:bCs w:val="1"/>
          <w:color w:val="000000"/>
        </w:rPr>
        <w:t>Equity Incentive Program:</w:t>
      </w:r>
      <w:r>
        <w:rPr>
          <w:rFonts w:ascii="Arial" w:cs="Arial" w:eastAsia="Arial" w:hAnsi="Arial"/>
          <w:sz w:val="17"/>
          <w:szCs w:val="17"/>
          <w:color w:val="DD924E"/>
        </w:rPr>
        <w:t xml:space="preserve"> </w:t>
      </w:r>
      <w:r>
        <w:rPr>
          <w:rFonts w:ascii="Arial" w:cs="Arial" w:eastAsia="Arial" w:hAnsi="Arial"/>
          <w:sz w:val="17"/>
          <w:szCs w:val="17"/>
          <w:color w:val="000000"/>
        </w:rPr>
        <w:t>This was the third and final performance year for the 2015</w:t>
      </w:r>
      <w:r>
        <w:rPr>
          <w:rFonts w:ascii="Arial" w:cs="Arial" w:eastAsia="Arial" w:hAnsi="Arial"/>
          <w:sz w:val="17"/>
          <w:szCs w:val="17"/>
          <w:color w:val="DD924E"/>
        </w:rPr>
        <w:t xml:space="preserve"> </w:t>
      </w:r>
      <w:r>
        <w:rPr>
          <w:rFonts w:ascii="Arial" w:cs="Arial" w:eastAsia="Arial" w:hAnsi="Arial"/>
          <w:sz w:val="17"/>
          <w:szCs w:val="17"/>
          <w:color w:val="000000"/>
        </w:rPr>
        <w:t>performance-based restricted stock units. We achieved 98.3% of the revenue target for the revenue-linked restricted stock units resulting in 82.9% of target funding of those grants. The Company’s TSR performance was at the 93rd percentile amongst its peer group, resulting in the executives earning 200% of the 2015 relative TSR-linked restricted stock units pursuant to the terms of the original grant.</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92710</wp:posOffset>
            </wp:positionV>
            <wp:extent cx="5454650" cy="2971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4650" cy="297116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0" w:name="page11"/>
    <w:bookmarkEnd w:id="10"/>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Auditor Matters</w:t>
      </w:r>
    </w:p>
    <w:p>
      <w:pPr>
        <w:spacing w:after="0" w:line="149"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As a matter of good corporate practice, we are seeking your ratification of Deloitte &amp; Touche LLP as our independent registered public accounting firm for fiscal year 2018. The following sets forth fees of Ernst &amp; Young LLP, who served as our independent registered public accounting firm for fiscal year 2017.</w:t>
      </w:r>
    </w:p>
    <w:p>
      <w:pPr>
        <w:spacing w:after="0" w:line="117" w:lineRule="exact"/>
        <w:rPr>
          <w:sz w:val="20"/>
          <w:szCs w:val="20"/>
          <w:color w:val="auto"/>
        </w:rPr>
      </w:pPr>
    </w:p>
    <w:tbl>
      <w:tblPr>
        <w:tblLayout w:type="fixed"/>
        <w:tblInd w:w="2090" w:type="dxa"/>
        <w:tblCellMar>
          <w:top w:w="0" w:type="dxa"/>
          <w:left w:w="0" w:type="dxa"/>
          <w:bottom w:w="0" w:type="dxa"/>
          <w:right w:w="0" w:type="dxa"/>
        </w:tblCellMar>
      </w:tblPr>
      <w:tr>
        <w:trPr>
          <w:trHeight w:val="181"/>
        </w:trPr>
        <w:tc>
          <w:tcPr>
            <w:tcW w:w="3280" w:type="dxa"/>
            <w:vAlign w:val="bottom"/>
            <w:tcBorders>
              <w:left w:val="single" w:sz="8" w:color="DD924E"/>
            </w:tcBorders>
            <w:shd w:val="clear" w:color="auto" w:fill="DD924E"/>
          </w:tcPr>
          <w:p>
            <w:pPr>
              <w:spacing w:after="0"/>
              <w:rPr>
                <w:sz w:val="15"/>
                <w:szCs w:val="15"/>
                <w:color w:val="auto"/>
              </w:rPr>
            </w:pPr>
          </w:p>
        </w:tc>
        <w:tc>
          <w:tcPr>
            <w:tcW w:w="260" w:type="dxa"/>
            <w:vAlign w:val="bottom"/>
            <w:shd w:val="clear" w:color="auto" w:fill="DD924E"/>
          </w:tcPr>
          <w:p>
            <w:pPr>
              <w:spacing w:after="0"/>
              <w:rPr>
                <w:sz w:val="15"/>
                <w:szCs w:val="15"/>
                <w:color w:val="auto"/>
              </w:rPr>
            </w:pPr>
          </w:p>
        </w:tc>
        <w:tc>
          <w:tcPr>
            <w:tcW w:w="1440" w:type="dxa"/>
            <w:vAlign w:val="bottom"/>
            <w:tcBorders>
              <w:right w:val="single" w:sz="8" w:color="DD924E"/>
            </w:tcBorders>
            <w:shd w:val="clear" w:color="auto" w:fill="DD924E"/>
          </w:tcPr>
          <w:p>
            <w:pPr>
              <w:jc w:val="right"/>
              <w:ind w:right="579"/>
              <w:spacing w:after="0"/>
              <w:rPr>
                <w:sz w:val="20"/>
                <w:szCs w:val="20"/>
                <w:color w:val="auto"/>
              </w:rPr>
            </w:pPr>
            <w:r>
              <w:rPr>
                <w:rFonts w:ascii="Arial" w:cs="Arial" w:eastAsia="Arial" w:hAnsi="Arial"/>
                <w:sz w:val="14"/>
                <w:szCs w:val="14"/>
                <w:b w:val="1"/>
                <w:bCs w:val="1"/>
                <w:color w:val="FFFFFF"/>
              </w:rPr>
              <w:t>2017</w:t>
            </w:r>
          </w:p>
        </w:tc>
      </w:tr>
      <w:tr>
        <w:trPr>
          <w:trHeight w:val="191"/>
        </w:trPr>
        <w:tc>
          <w:tcPr>
            <w:tcW w:w="3280" w:type="dxa"/>
            <w:vAlign w:val="bottom"/>
            <w:tcBorders>
              <w:left w:val="single" w:sz="8" w:color="DD924E"/>
            </w:tcBorders>
            <w:shd w:val="clear" w:color="auto" w:fill="DD924E"/>
          </w:tcPr>
          <w:p>
            <w:pPr>
              <w:spacing w:after="0"/>
              <w:rPr>
                <w:sz w:val="16"/>
                <w:szCs w:val="16"/>
                <w:color w:val="auto"/>
              </w:rPr>
            </w:pPr>
          </w:p>
        </w:tc>
        <w:tc>
          <w:tcPr>
            <w:tcW w:w="260" w:type="dxa"/>
            <w:vAlign w:val="bottom"/>
            <w:shd w:val="clear" w:color="auto" w:fill="DD924E"/>
          </w:tcPr>
          <w:p>
            <w:pPr>
              <w:spacing w:after="0"/>
              <w:rPr>
                <w:sz w:val="16"/>
                <w:szCs w:val="16"/>
                <w:color w:val="auto"/>
              </w:rPr>
            </w:pPr>
          </w:p>
        </w:tc>
        <w:tc>
          <w:tcPr>
            <w:tcW w:w="1440" w:type="dxa"/>
            <w:vAlign w:val="bottom"/>
            <w:tcBorders>
              <w:right w:val="single" w:sz="8" w:color="DD924E"/>
            </w:tcBorders>
            <w:shd w:val="clear" w:color="auto" w:fill="DD924E"/>
          </w:tcPr>
          <w:p>
            <w:pPr>
              <w:jc w:val="right"/>
              <w:ind w:right="259"/>
              <w:spacing w:after="0"/>
              <w:rPr>
                <w:sz w:val="20"/>
                <w:szCs w:val="20"/>
                <w:color w:val="auto"/>
              </w:rPr>
            </w:pPr>
            <w:r>
              <w:rPr>
                <w:rFonts w:ascii="Arial" w:cs="Arial" w:eastAsia="Arial" w:hAnsi="Arial"/>
                <w:sz w:val="14"/>
                <w:szCs w:val="14"/>
                <w:b w:val="1"/>
                <w:bCs w:val="1"/>
                <w:color w:val="FFFFFF"/>
              </w:rPr>
              <w:t>(in thousands)</w:t>
            </w:r>
          </w:p>
        </w:tc>
      </w:tr>
      <w:tr>
        <w:trPr>
          <w:trHeight w:val="244"/>
        </w:trPr>
        <w:tc>
          <w:tcPr>
            <w:tcW w:w="3280" w:type="dxa"/>
            <w:vAlign w:val="bottom"/>
            <w:tcBorders>
              <w:left w:val="single" w:sz="8" w:color="DD924E"/>
            </w:tcBorders>
            <w:shd w:val="clear" w:color="auto" w:fill="FBF4ED"/>
          </w:tcPr>
          <w:p>
            <w:pPr>
              <w:ind w:left="140"/>
              <w:spacing w:after="0"/>
              <w:rPr>
                <w:sz w:val="20"/>
                <w:szCs w:val="20"/>
                <w:color w:val="auto"/>
              </w:rPr>
            </w:pPr>
            <w:r>
              <w:rPr>
                <w:rFonts w:ascii="Arial" w:cs="Arial" w:eastAsia="Arial" w:hAnsi="Arial"/>
                <w:sz w:val="17"/>
                <w:szCs w:val="17"/>
                <w:color w:val="auto"/>
              </w:rPr>
              <w:t>Audit Fees</w:t>
            </w:r>
          </w:p>
        </w:tc>
        <w:tc>
          <w:tcPr>
            <w:tcW w:w="260" w:type="dxa"/>
            <w:vAlign w:val="bottom"/>
            <w:shd w:val="clear" w:color="auto" w:fill="FBF4ED"/>
          </w:tcPr>
          <w:p>
            <w:pPr>
              <w:jc w:val="right"/>
              <w:ind w:right="75"/>
              <w:spacing w:after="0"/>
              <w:rPr>
                <w:sz w:val="20"/>
                <w:szCs w:val="20"/>
                <w:color w:val="auto"/>
              </w:rPr>
            </w:pPr>
            <w:r>
              <w:rPr>
                <w:rFonts w:ascii="Arial" w:cs="Arial" w:eastAsia="Arial" w:hAnsi="Arial"/>
                <w:sz w:val="17"/>
                <w:szCs w:val="17"/>
                <w:color w:val="auto"/>
                <w:w w:val="84"/>
              </w:rPr>
              <w:t>$</w:t>
            </w:r>
          </w:p>
        </w:tc>
        <w:tc>
          <w:tcPr>
            <w:tcW w:w="1440" w:type="dxa"/>
            <w:vAlign w:val="bottom"/>
            <w:tcBorders>
              <w:right w:val="single" w:sz="8" w:color="DD924E"/>
            </w:tcBorders>
            <w:shd w:val="clear" w:color="auto" w:fill="FBF4ED"/>
          </w:tcPr>
          <w:p>
            <w:pPr>
              <w:jc w:val="right"/>
              <w:ind w:right="79"/>
              <w:spacing w:after="0"/>
              <w:rPr>
                <w:sz w:val="20"/>
                <w:szCs w:val="20"/>
                <w:color w:val="auto"/>
              </w:rPr>
            </w:pPr>
            <w:r>
              <w:rPr>
                <w:rFonts w:ascii="Arial" w:cs="Arial" w:eastAsia="Arial" w:hAnsi="Arial"/>
                <w:sz w:val="17"/>
                <w:szCs w:val="17"/>
                <w:color w:val="auto"/>
              </w:rPr>
              <w:t>1,479</w:t>
            </w:r>
          </w:p>
        </w:tc>
      </w:tr>
      <w:tr>
        <w:trPr>
          <w:trHeight w:val="237"/>
        </w:trPr>
        <w:tc>
          <w:tcPr>
            <w:tcW w:w="3280" w:type="dxa"/>
            <w:vAlign w:val="bottom"/>
            <w:tcBorders>
              <w:left w:val="single" w:sz="8" w:color="DD924E"/>
            </w:tcBorders>
          </w:tcPr>
          <w:p>
            <w:pPr>
              <w:ind w:left="140"/>
              <w:spacing w:after="0"/>
              <w:rPr>
                <w:sz w:val="20"/>
                <w:szCs w:val="20"/>
                <w:color w:val="auto"/>
              </w:rPr>
            </w:pPr>
            <w:r>
              <w:rPr>
                <w:rFonts w:ascii="Arial" w:cs="Arial" w:eastAsia="Arial" w:hAnsi="Arial"/>
                <w:sz w:val="17"/>
                <w:szCs w:val="17"/>
                <w:color w:val="auto"/>
              </w:rPr>
              <w:t>Audit-Related Fees</w:t>
            </w:r>
          </w:p>
        </w:tc>
        <w:tc>
          <w:tcPr>
            <w:tcW w:w="260" w:type="dxa"/>
            <w:vAlign w:val="bottom"/>
          </w:tcPr>
          <w:p>
            <w:pPr>
              <w:spacing w:after="0"/>
              <w:rPr>
                <w:sz w:val="20"/>
                <w:szCs w:val="20"/>
                <w:color w:val="auto"/>
              </w:rPr>
            </w:pPr>
          </w:p>
        </w:tc>
        <w:tc>
          <w:tcPr>
            <w:tcW w:w="1440" w:type="dxa"/>
            <w:vAlign w:val="bottom"/>
            <w:tcBorders>
              <w:right w:val="single" w:sz="8" w:color="DD924E"/>
            </w:tcBorders>
          </w:tcPr>
          <w:p>
            <w:pPr>
              <w:jc w:val="right"/>
              <w:ind w:right="79"/>
              <w:spacing w:after="0"/>
              <w:rPr>
                <w:sz w:val="20"/>
                <w:szCs w:val="20"/>
                <w:color w:val="auto"/>
              </w:rPr>
            </w:pPr>
            <w:r>
              <w:rPr>
                <w:rFonts w:ascii="Arial" w:cs="Arial" w:eastAsia="Arial" w:hAnsi="Arial"/>
                <w:sz w:val="17"/>
                <w:szCs w:val="17"/>
                <w:color w:val="auto"/>
              </w:rPr>
              <w:t>475</w:t>
            </w:r>
          </w:p>
        </w:tc>
      </w:tr>
      <w:tr>
        <w:trPr>
          <w:trHeight w:val="251"/>
        </w:trPr>
        <w:tc>
          <w:tcPr>
            <w:tcW w:w="3280" w:type="dxa"/>
            <w:vAlign w:val="bottom"/>
            <w:tcBorders>
              <w:left w:val="single" w:sz="8" w:color="DD924E"/>
            </w:tcBorders>
            <w:shd w:val="clear" w:color="auto" w:fill="FBF4ED"/>
          </w:tcPr>
          <w:p>
            <w:pPr>
              <w:ind w:left="140"/>
              <w:spacing w:after="0"/>
              <w:rPr>
                <w:sz w:val="20"/>
                <w:szCs w:val="20"/>
                <w:color w:val="auto"/>
              </w:rPr>
            </w:pPr>
            <w:r>
              <w:rPr>
                <w:rFonts w:ascii="Arial" w:cs="Arial" w:eastAsia="Arial" w:hAnsi="Arial"/>
                <w:sz w:val="17"/>
                <w:szCs w:val="17"/>
                <w:color w:val="auto"/>
              </w:rPr>
              <w:t>Tax Fees</w:t>
            </w:r>
          </w:p>
        </w:tc>
        <w:tc>
          <w:tcPr>
            <w:tcW w:w="260" w:type="dxa"/>
            <w:vAlign w:val="bottom"/>
            <w:shd w:val="clear" w:color="auto" w:fill="FBF4ED"/>
          </w:tcPr>
          <w:p>
            <w:pPr>
              <w:spacing w:after="0"/>
              <w:rPr>
                <w:sz w:val="21"/>
                <w:szCs w:val="21"/>
                <w:color w:val="auto"/>
              </w:rPr>
            </w:pPr>
          </w:p>
        </w:tc>
        <w:tc>
          <w:tcPr>
            <w:tcW w:w="1440" w:type="dxa"/>
            <w:vAlign w:val="bottom"/>
            <w:tcBorders>
              <w:right w:val="single" w:sz="8" w:color="DD924E"/>
            </w:tcBorders>
            <w:shd w:val="clear" w:color="auto" w:fill="FBF4ED"/>
          </w:tcPr>
          <w:p>
            <w:pPr>
              <w:jc w:val="right"/>
              <w:ind w:right="79"/>
              <w:spacing w:after="0"/>
              <w:rPr>
                <w:sz w:val="20"/>
                <w:szCs w:val="20"/>
                <w:color w:val="auto"/>
              </w:rPr>
            </w:pPr>
            <w:r>
              <w:rPr>
                <w:rFonts w:ascii="Arial" w:cs="Arial" w:eastAsia="Arial" w:hAnsi="Arial"/>
                <w:sz w:val="17"/>
                <w:szCs w:val="17"/>
                <w:color w:val="auto"/>
              </w:rPr>
              <w:t>71</w:t>
            </w:r>
          </w:p>
        </w:tc>
      </w:tr>
      <w:tr>
        <w:trPr>
          <w:trHeight w:val="237"/>
        </w:trPr>
        <w:tc>
          <w:tcPr>
            <w:tcW w:w="3280" w:type="dxa"/>
            <w:vAlign w:val="bottom"/>
            <w:tcBorders>
              <w:left w:val="single" w:sz="8" w:color="DD924E"/>
            </w:tcBorders>
          </w:tcPr>
          <w:p>
            <w:pPr>
              <w:ind w:left="140"/>
              <w:spacing w:after="0"/>
              <w:rPr>
                <w:sz w:val="20"/>
                <w:szCs w:val="20"/>
                <w:color w:val="auto"/>
              </w:rPr>
            </w:pPr>
            <w:r>
              <w:rPr>
                <w:rFonts w:ascii="Arial" w:cs="Arial" w:eastAsia="Arial" w:hAnsi="Arial"/>
                <w:sz w:val="17"/>
                <w:szCs w:val="17"/>
                <w:color w:val="auto"/>
              </w:rPr>
              <w:t>All Other Fees</w:t>
            </w:r>
          </w:p>
        </w:tc>
        <w:tc>
          <w:tcPr>
            <w:tcW w:w="260" w:type="dxa"/>
            <w:vAlign w:val="bottom"/>
          </w:tcPr>
          <w:p>
            <w:pPr>
              <w:spacing w:after="0"/>
              <w:rPr>
                <w:sz w:val="20"/>
                <w:szCs w:val="20"/>
                <w:color w:val="auto"/>
              </w:rPr>
            </w:pPr>
          </w:p>
        </w:tc>
        <w:tc>
          <w:tcPr>
            <w:tcW w:w="1440" w:type="dxa"/>
            <w:vAlign w:val="bottom"/>
            <w:tcBorders>
              <w:right w:val="single" w:sz="8" w:color="DD924E"/>
            </w:tcBorders>
          </w:tcPr>
          <w:p>
            <w:pPr>
              <w:jc w:val="right"/>
              <w:ind w:right="79"/>
              <w:spacing w:after="0"/>
              <w:rPr>
                <w:sz w:val="20"/>
                <w:szCs w:val="20"/>
                <w:color w:val="auto"/>
              </w:rPr>
            </w:pPr>
            <w:r>
              <w:rPr>
                <w:rFonts w:ascii="Arial" w:cs="Arial" w:eastAsia="Arial" w:hAnsi="Arial"/>
                <w:sz w:val="17"/>
                <w:szCs w:val="17"/>
                <w:color w:val="auto"/>
              </w:rPr>
              <w:t>—</w:t>
            </w:r>
          </w:p>
        </w:tc>
      </w:tr>
      <w:tr>
        <w:trPr>
          <w:trHeight w:val="244"/>
        </w:trPr>
        <w:tc>
          <w:tcPr>
            <w:tcW w:w="3280" w:type="dxa"/>
            <w:vAlign w:val="bottom"/>
            <w:tcBorders>
              <w:left w:val="single" w:sz="8" w:color="DD924E"/>
              <w:bottom w:val="single" w:sz="8" w:color="DD924E"/>
            </w:tcBorders>
            <w:shd w:val="clear" w:color="auto" w:fill="FBF4ED"/>
          </w:tcPr>
          <w:p>
            <w:pPr>
              <w:ind w:left="140"/>
              <w:spacing w:after="0"/>
              <w:rPr>
                <w:sz w:val="20"/>
                <w:szCs w:val="20"/>
                <w:color w:val="auto"/>
              </w:rPr>
            </w:pPr>
            <w:r>
              <w:rPr>
                <w:rFonts w:ascii="Arial" w:cs="Arial" w:eastAsia="Arial" w:hAnsi="Arial"/>
                <w:sz w:val="17"/>
                <w:szCs w:val="17"/>
                <w:b w:val="1"/>
                <w:bCs w:val="1"/>
                <w:color w:val="auto"/>
              </w:rPr>
              <w:t>Total</w:t>
            </w:r>
          </w:p>
        </w:tc>
        <w:tc>
          <w:tcPr>
            <w:tcW w:w="260" w:type="dxa"/>
            <w:vAlign w:val="bottom"/>
            <w:tcBorders>
              <w:bottom w:val="single" w:sz="8" w:color="DD924E"/>
            </w:tcBorders>
            <w:shd w:val="clear" w:color="auto" w:fill="FBF4ED"/>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440" w:type="dxa"/>
            <w:vAlign w:val="bottom"/>
            <w:tcBorders>
              <w:bottom w:val="single" w:sz="8" w:color="DD924E"/>
              <w:right w:val="single" w:sz="8" w:color="DD924E"/>
            </w:tcBorders>
            <w:shd w:val="clear" w:color="auto" w:fill="FBF4ED"/>
          </w:tcPr>
          <w:p>
            <w:pPr>
              <w:jc w:val="right"/>
              <w:ind w:right="79"/>
              <w:spacing w:after="0"/>
              <w:rPr>
                <w:sz w:val="20"/>
                <w:szCs w:val="20"/>
                <w:color w:val="auto"/>
              </w:rPr>
            </w:pPr>
            <w:r>
              <w:rPr>
                <w:rFonts w:ascii="Arial" w:cs="Arial" w:eastAsia="Arial" w:hAnsi="Arial"/>
                <w:sz w:val="17"/>
                <w:szCs w:val="17"/>
                <w:b w:val="1"/>
                <w:bCs w:val="1"/>
                <w:color w:val="auto"/>
              </w:rPr>
              <w:t>2,025</w:t>
            </w:r>
          </w:p>
        </w:tc>
      </w:tr>
    </w:tbl>
    <w:p>
      <w:pPr>
        <w:spacing w:after="0" w:line="140" w:lineRule="exact"/>
        <w:rPr>
          <w:sz w:val="20"/>
          <w:szCs w:val="20"/>
          <w:color w:val="auto"/>
        </w:rPr>
      </w:pPr>
    </w:p>
    <w:p>
      <w:pPr>
        <w:ind w:left="160" w:right="59"/>
        <w:spacing w:after="0" w:line="247" w:lineRule="auto"/>
        <w:rPr>
          <w:sz w:val="20"/>
          <w:szCs w:val="20"/>
          <w:color w:val="auto"/>
        </w:rPr>
      </w:pPr>
      <w:r>
        <w:rPr>
          <w:rFonts w:ascii="Arial" w:cs="Arial" w:eastAsia="Arial" w:hAnsi="Arial"/>
          <w:sz w:val="17"/>
          <w:szCs w:val="17"/>
          <w:color w:val="auto"/>
        </w:rPr>
        <w:t>For more information on our auditors, including individual components of 2017 audit fees and our change in auditors, see page 71.</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1" w:name="page12"/>
    <w:bookmarkEnd w:id="11"/>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INFORMATION CONCERNING VOTING AND SOLICITATION</w:t>
      </w:r>
    </w:p>
    <w:p>
      <w:pPr>
        <w:spacing w:after="0" w:line="162" w:lineRule="exact"/>
        <w:rPr>
          <w:sz w:val="20"/>
          <w:szCs w:val="20"/>
          <w:color w:val="auto"/>
        </w:rPr>
      </w:pPr>
    </w:p>
    <w:p>
      <w:pPr>
        <w:jc w:val="both"/>
        <w:ind w:left="160" w:right="59"/>
        <w:spacing w:after="0" w:line="213" w:lineRule="auto"/>
        <w:rPr>
          <w:sz w:val="20"/>
          <w:szCs w:val="20"/>
          <w:color w:val="auto"/>
        </w:rPr>
      </w:pPr>
      <w:r>
        <w:rPr>
          <w:rFonts w:ascii="Arial" w:cs="Arial" w:eastAsia="Arial" w:hAnsi="Arial"/>
          <w:sz w:val="17"/>
          <w:szCs w:val="17"/>
          <w:color w:val="auto"/>
        </w:rPr>
        <w:t>This Proxy Statement is being furnished to you in connection with the solicitation by the board of directors of ExlService Holdings, Inc., a Delaware corporation (“us,” “we,” “our” or the “Company”), of proxies to be used at our 2018 Annual Meeting of Stockholders (the “Annual Meeting”) to be held at the New York offices of the Company, 280 Park Avenue, 38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 New York, New York, 10017 on June 15, 2018, at 8:30 AM, Eastern Time, and any adjournments or postponements thereof.</w:t>
      </w:r>
    </w:p>
    <w:p>
      <w:pPr>
        <w:spacing w:after="0" w:line="133" w:lineRule="exact"/>
        <w:rPr>
          <w:sz w:val="20"/>
          <w:szCs w:val="20"/>
          <w:color w:val="auto"/>
        </w:rPr>
      </w:pPr>
    </w:p>
    <w:p>
      <w:pPr>
        <w:jc w:val="both"/>
        <w:ind w:left="160" w:right="59"/>
        <w:spacing w:after="0" w:line="238" w:lineRule="auto"/>
        <w:rPr>
          <w:sz w:val="20"/>
          <w:szCs w:val="20"/>
          <w:color w:val="auto"/>
        </w:rPr>
      </w:pPr>
      <w:r>
        <w:rPr>
          <w:rFonts w:ascii="Arial" w:cs="Arial" w:eastAsia="Arial" w:hAnsi="Arial"/>
          <w:sz w:val="17"/>
          <w:szCs w:val="17"/>
          <w:color w:val="auto"/>
        </w:rPr>
        <w:t>In accordance with rules and regulations adopted by the Securities and Exchange Commission (the “SEC”), instead of mailing a printed copy of our proxy materials to each stockholder of record, the Company furnishes proxy materials via the Internet. If you received a Notice of Internet Availability of Proxy Materials (the “Internet Notice”) by mail, you will not receive a printed copy of our proxy materials other than as described herein. Instead, the Internet Notice will instruct you as to how you may access and review all of the important information contained in the proxy materials. The Internet Notice also instructs you as to how you may submit your proxy over the Internet or by phone. If you received an Internet Notice by mail and would like to receive a printed copy of our proxy materials, you should follow the instructions for requesting proxy materials included in the Internet Notice.</w:t>
      </w:r>
    </w:p>
    <w:p>
      <w:pPr>
        <w:spacing w:after="0" w:line="129"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It is anticipated that the Internet Notice will be sent to stockholders on or about April 27, 2018. This proxy statement and the form of proxy relating to the Annual Meeting will be made available via the Internet to stockholders on or prior to the date that the Internet Notice is first sent.</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Who Can Vote</w:t>
      </w:r>
    </w:p>
    <w:p>
      <w:pPr>
        <w:spacing w:after="0" w:line="162"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Only stockholders who own shares of our common stock at the close of business on April 23, 2018, the record date for the Annual Meeting, can vote at the Annual Meeting. As of the close of business on April 23, 2018, the record date, we had 34,550,878 shares of common stock outstanding and entitled to vote. Each holder of common stock is entitled to one vote for each share held as of the record date for the Annual Meeting. There is no cumulative voting in the election of directors.</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How You Can Vote</w:t>
      </w:r>
    </w:p>
    <w:p>
      <w:pPr>
        <w:spacing w:after="0" w:line="149" w:lineRule="exact"/>
        <w:rPr>
          <w:sz w:val="20"/>
          <w:szCs w:val="20"/>
          <w:color w:val="auto"/>
        </w:rPr>
      </w:pPr>
    </w:p>
    <w:p>
      <w:pPr>
        <w:jc w:val="both"/>
        <w:ind w:left="160" w:right="79"/>
        <w:spacing w:after="0" w:line="238" w:lineRule="auto"/>
        <w:rPr>
          <w:sz w:val="20"/>
          <w:szCs w:val="20"/>
          <w:color w:val="auto"/>
        </w:rPr>
      </w:pPr>
      <w:r>
        <w:rPr>
          <w:rFonts w:ascii="Arial" w:cs="Arial" w:eastAsia="Arial" w:hAnsi="Arial"/>
          <w:sz w:val="17"/>
          <w:szCs w:val="17"/>
          <w:color w:val="auto"/>
        </w:rPr>
        <w:t>If your shares are registered directly in your name with Computershare Trust Company, N.A., our transfer agent (which means you are a “stockholder of record”), you can vote your proxy by (i) Internet, (ii) by phone or (iii) by requesting that proxy materials be sent to you by mail that will include a proxy card that you can use to vote by completing, signing, dating and returning the proxy card in the prepaid postage envelope provided. Please refer to the specific instructions set forth in the Internet Notice. You will not be able to vote your shares unless you use one of the methods above to designate a proxy or by attending the Annual Meeting.</w:t>
      </w:r>
    </w:p>
    <w:p>
      <w:pPr>
        <w:spacing w:after="0" w:line="132" w:lineRule="exact"/>
        <w:rPr>
          <w:sz w:val="20"/>
          <w:szCs w:val="20"/>
          <w:color w:val="auto"/>
        </w:rPr>
      </w:pPr>
    </w:p>
    <w:p>
      <w:pPr>
        <w:jc w:val="both"/>
        <w:ind w:left="160" w:right="59"/>
        <w:spacing w:after="0" w:line="238" w:lineRule="auto"/>
        <w:rPr>
          <w:sz w:val="20"/>
          <w:szCs w:val="20"/>
          <w:color w:val="auto"/>
        </w:rPr>
      </w:pPr>
      <w:r>
        <w:rPr>
          <w:rFonts w:ascii="Arial" w:cs="Arial" w:eastAsia="Arial" w:hAnsi="Arial"/>
          <w:sz w:val="17"/>
          <w:szCs w:val="17"/>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 In addition to voting by mail, a number of banks and brokerage firms participate in a program provided through Broadridge Financial Solutions, Inc. (“Broadridge”) that offers telephone and Internet voting options. Votes submitted by telephone or by using the Internet through Broadridge’s program must be received by 11:59 p.m. Eastern Time, on June 14, 2018.</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2" w:name="page13"/>
    <w:bookmarkEnd w:id="12"/>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Voting at the Annual Meeting</w:t>
      </w:r>
    </w:p>
    <w:p>
      <w:pPr>
        <w:spacing w:after="0" w:line="149" w:lineRule="exact"/>
        <w:rPr>
          <w:sz w:val="20"/>
          <w:szCs w:val="20"/>
          <w:color w:val="auto"/>
        </w:rPr>
      </w:pPr>
    </w:p>
    <w:p>
      <w:pPr>
        <w:jc w:val="both"/>
        <w:ind w:left="160" w:right="59"/>
        <w:spacing w:after="0" w:line="238" w:lineRule="auto"/>
        <w:rPr>
          <w:sz w:val="20"/>
          <w:szCs w:val="20"/>
          <w:color w:val="auto"/>
        </w:rPr>
      </w:pPr>
      <w:r>
        <w:rPr>
          <w:rFonts w:ascii="Arial" w:cs="Arial" w:eastAsia="Arial" w:hAnsi="Arial"/>
          <w:sz w:val="17"/>
          <w:szCs w:val="17"/>
          <w:color w:val="auto"/>
        </w:rPr>
        <w:t>Voting by Internet, phone or mail will not limit your right to vote at the Annual Meeting if you decide to attend in person. Our board of directors recommends that you vote by Internet, phone or mail as it is not practical for most stockholders to attend the Annual Meeting. If you are a “stockholder of record,” you may vote your shares in person at the Annual Meeting. If you hold your shares in “street name,” you must obtain a proxy from your broker, bank, trustee or nominee giving you the right to vote the shares at the Annual Meeting or your vote at the Annual Meeting will not be counted.</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Revocation of Proxies</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You can revoke your proxy at any time before it is exercised in any of the following ways:</w:t>
      </w:r>
    </w:p>
    <w:p>
      <w:pPr>
        <w:spacing w:after="0" w:line="125" w:lineRule="exact"/>
        <w:rPr>
          <w:sz w:val="20"/>
          <w:szCs w:val="20"/>
          <w:color w:val="auto"/>
        </w:rPr>
      </w:pPr>
    </w:p>
    <w:p>
      <w:pPr>
        <w:ind w:left="840" w:hanging="345"/>
        <w:spacing w:after="0"/>
        <w:tabs>
          <w:tab w:leader="none" w:pos="840" w:val="left"/>
        </w:tabs>
        <w:numPr>
          <w:ilvl w:val="0"/>
          <w:numId w:val="13"/>
        </w:numPr>
        <w:rPr>
          <w:rFonts w:ascii="Arial" w:cs="Arial" w:eastAsia="Arial" w:hAnsi="Arial"/>
          <w:sz w:val="17"/>
          <w:szCs w:val="17"/>
          <w:color w:val="DD924E"/>
        </w:rPr>
      </w:pPr>
      <w:r>
        <w:rPr>
          <w:rFonts w:ascii="Arial" w:cs="Arial" w:eastAsia="Arial" w:hAnsi="Arial"/>
          <w:sz w:val="17"/>
          <w:szCs w:val="17"/>
          <w:color w:val="auto"/>
        </w:rPr>
        <w:t>by voting in person at the Annual Meeting;</w:t>
      </w:r>
    </w:p>
    <w:p>
      <w:pPr>
        <w:spacing w:after="0" w:line="137" w:lineRule="exact"/>
        <w:rPr>
          <w:rFonts w:ascii="Arial" w:cs="Arial" w:eastAsia="Arial" w:hAnsi="Arial"/>
          <w:sz w:val="17"/>
          <w:szCs w:val="17"/>
          <w:color w:val="DD924E"/>
        </w:rPr>
      </w:pPr>
    </w:p>
    <w:p>
      <w:pPr>
        <w:ind w:left="840" w:hanging="345"/>
        <w:spacing w:after="0"/>
        <w:tabs>
          <w:tab w:leader="none" w:pos="840" w:val="left"/>
        </w:tabs>
        <w:numPr>
          <w:ilvl w:val="0"/>
          <w:numId w:val="13"/>
        </w:numPr>
        <w:rPr>
          <w:rFonts w:ascii="Arial" w:cs="Arial" w:eastAsia="Arial" w:hAnsi="Arial"/>
          <w:sz w:val="17"/>
          <w:szCs w:val="17"/>
          <w:color w:val="DD924E"/>
        </w:rPr>
      </w:pPr>
      <w:r>
        <w:rPr>
          <w:rFonts w:ascii="Arial" w:cs="Arial" w:eastAsia="Arial" w:hAnsi="Arial"/>
          <w:sz w:val="17"/>
          <w:szCs w:val="17"/>
          <w:color w:val="auto"/>
        </w:rPr>
        <w:t>by submitting written notice of revocation to the inspector of elections prior to the Annual Meeting; or</w:t>
      </w:r>
    </w:p>
    <w:p>
      <w:pPr>
        <w:spacing w:after="0" w:line="137" w:lineRule="exact"/>
        <w:rPr>
          <w:rFonts w:ascii="Arial" w:cs="Arial" w:eastAsia="Arial" w:hAnsi="Arial"/>
          <w:sz w:val="17"/>
          <w:szCs w:val="17"/>
          <w:color w:val="DD924E"/>
        </w:rPr>
      </w:pPr>
    </w:p>
    <w:p>
      <w:pPr>
        <w:ind w:left="840" w:right="79" w:hanging="345"/>
        <w:spacing w:after="0" w:line="247" w:lineRule="auto"/>
        <w:tabs>
          <w:tab w:leader="none" w:pos="840" w:val="left"/>
        </w:tabs>
        <w:numPr>
          <w:ilvl w:val="0"/>
          <w:numId w:val="13"/>
        </w:numPr>
        <w:rPr>
          <w:rFonts w:ascii="Arial" w:cs="Arial" w:eastAsia="Arial" w:hAnsi="Arial"/>
          <w:sz w:val="17"/>
          <w:szCs w:val="17"/>
          <w:color w:val="DD924E"/>
        </w:rPr>
      </w:pPr>
      <w:r>
        <w:rPr>
          <w:rFonts w:ascii="Arial" w:cs="Arial" w:eastAsia="Arial" w:hAnsi="Arial"/>
          <w:sz w:val="17"/>
          <w:szCs w:val="17"/>
          <w:color w:val="auto"/>
        </w:rPr>
        <w:t>by submitting another properly executed proxy of a later date to the inspector of elections prior to the Annual Meeting.</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Required Vote; Effect of Abstentions and Broker Non-Votes</w:t>
      </w:r>
    </w:p>
    <w:p>
      <w:pPr>
        <w:sectPr>
          <w:pgSz w:w="11900" w:h="16838" w:orient="portrait"/>
          <w:cols w:equalWidth="0" w:num="1">
            <w:col w:w="9019"/>
          </w:cols>
          <w:pgMar w:left="1440" w:top="1440" w:right="1440" w:bottom="1440" w:gutter="0" w:footer="0" w:header="0"/>
        </w:sectPr>
      </w:pPr>
    </w:p>
    <w:p>
      <w:pPr>
        <w:spacing w:after="0" w:line="14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Quorum</w:t>
      </w:r>
    </w:p>
    <w:p>
      <w:pPr>
        <w:spacing w:after="0" w:line="81" w:lineRule="exact"/>
        <w:rPr>
          <w:sz w:val="20"/>
          <w:szCs w:val="20"/>
          <w:color w:val="auto"/>
        </w:rPr>
      </w:pPr>
    </w:p>
    <w:p>
      <w:pPr>
        <w:jc w:val="both"/>
        <w:ind w:left="160" w:right="80"/>
        <w:spacing w:after="0" w:line="237" w:lineRule="auto"/>
        <w:rPr>
          <w:sz w:val="20"/>
          <w:szCs w:val="20"/>
          <w:color w:val="auto"/>
        </w:rPr>
      </w:pPr>
      <w:r>
        <w:rPr>
          <w:rFonts w:ascii="Arial" w:cs="Arial" w:eastAsia="Arial" w:hAnsi="Arial"/>
          <w:sz w:val="17"/>
          <w:szCs w:val="17"/>
          <w:color w:val="auto"/>
        </w:rPr>
        <w:t>A quorum, which is a majority of the issued and outstanding shares of our common stock as of April 23, 2018, must be present, in person or by proxy, to conduct business at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Proposal 1: Election of Directors</w:t>
      </w:r>
    </w:p>
    <w:p>
      <w:pPr>
        <w:spacing w:after="0" w:line="81" w:lineRule="exact"/>
        <w:rPr>
          <w:sz w:val="20"/>
          <w:szCs w:val="20"/>
          <w:color w:val="auto"/>
        </w:rPr>
      </w:pPr>
    </w:p>
    <w:p>
      <w:pPr>
        <w:jc w:val="both"/>
        <w:ind w:left="160" w:right="80"/>
        <w:spacing w:after="0" w:line="237" w:lineRule="auto"/>
        <w:rPr>
          <w:sz w:val="20"/>
          <w:szCs w:val="20"/>
          <w:color w:val="auto"/>
        </w:rPr>
      </w:pPr>
      <w:r>
        <w:rPr>
          <w:rFonts w:ascii="Arial" w:cs="Arial" w:eastAsia="Arial" w:hAnsi="Arial"/>
          <w:sz w:val="17"/>
          <w:szCs w:val="17"/>
          <w:color w:val="auto"/>
        </w:rPr>
        <w:t>Under our Fourth Amended and Restated By-Laws (our “by-laws”), directors who are standing for election at the Annual Meeting will be elected by the affirmative vote of a majority of votes cast (meaning the number of shares voted “for” a nominee must exceed the number of shares voted “against” such nominee) by stockholders in person or represented by proxy and entitled to vote at the Annual Meeting. If any incumbent nominee for director receives a greater number of votes “against” his or her election than votes “for” such election, our by-laws provide that such person shall tender to the board of directors his or her resignation as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a director. You may cast your vote in favor of electing all of the nominees as directors, against one or more nominees, or abstain from voting your shares. For purposes of the vote on Proposal 1, abstentions and broker non-votes (as described below) will have no effect on the results of the vote.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Proposals</w:t>
      </w:r>
    </w:p>
    <w:p>
      <w:pPr>
        <w:spacing w:after="0" w:line="81"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The ratification of the appointment of our independent registered public accounting firm, the advisory (non-binding) approval of the compensation of our named executive officers, the approval of the 2018 Omnibus Incentive Plan and each other item to be acted upon at the Annual Meeting will require the affirmative vote of a majority of shares present in person or represented by proxy and entitled to vote at the Annual Meeting. You may cast your vote in favor of or against these proposals or you may abstain from voting your shares. For purposes of the vote on Proposals 2 (ratification of the appointment of our independent registered public accounting firm), 3 (advisory (non-binding) vote on executive compensation), 4 (approval of the 2018 Omnibus Incentive Plan), or such other items properly presented and to be acted upon at the Annual Meeting, abstentions will have the effect of a vote against these proposals. Broker non-votes will</w:t>
      </w:r>
    </w:p>
    <w:p>
      <w:pPr>
        <w:spacing w:after="0" w:line="275" w:lineRule="exact"/>
        <w:rPr>
          <w:sz w:val="20"/>
          <w:szCs w:val="20"/>
          <w:color w:val="auto"/>
        </w:rPr>
      </w:pPr>
    </w:p>
    <w:p>
      <w:pPr>
        <w:sectPr>
          <w:pgSz w:w="11900" w:h="16838" w:orient="portrait"/>
          <w:cols w:equalWidth="0" w:num="2">
            <w:col w:w="4240" w:space="720"/>
            <w:col w:w="405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3" w:name="page14"/>
    <w:bookmarkEnd w:id="13"/>
    <w:p>
      <w:pPr>
        <w:spacing w:after="0" w:line="58" w:lineRule="exact"/>
        <w:rPr>
          <w:sz w:val="20"/>
          <w:szCs w:val="20"/>
          <w:color w:val="auto"/>
        </w:rPr>
      </w:pPr>
    </w:p>
    <w:p>
      <w:pPr>
        <w:jc w:val="both"/>
        <w:ind w:left="160" w:right="540"/>
        <w:spacing w:after="0" w:line="239" w:lineRule="auto"/>
        <w:rPr>
          <w:sz w:val="20"/>
          <w:szCs w:val="20"/>
          <w:color w:val="auto"/>
        </w:rPr>
      </w:pPr>
      <w:r>
        <w:rPr>
          <w:rFonts w:ascii="Arial" w:cs="Arial" w:eastAsia="Arial" w:hAnsi="Arial"/>
          <w:sz w:val="17"/>
          <w:szCs w:val="17"/>
          <w:color w:val="auto"/>
        </w:rPr>
        <w:t>have the effect of a vote against Proposals 3 and 4, but because Proposal 2 is a “routine” proposal where brokers have discretionary authority to vote in the absence of instruction, there will be no broker non-votes.</w:t>
      </w:r>
    </w:p>
    <w:p>
      <w:pPr>
        <w:spacing w:after="0" w:line="116" w:lineRule="exact"/>
        <w:rPr>
          <w:sz w:val="20"/>
          <w:szCs w:val="20"/>
          <w:color w:val="auto"/>
        </w:rPr>
      </w:pPr>
    </w:p>
    <w:p>
      <w:pPr>
        <w:jc w:val="both"/>
        <w:ind w:left="160" w:right="540"/>
        <w:spacing w:after="0" w:line="236" w:lineRule="auto"/>
        <w:rPr>
          <w:sz w:val="20"/>
          <w:szCs w:val="20"/>
          <w:color w:val="auto"/>
        </w:rPr>
      </w:pPr>
      <w:r>
        <w:rPr>
          <w:rFonts w:ascii="Arial" w:cs="Arial" w:eastAsia="Arial" w:hAnsi="Arial"/>
          <w:sz w:val="17"/>
          <w:szCs w:val="17"/>
          <w:color w:val="auto"/>
        </w:rPr>
        <w:t>If you submit your proxy, but do not mark your voting preference, the proxy holders will vote your shares</w:t>
      </w:r>
    </w:p>
    <w:p>
      <w:pPr>
        <w:jc w:val="both"/>
        <w:ind w:left="160" w:right="540" w:hanging="4"/>
        <w:spacing w:after="0" w:line="237" w:lineRule="auto"/>
        <w:tabs>
          <w:tab w:leader="none" w:pos="372"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the election of the nominees for director, (ii) FOR the ratification of the appointment of our independent registered public accounting firm, (iii) FOR the approval on an advisory (non-binding) basis of the compensation of our named executive officers, (iv) FOR the approval of the 2018 Omnibus Incentive Plan, and (v) as described below, in the judgment of the proxy holder on any other matters properly presented at the Annual Meeting.</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Shares Held in “Street Name” by a Broker</w:t>
      </w:r>
    </w:p>
    <w:p>
      <w:pPr>
        <w:spacing w:after="0" w:line="81" w:lineRule="exact"/>
        <w:rPr>
          <w:sz w:val="20"/>
          <w:szCs w:val="20"/>
          <w:color w:val="auto"/>
        </w:rPr>
      </w:pPr>
    </w:p>
    <w:p>
      <w:pPr>
        <w:jc w:val="both"/>
        <w:ind w:left="160" w:right="560"/>
        <w:spacing w:after="0" w:line="241" w:lineRule="auto"/>
        <w:rPr>
          <w:sz w:val="20"/>
          <w:szCs w:val="20"/>
          <w:color w:val="auto"/>
        </w:rPr>
      </w:pPr>
      <w:r>
        <w:rPr>
          <w:rFonts w:ascii="Arial" w:cs="Arial" w:eastAsia="Arial" w:hAnsi="Arial"/>
          <w:sz w:val="17"/>
          <w:szCs w:val="17"/>
          <w:color w:val="auto"/>
        </w:rPr>
        <w:t>If you are the beneficial owner of shares held in “street name” by a broker, then your broker, as the record holder of the shares, must</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18DC8"/>
        </w:rPr>
        <w:t>Other Matters to Be Acted Upon at the Meeting</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both"/>
        <w:ind w:right="59"/>
        <w:spacing w:after="0" w:line="237" w:lineRule="auto"/>
        <w:rPr>
          <w:sz w:val="20"/>
          <w:szCs w:val="20"/>
          <w:color w:val="auto"/>
        </w:rPr>
      </w:pPr>
      <w:r>
        <w:rPr>
          <w:rFonts w:ascii="Arial" w:cs="Arial" w:eastAsia="Arial" w:hAnsi="Arial"/>
          <w:sz w:val="17"/>
          <w:szCs w:val="17"/>
          <w:color w:val="auto"/>
        </w:rPr>
        <w:t>vote those shares in accordance with your instructions. If you fail to provide instructions to your broker, under the New York Stock Exchange rules (which apply to brokers even though our shares are listed on the NASDAQ Stock Market), your broker will not be authorized to exercise its discretion and vote your shares on “non-routine” proposals, including the election of directors, approval on an advisory (non-binding) basis of the compensation of our named executive officers and approval of the 2018 Omnibus Incentive Plan. As a result, a “broker non-vote” occurs. However, without your instructions, your broker would have discretionary authority to vote your shares only with respect to “routine” proposals, which at the Annual Meeting is the ratification of the appointment of our independent registered public accounting firm.</w:t>
      </w:r>
    </w:p>
    <w:p>
      <w:pPr>
        <w:spacing w:after="0" w:line="1475" w:lineRule="exact"/>
        <w:rPr>
          <w:sz w:val="20"/>
          <w:szCs w:val="20"/>
          <w:color w:val="auto"/>
        </w:rPr>
      </w:pPr>
    </w:p>
    <w:p>
      <w:pPr>
        <w:sectPr>
          <w:pgSz w:w="11900" w:h="16838" w:orient="portrait"/>
          <w:cols w:equalWidth="0" w:num="2">
            <w:col w:w="4700" w:space="260"/>
            <w:col w:w="4059"/>
          </w:cols>
          <w:pgMar w:left="1440" w:top="1440" w:right="1440" w:bottom="1440" w:gutter="0" w:footer="0" w:header="0"/>
        </w:sectPr>
      </w:pPr>
    </w:p>
    <w:p>
      <w:pPr>
        <w:jc w:val="both"/>
        <w:ind w:left="160" w:right="59"/>
        <w:spacing w:after="0"/>
        <w:rPr>
          <w:sz w:val="20"/>
          <w:szCs w:val="20"/>
          <w:color w:val="auto"/>
        </w:rPr>
      </w:pPr>
      <w:r>
        <w:rPr>
          <w:rFonts w:ascii="Arial" w:cs="Arial" w:eastAsia="Arial" w:hAnsi="Arial"/>
          <w:sz w:val="17"/>
          <w:szCs w:val="17"/>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Adjournments and Postponements</w:t>
      </w:r>
    </w:p>
    <w:p>
      <w:pPr>
        <w:spacing w:after="0" w:line="149"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Solicitation of Proxies</w:t>
      </w:r>
    </w:p>
    <w:p>
      <w:pPr>
        <w:spacing w:after="0" w:line="162"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We will pay the cost of printing and mailing proxy materials and posting them on the Internet. Upon request, we will reimburse brokers, dealers, banks and trustees, or their nominees, for reasonable expenses incurred by them in forwarding proxy materials to beneficial owners of shares of our common stock.</w:t>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4" w:name="page15"/>
    <w:bookmarkEnd w:id="14"/>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Internet Availability of Proxy Materials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 xml:space="preserve">Our Notice of Annual Meeting, proxy statement and form of proxy card are each available at </w:t>
      </w:r>
      <w:r>
        <w:rPr>
          <w:rFonts w:ascii="Arial" w:cs="Arial" w:eastAsia="Arial" w:hAnsi="Arial"/>
          <w:sz w:val="17"/>
          <w:szCs w:val="17"/>
          <w:u w:val="single" w:color="auto"/>
          <w:color w:val="auto"/>
        </w:rPr>
        <w:t>www.proxyvote.com</w:t>
      </w:r>
      <w:r>
        <w:rPr>
          <w:rFonts w:ascii="Arial" w:cs="Arial" w:eastAsia="Arial" w:hAnsi="Arial"/>
          <w:sz w:val="17"/>
          <w:szCs w:val="17"/>
          <w:color w:val="auto"/>
        </w:rPr>
        <w:t>.</w:t>
      </w:r>
    </w:p>
    <w:p>
      <w:pPr>
        <w:ind w:left="160"/>
        <w:spacing w:after="0"/>
        <w:rPr>
          <w:sz w:val="20"/>
          <w:szCs w:val="20"/>
          <w:color w:val="auto"/>
        </w:rPr>
      </w:pPr>
      <w:r>
        <w:rPr>
          <w:rFonts w:ascii="Arial" w:cs="Arial" w:eastAsia="Arial" w:hAnsi="Arial"/>
          <w:sz w:val="17"/>
          <w:szCs w:val="17"/>
          <w:color w:val="auto"/>
        </w:rPr>
        <w:t>You may access these materials and provide your proxy by following the instructions provided in the Internet Notice.</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Important</w:t>
      </w:r>
    </w:p>
    <w:p>
      <w:pPr>
        <w:spacing w:after="0" w:line="162" w:lineRule="exact"/>
        <w:rPr>
          <w:sz w:val="20"/>
          <w:szCs w:val="20"/>
          <w:color w:val="auto"/>
        </w:rPr>
      </w:pPr>
    </w:p>
    <w:p>
      <w:pPr>
        <w:jc w:val="both"/>
        <w:ind w:left="160" w:right="59"/>
        <w:spacing w:after="0" w:line="237" w:lineRule="auto"/>
        <w:rPr>
          <w:sz w:val="20"/>
          <w:szCs w:val="20"/>
          <w:color w:val="auto"/>
        </w:rPr>
      </w:pPr>
      <w:r>
        <w:rPr>
          <w:rFonts w:ascii="Arial" w:cs="Arial" w:eastAsia="Arial" w:hAnsi="Arial"/>
          <w:sz w:val="17"/>
          <w:szCs w:val="17"/>
          <w:color w:val="auto"/>
        </w:rPr>
        <w:t>Please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This will not limit your right to attend or vote at the Annual Meeting. All Annual Meeting attendees may be asked to present valid, government-issued photo identification (federal, state or local), such as a driver’s license or passport, and proof of beneficial ownership if you hold your shares through a broker, bank, trust or other nominee, before entering the Annual Meeting. Attendees may be subject to security inspections. Video and audio recording devices and other electronic devices will not be permitted at the Annual Meeting.</w:t>
      </w:r>
    </w:p>
    <w:p>
      <w:pPr>
        <w:spacing w:after="0" w:line="122" w:lineRule="exact"/>
        <w:rPr>
          <w:sz w:val="20"/>
          <w:szCs w:val="20"/>
          <w:color w:val="auto"/>
        </w:rPr>
      </w:pPr>
    </w:p>
    <w:p>
      <w:pPr>
        <w:jc w:val="both"/>
        <w:ind w:left="160" w:right="59"/>
        <w:spacing w:after="0" w:line="247" w:lineRule="auto"/>
        <w:rPr>
          <w:sz w:val="20"/>
          <w:szCs w:val="20"/>
          <w:color w:val="auto"/>
        </w:rPr>
      </w:pPr>
      <w:r>
        <w:rPr>
          <w:rFonts w:ascii="Arial" w:cs="Arial" w:eastAsia="Arial" w:hAnsi="Arial"/>
          <w:sz w:val="17"/>
          <w:szCs w:val="17"/>
          <w:color w:val="auto"/>
        </w:rPr>
        <w:t>If you have any further questions about voting your shares or attending the Annual Meeting, please call our Investor Relations Department at (212) 624-5913.</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5" w:name="page16"/>
    <w:bookmarkEnd w:id="15"/>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OUR BOARD OF DIRECTORS</w:t>
      </w:r>
    </w:p>
    <w:p>
      <w:pPr>
        <w:spacing w:after="0" w:line="162" w:lineRule="exact"/>
        <w:rPr>
          <w:sz w:val="20"/>
          <w:szCs w:val="20"/>
          <w:color w:val="auto"/>
        </w:rPr>
      </w:pPr>
    </w:p>
    <w:p>
      <w:pPr>
        <w:jc w:val="both"/>
        <w:ind w:left="160" w:right="79"/>
        <w:spacing w:after="0" w:line="241" w:lineRule="auto"/>
        <w:rPr>
          <w:sz w:val="20"/>
          <w:szCs w:val="20"/>
          <w:color w:val="auto"/>
        </w:rPr>
      </w:pPr>
      <w:r>
        <w:rPr>
          <w:rFonts w:ascii="Arial" w:cs="Arial" w:eastAsia="Arial" w:hAnsi="Arial"/>
          <w:sz w:val="17"/>
          <w:szCs w:val="17"/>
          <w:color w:val="auto"/>
        </w:rPr>
        <w:t>Our board of directors currently consists of eight directors divided into three classes, with each director serving a three-year term and one class being elected at each year’s annual meeting of stockholders. The current composition of our board of directors is as follows:</w:t>
      </w:r>
    </w:p>
    <w:p>
      <w:pPr>
        <w:spacing w:after="0" w:line="130" w:lineRule="exact"/>
        <w:rPr>
          <w:sz w:val="20"/>
          <w:szCs w:val="20"/>
          <w:color w:val="auto"/>
        </w:rPr>
      </w:pPr>
    </w:p>
    <w:tbl>
      <w:tblPr>
        <w:tblLayout w:type="fixed"/>
        <w:tblInd w:w="170" w:type="dxa"/>
        <w:tblCellMar>
          <w:top w:w="0" w:type="dxa"/>
          <w:left w:w="0" w:type="dxa"/>
          <w:bottom w:w="0" w:type="dxa"/>
          <w:right w:w="0" w:type="dxa"/>
        </w:tblCellMar>
      </w:tblPr>
      <w:tr>
        <w:trPr>
          <w:trHeight w:val="248"/>
        </w:trPr>
        <w:tc>
          <w:tcPr>
            <w:tcW w:w="2940" w:type="dxa"/>
            <w:vAlign w:val="bottom"/>
            <w:tcBorders>
              <w:left w:val="single" w:sz="8" w:color="DD924E"/>
            </w:tcBorders>
            <w:shd w:val="clear" w:color="auto" w:fill="DD924E"/>
          </w:tcPr>
          <w:p>
            <w:pPr>
              <w:jc w:val="center"/>
              <w:spacing w:after="0"/>
              <w:rPr>
                <w:sz w:val="20"/>
                <w:szCs w:val="20"/>
                <w:color w:val="auto"/>
              </w:rPr>
            </w:pPr>
            <w:r>
              <w:rPr>
                <w:rFonts w:ascii="Arial" w:cs="Arial" w:eastAsia="Arial" w:hAnsi="Arial"/>
                <w:sz w:val="21"/>
                <w:szCs w:val="21"/>
                <w:b w:val="1"/>
                <w:bCs w:val="1"/>
                <w:color w:val="FFFFFF"/>
                <w:w w:val="97"/>
              </w:rPr>
              <w:t>Class I</w:t>
            </w:r>
          </w:p>
        </w:tc>
        <w:tc>
          <w:tcPr>
            <w:tcW w:w="2920" w:type="dxa"/>
            <w:vAlign w:val="bottom"/>
            <w:shd w:val="clear" w:color="auto" w:fill="DD924E"/>
          </w:tcPr>
          <w:p>
            <w:pPr>
              <w:jc w:val="center"/>
              <w:spacing w:after="0"/>
              <w:rPr>
                <w:sz w:val="20"/>
                <w:szCs w:val="20"/>
                <w:color w:val="auto"/>
              </w:rPr>
            </w:pPr>
            <w:r>
              <w:rPr>
                <w:rFonts w:ascii="Arial" w:cs="Arial" w:eastAsia="Arial" w:hAnsi="Arial"/>
                <w:sz w:val="21"/>
                <w:szCs w:val="21"/>
                <w:b w:val="1"/>
                <w:bCs w:val="1"/>
                <w:color w:val="FFFFFF"/>
                <w:w w:val="97"/>
              </w:rPr>
              <w:t>Class II</w:t>
            </w:r>
          </w:p>
        </w:tc>
        <w:tc>
          <w:tcPr>
            <w:tcW w:w="2960" w:type="dxa"/>
            <w:vAlign w:val="bottom"/>
            <w:tcBorders>
              <w:right w:val="single" w:sz="8" w:color="DD924E"/>
            </w:tcBorders>
            <w:shd w:val="clear" w:color="auto" w:fill="DD924E"/>
          </w:tcPr>
          <w:p>
            <w:pPr>
              <w:jc w:val="center"/>
              <w:spacing w:after="0"/>
              <w:rPr>
                <w:sz w:val="20"/>
                <w:szCs w:val="20"/>
                <w:color w:val="auto"/>
              </w:rPr>
            </w:pPr>
            <w:r>
              <w:rPr>
                <w:rFonts w:ascii="Arial" w:cs="Arial" w:eastAsia="Arial" w:hAnsi="Arial"/>
                <w:sz w:val="21"/>
                <w:szCs w:val="21"/>
                <w:b w:val="1"/>
                <w:bCs w:val="1"/>
                <w:color w:val="FFFFFF"/>
                <w:w w:val="98"/>
              </w:rPr>
              <w:t>Class III</w:t>
            </w:r>
          </w:p>
        </w:tc>
      </w:tr>
      <w:tr>
        <w:trPr>
          <w:trHeight w:val="239"/>
        </w:trPr>
        <w:tc>
          <w:tcPr>
            <w:tcW w:w="2940" w:type="dxa"/>
            <w:vAlign w:val="bottom"/>
            <w:tcBorders>
              <w:left w:val="single" w:sz="8" w:color="DD924E"/>
            </w:tcBorders>
            <w:shd w:val="clear" w:color="auto" w:fill="DD924E"/>
          </w:tcPr>
          <w:p>
            <w:pPr>
              <w:jc w:val="center"/>
              <w:spacing w:after="0"/>
              <w:rPr>
                <w:sz w:val="20"/>
                <w:szCs w:val="20"/>
                <w:color w:val="auto"/>
              </w:rPr>
            </w:pPr>
            <w:r>
              <w:rPr>
                <w:rFonts w:ascii="Arial" w:cs="Arial" w:eastAsia="Arial" w:hAnsi="Arial"/>
                <w:sz w:val="17"/>
                <w:szCs w:val="17"/>
                <w:b w:val="1"/>
                <w:bCs w:val="1"/>
                <w:color w:val="FFFFFF"/>
                <w:w w:val="98"/>
              </w:rPr>
              <w:t>(Term expires 2019)</w:t>
            </w:r>
          </w:p>
        </w:tc>
        <w:tc>
          <w:tcPr>
            <w:tcW w:w="2920" w:type="dxa"/>
            <w:vAlign w:val="bottom"/>
            <w:shd w:val="clear" w:color="auto" w:fill="DD924E"/>
          </w:tcPr>
          <w:p>
            <w:pPr>
              <w:jc w:val="center"/>
              <w:spacing w:after="0"/>
              <w:rPr>
                <w:sz w:val="20"/>
                <w:szCs w:val="20"/>
                <w:color w:val="auto"/>
              </w:rPr>
            </w:pPr>
            <w:r>
              <w:rPr>
                <w:rFonts w:ascii="Arial" w:cs="Arial" w:eastAsia="Arial" w:hAnsi="Arial"/>
                <w:sz w:val="17"/>
                <w:szCs w:val="17"/>
                <w:b w:val="1"/>
                <w:bCs w:val="1"/>
                <w:color w:val="FFFFFF"/>
              </w:rPr>
              <w:t>(Term expires 2020)</w:t>
            </w:r>
          </w:p>
        </w:tc>
        <w:tc>
          <w:tcPr>
            <w:tcW w:w="2960" w:type="dxa"/>
            <w:vAlign w:val="bottom"/>
            <w:tcBorders>
              <w:right w:val="single" w:sz="8" w:color="DD924E"/>
            </w:tcBorders>
            <w:shd w:val="clear" w:color="auto" w:fill="DD924E"/>
          </w:tcPr>
          <w:p>
            <w:pPr>
              <w:jc w:val="center"/>
              <w:spacing w:after="0"/>
              <w:rPr>
                <w:sz w:val="20"/>
                <w:szCs w:val="20"/>
                <w:color w:val="auto"/>
              </w:rPr>
            </w:pPr>
            <w:r>
              <w:rPr>
                <w:rFonts w:ascii="Arial" w:cs="Arial" w:eastAsia="Arial" w:hAnsi="Arial"/>
                <w:sz w:val="17"/>
                <w:szCs w:val="17"/>
                <w:b w:val="1"/>
                <w:bCs w:val="1"/>
                <w:color w:val="FFFFFF"/>
                <w:w w:val="98"/>
              </w:rPr>
              <w:t>(Term expires 2018)</w:t>
            </w:r>
          </w:p>
        </w:tc>
      </w:tr>
      <w:tr>
        <w:trPr>
          <w:trHeight w:val="237"/>
        </w:trPr>
        <w:tc>
          <w:tcPr>
            <w:tcW w:w="2940" w:type="dxa"/>
            <w:vAlign w:val="bottom"/>
            <w:tcBorders>
              <w:left w:val="single" w:sz="8" w:color="DD924E"/>
            </w:tcBorders>
          </w:tcPr>
          <w:p>
            <w:pPr>
              <w:jc w:val="center"/>
              <w:spacing w:after="0"/>
              <w:rPr>
                <w:sz w:val="20"/>
                <w:szCs w:val="20"/>
                <w:color w:val="auto"/>
              </w:rPr>
            </w:pPr>
            <w:r>
              <w:rPr>
                <w:rFonts w:ascii="Arial" w:cs="Arial" w:eastAsia="Arial" w:hAnsi="Arial"/>
                <w:sz w:val="17"/>
                <w:szCs w:val="17"/>
                <w:color w:val="auto"/>
                <w:w w:val="98"/>
              </w:rPr>
              <w:t>Rohit Kapoor</w:t>
            </w:r>
          </w:p>
        </w:tc>
        <w:tc>
          <w:tcPr>
            <w:tcW w:w="2920" w:type="dxa"/>
            <w:vAlign w:val="bottom"/>
          </w:tcPr>
          <w:p>
            <w:pPr>
              <w:jc w:val="center"/>
              <w:spacing w:after="0"/>
              <w:rPr>
                <w:sz w:val="20"/>
                <w:szCs w:val="20"/>
                <w:color w:val="auto"/>
              </w:rPr>
            </w:pPr>
            <w:r>
              <w:rPr>
                <w:rFonts w:ascii="Arial" w:cs="Arial" w:eastAsia="Arial" w:hAnsi="Arial"/>
                <w:sz w:val="17"/>
                <w:szCs w:val="17"/>
                <w:color w:val="auto"/>
              </w:rPr>
              <w:t>David Kelso</w:t>
            </w:r>
          </w:p>
        </w:tc>
        <w:tc>
          <w:tcPr>
            <w:tcW w:w="2960" w:type="dxa"/>
            <w:vAlign w:val="bottom"/>
            <w:tcBorders>
              <w:right w:val="single" w:sz="8" w:color="DD924E"/>
            </w:tcBorders>
          </w:tcPr>
          <w:p>
            <w:pPr>
              <w:jc w:val="center"/>
              <w:spacing w:after="0"/>
              <w:rPr>
                <w:sz w:val="20"/>
                <w:szCs w:val="20"/>
                <w:color w:val="auto"/>
              </w:rPr>
            </w:pPr>
            <w:r>
              <w:rPr>
                <w:rFonts w:ascii="Arial" w:cs="Arial" w:eastAsia="Arial" w:hAnsi="Arial"/>
                <w:sz w:val="17"/>
                <w:szCs w:val="17"/>
                <w:color w:val="auto"/>
                <w:w w:val="99"/>
              </w:rPr>
              <w:t>Deborah Kerr</w:t>
            </w:r>
          </w:p>
        </w:tc>
      </w:tr>
      <w:tr>
        <w:trPr>
          <w:trHeight w:val="251"/>
        </w:trPr>
        <w:tc>
          <w:tcPr>
            <w:tcW w:w="2940" w:type="dxa"/>
            <w:vAlign w:val="bottom"/>
            <w:tcBorders>
              <w:left w:val="single" w:sz="8" w:color="DD924E"/>
            </w:tcBorders>
            <w:shd w:val="clear" w:color="auto" w:fill="FBF4ED"/>
          </w:tcPr>
          <w:p>
            <w:pPr>
              <w:jc w:val="center"/>
              <w:spacing w:after="0"/>
              <w:rPr>
                <w:sz w:val="20"/>
                <w:szCs w:val="20"/>
                <w:color w:val="auto"/>
              </w:rPr>
            </w:pPr>
            <w:r>
              <w:rPr>
                <w:rFonts w:ascii="Arial" w:cs="Arial" w:eastAsia="Arial" w:hAnsi="Arial"/>
                <w:sz w:val="17"/>
                <w:szCs w:val="17"/>
                <w:color w:val="auto"/>
                <w:w w:val="99"/>
              </w:rPr>
              <w:t>Anne Minto</w:t>
            </w:r>
          </w:p>
        </w:tc>
        <w:tc>
          <w:tcPr>
            <w:tcW w:w="2920" w:type="dxa"/>
            <w:vAlign w:val="bottom"/>
            <w:shd w:val="clear" w:color="auto" w:fill="FBF4ED"/>
          </w:tcPr>
          <w:p>
            <w:pPr>
              <w:jc w:val="center"/>
              <w:spacing w:after="0"/>
              <w:rPr>
                <w:sz w:val="20"/>
                <w:szCs w:val="20"/>
                <w:color w:val="auto"/>
              </w:rPr>
            </w:pPr>
            <w:r>
              <w:rPr>
                <w:rFonts w:ascii="Arial" w:cs="Arial" w:eastAsia="Arial" w:hAnsi="Arial"/>
                <w:sz w:val="17"/>
                <w:szCs w:val="17"/>
                <w:color w:val="auto"/>
                <w:w w:val="99"/>
              </w:rPr>
              <w:t>Som Mittal</w:t>
            </w:r>
          </w:p>
        </w:tc>
        <w:tc>
          <w:tcPr>
            <w:tcW w:w="2960" w:type="dxa"/>
            <w:vAlign w:val="bottom"/>
            <w:tcBorders>
              <w:right w:val="single" w:sz="8" w:color="DD924E"/>
            </w:tcBorders>
            <w:shd w:val="clear" w:color="auto" w:fill="FBF4ED"/>
          </w:tcPr>
          <w:p>
            <w:pPr>
              <w:jc w:val="center"/>
              <w:spacing w:after="0"/>
              <w:rPr>
                <w:sz w:val="20"/>
                <w:szCs w:val="20"/>
                <w:color w:val="auto"/>
              </w:rPr>
            </w:pPr>
            <w:r>
              <w:rPr>
                <w:rFonts w:ascii="Arial" w:cs="Arial" w:eastAsia="Arial" w:hAnsi="Arial"/>
                <w:sz w:val="17"/>
                <w:szCs w:val="17"/>
                <w:color w:val="auto"/>
              </w:rPr>
              <w:t>Nitin Sahney</w:t>
            </w:r>
          </w:p>
        </w:tc>
      </w:tr>
      <w:tr>
        <w:trPr>
          <w:trHeight w:val="237"/>
        </w:trPr>
        <w:tc>
          <w:tcPr>
            <w:tcW w:w="2940" w:type="dxa"/>
            <w:vAlign w:val="bottom"/>
            <w:tcBorders>
              <w:left w:val="single" w:sz="8" w:color="DD924E"/>
              <w:bottom w:val="single" w:sz="8" w:color="DD924E"/>
            </w:tcBorders>
          </w:tcPr>
          <w:p>
            <w:pPr>
              <w:spacing w:after="0"/>
              <w:rPr>
                <w:sz w:val="20"/>
                <w:szCs w:val="20"/>
                <w:color w:val="auto"/>
              </w:rPr>
            </w:pPr>
          </w:p>
        </w:tc>
        <w:tc>
          <w:tcPr>
            <w:tcW w:w="2920" w:type="dxa"/>
            <w:vAlign w:val="bottom"/>
            <w:tcBorders>
              <w:bottom w:val="single" w:sz="8" w:color="DD924E"/>
            </w:tcBorders>
          </w:tcPr>
          <w:p>
            <w:pPr>
              <w:jc w:val="center"/>
              <w:spacing w:after="0"/>
              <w:rPr>
                <w:sz w:val="20"/>
                <w:szCs w:val="20"/>
                <w:color w:val="auto"/>
              </w:rPr>
            </w:pPr>
            <w:r>
              <w:rPr>
                <w:rFonts w:ascii="Arial" w:cs="Arial" w:eastAsia="Arial" w:hAnsi="Arial"/>
                <w:sz w:val="17"/>
                <w:szCs w:val="17"/>
                <w:color w:val="auto"/>
              </w:rPr>
              <w:t>Clyde Ostler</w:t>
            </w:r>
          </w:p>
        </w:tc>
        <w:tc>
          <w:tcPr>
            <w:tcW w:w="2960" w:type="dxa"/>
            <w:vAlign w:val="bottom"/>
            <w:tcBorders>
              <w:bottom w:val="single" w:sz="8" w:color="DD924E"/>
              <w:right w:val="single" w:sz="8" w:color="DD924E"/>
            </w:tcBorders>
          </w:tcPr>
          <w:p>
            <w:pPr>
              <w:jc w:val="center"/>
              <w:spacing w:after="0"/>
              <w:rPr>
                <w:sz w:val="20"/>
                <w:szCs w:val="20"/>
                <w:color w:val="auto"/>
              </w:rPr>
            </w:pPr>
            <w:r>
              <w:rPr>
                <w:rFonts w:ascii="Arial" w:cs="Arial" w:eastAsia="Arial" w:hAnsi="Arial"/>
                <w:sz w:val="17"/>
                <w:szCs w:val="17"/>
                <w:color w:val="auto"/>
              </w:rPr>
              <w:t>Garen Staglin</w:t>
            </w:r>
          </w:p>
        </w:tc>
      </w:tr>
    </w:tbl>
    <w:p>
      <w:pPr>
        <w:spacing w:after="0" w:line="109" w:lineRule="exact"/>
        <w:rPr>
          <w:sz w:val="20"/>
          <w:szCs w:val="20"/>
          <w:color w:val="auto"/>
        </w:rPr>
      </w:pPr>
    </w:p>
    <w:p>
      <w:pPr>
        <w:sectPr>
          <w:pgSz w:w="11900" w:h="16838" w:orient="portrait"/>
          <w:cols w:equalWidth="0" w:num="1">
            <w:col w:w="9019"/>
          </w:cols>
          <w:pgMar w:left="1440" w:top="1440" w:right="1440" w:bottom="1440" w:gutter="0" w:footer="0" w:header="0"/>
        </w:sectPr>
      </w:pPr>
    </w:p>
    <w:p>
      <w:pPr>
        <w:ind w:left="160"/>
        <w:spacing w:after="0"/>
        <w:rPr>
          <w:sz w:val="20"/>
          <w:szCs w:val="20"/>
          <w:color w:val="auto"/>
        </w:rPr>
      </w:pPr>
      <w:r>
        <w:rPr>
          <w:rFonts w:ascii="Arial" w:cs="Arial" w:eastAsia="Arial" w:hAnsi="Arial"/>
          <w:sz w:val="21"/>
          <w:szCs w:val="21"/>
          <w:b w:val="1"/>
          <w:bCs w:val="1"/>
          <w:color w:val="518DC8"/>
        </w:rPr>
        <w:t>2018 Nominees</w:t>
      </w:r>
    </w:p>
    <w:p>
      <w:pPr>
        <w:spacing w:after="0" w:line="149" w:lineRule="exact"/>
        <w:rPr>
          <w:sz w:val="20"/>
          <w:szCs w:val="20"/>
          <w:color w:val="auto"/>
        </w:rPr>
      </w:pPr>
    </w:p>
    <w:p>
      <w:pPr>
        <w:jc w:val="both"/>
        <w:ind w:left="160" w:right="380"/>
        <w:spacing w:after="0" w:line="241" w:lineRule="auto"/>
        <w:rPr>
          <w:sz w:val="20"/>
          <w:szCs w:val="20"/>
          <w:color w:val="auto"/>
        </w:rPr>
      </w:pPr>
      <w:r>
        <w:rPr>
          <w:rFonts w:ascii="Arial" w:cs="Arial" w:eastAsia="Arial" w:hAnsi="Arial"/>
          <w:sz w:val="17"/>
          <w:szCs w:val="17"/>
          <w:color w:val="auto"/>
        </w:rPr>
        <w:t>Upon the recommendation of our Nominating and Governance Committee, we are pleased to propose our three (3) existing Class III directors as nominees for re-election as directors at the Annual Meeting.</w:t>
      </w:r>
    </w:p>
    <w:p>
      <w:pPr>
        <w:spacing w:after="0" w:line="129" w:lineRule="exact"/>
        <w:rPr>
          <w:sz w:val="20"/>
          <w:szCs w:val="20"/>
          <w:color w:val="auto"/>
        </w:rPr>
      </w:pPr>
    </w:p>
    <w:p>
      <w:pPr>
        <w:jc w:val="both"/>
        <w:ind w:left="160" w:right="380"/>
        <w:spacing w:after="0" w:line="239" w:lineRule="auto"/>
        <w:rPr>
          <w:sz w:val="20"/>
          <w:szCs w:val="20"/>
          <w:color w:val="auto"/>
        </w:rPr>
      </w:pPr>
      <w:r>
        <w:rPr>
          <w:rFonts w:ascii="Arial" w:cs="Arial" w:eastAsia="Arial" w:hAnsi="Arial"/>
          <w:sz w:val="17"/>
          <w:szCs w:val="17"/>
          <w:color w:val="auto"/>
        </w:rPr>
        <w:t>If elected, each of the Class III director nominees will serve on our board of directors until our 2021 Annual Meeting of Stockholders or until their successors are duly elected and qualified in accordance with our by-laws.</w:t>
      </w:r>
    </w:p>
    <w:p>
      <w:pPr>
        <w:spacing w:after="0" w:line="132" w:lineRule="exact"/>
        <w:rPr>
          <w:sz w:val="20"/>
          <w:szCs w:val="20"/>
          <w:color w:val="auto"/>
        </w:rPr>
      </w:pPr>
    </w:p>
    <w:p>
      <w:pPr>
        <w:jc w:val="both"/>
        <w:ind w:left="160" w:right="380"/>
        <w:spacing w:after="0" w:line="239" w:lineRule="auto"/>
        <w:rPr>
          <w:sz w:val="20"/>
          <w:szCs w:val="20"/>
          <w:color w:val="auto"/>
        </w:rPr>
      </w:pPr>
      <w:r>
        <w:rPr>
          <w:rFonts w:ascii="Arial" w:cs="Arial" w:eastAsia="Arial" w:hAnsi="Arial"/>
          <w:sz w:val="17"/>
          <w:szCs w:val="17"/>
          <w:color w:val="auto"/>
        </w:rPr>
        <w:t>We believe that our director nominees and continuing directors, individually and together as a whole, possess the requisite skills, experience and qualifications necessary to maintain an effective board to serve the best interests of the Company and its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jc w:val="center"/>
        <w:ind w:right="1019"/>
        <w:spacing w:after="0"/>
        <w:rPr>
          <w:sz w:val="20"/>
          <w:szCs w:val="20"/>
          <w:color w:val="auto"/>
        </w:rPr>
      </w:pPr>
      <w:r>
        <w:rPr>
          <w:rFonts w:ascii="Arial" w:cs="Arial" w:eastAsia="Arial" w:hAnsi="Arial"/>
          <w:sz w:val="13"/>
          <w:szCs w:val="13"/>
          <w:b w:val="1"/>
          <w:bCs w:val="1"/>
          <w:color w:val="FFFFFF"/>
        </w:rPr>
        <w:t>Class III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-105410</wp:posOffset>
            </wp:positionV>
            <wp:extent cx="2018665" cy="29876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18665" cy="2987675"/>
                    </a:xfrm>
                    <a:prstGeom prst="rect">
                      <a:avLst/>
                    </a:prstGeom>
                    <a:noFill/>
                  </pic:spPr>
                </pic:pic>
              </a:graphicData>
            </a:graphic>
          </wp:anchor>
        </w:drawing>
      </w:r>
    </w:p>
    <w:p>
      <w:pPr>
        <w:spacing w:after="0" w:line="41" w:lineRule="exact"/>
        <w:rPr>
          <w:sz w:val="20"/>
          <w:szCs w:val="20"/>
          <w:color w:val="auto"/>
        </w:rPr>
      </w:pPr>
    </w:p>
    <w:p>
      <w:pPr>
        <w:ind w:left="200" w:right="559"/>
        <w:spacing w:after="0" w:line="292" w:lineRule="auto"/>
        <w:rPr>
          <w:sz w:val="20"/>
          <w:szCs w:val="20"/>
          <w:color w:val="auto"/>
        </w:rPr>
      </w:pPr>
      <w:r>
        <w:rPr>
          <w:rFonts w:ascii="Arial" w:cs="Arial" w:eastAsia="Arial" w:hAnsi="Arial"/>
          <w:sz w:val="15"/>
          <w:szCs w:val="15"/>
          <w:b w:val="1"/>
          <w:bCs w:val="1"/>
          <w:color w:val="auto"/>
        </w:rPr>
        <w:t>Deborah Kerr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right="559"/>
        <w:spacing w:after="0" w:line="292" w:lineRule="auto"/>
        <w:rPr>
          <w:sz w:val="20"/>
          <w:szCs w:val="20"/>
          <w:color w:val="auto"/>
        </w:rPr>
      </w:pPr>
      <w:r>
        <w:rPr>
          <w:rFonts w:ascii="Arial" w:cs="Arial" w:eastAsia="Arial" w:hAnsi="Arial"/>
          <w:sz w:val="15"/>
          <w:szCs w:val="15"/>
          <w:b w:val="1"/>
          <w:bCs w:val="1"/>
          <w:color w:val="auto"/>
        </w:rPr>
        <w:t>Nitin Sahney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right="559"/>
        <w:spacing w:after="0" w:line="264" w:lineRule="auto"/>
        <w:rPr>
          <w:sz w:val="20"/>
          <w:szCs w:val="20"/>
          <w:color w:val="auto"/>
        </w:rPr>
      </w:pPr>
      <w:r>
        <w:rPr>
          <w:rFonts w:ascii="Arial" w:cs="Arial" w:eastAsia="Arial" w:hAnsi="Arial"/>
          <w:sz w:val="15"/>
          <w:szCs w:val="15"/>
          <w:b w:val="1"/>
          <w:bCs w:val="1"/>
          <w:color w:val="auto"/>
        </w:rPr>
        <w:t>Garen Staglin Independent Director and Chairman of the Board</w:t>
      </w:r>
    </w:p>
    <w:p>
      <w:pPr>
        <w:spacing w:after="0" w:line="200" w:lineRule="exact"/>
        <w:rPr>
          <w:sz w:val="20"/>
          <w:szCs w:val="20"/>
          <w:color w:val="auto"/>
        </w:rPr>
      </w:pPr>
    </w:p>
    <w:p>
      <w:pPr>
        <w:sectPr>
          <w:pgSz w:w="11900" w:h="16838" w:orient="portrait"/>
          <w:cols w:equalWidth="0" w:num="2">
            <w:col w:w="6000" w:space="720"/>
            <w:col w:w="229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111125</wp:posOffset>
            </wp:positionV>
            <wp:extent cx="2653665" cy="1172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3665" cy="1172210"/>
                    </a:xfrm>
                    <a:prstGeom prst="rect">
                      <a:avLst/>
                    </a:prstGeom>
                    <a:noFill/>
                  </pic:spPr>
                </pic:pic>
              </a:graphicData>
            </a:graphic>
          </wp:anchor>
        </w:drawing>
      </w:r>
    </w:p>
    <w:p>
      <w:pPr>
        <w:spacing w:after="0" w:line="178"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FFFFFF"/>
        </w:rPr>
        <w:t>Key Skills and Attributes We Look for in Board</w:t>
      </w:r>
    </w:p>
    <w:p>
      <w:pPr>
        <w:spacing w:after="0" w:line="25"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FFFFFF"/>
        </w:rPr>
        <w:t>Nominees</w:t>
      </w:r>
    </w:p>
    <w:p>
      <w:pPr>
        <w:spacing w:after="0" w:line="92" w:lineRule="exact"/>
        <w:rPr>
          <w:sz w:val="20"/>
          <w:szCs w:val="20"/>
          <w:color w:val="auto"/>
        </w:rPr>
      </w:pPr>
    </w:p>
    <w:p>
      <w:pPr>
        <w:ind w:left="920" w:hanging="700"/>
        <w:spacing w:after="0"/>
        <w:tabs>
          <w:tab w:leader="none" w:pos="920" w:val="left"/>
        </w:tabs>
        <w:numPr>
          <w:ilvl w:val="0"/>
          <w:numId w:val="15"/>
        </w:numPr>
        <w:rPr>
          <w:rFonts w:ascii="Arial" w:cs="Arial" w:eastAsia="Arial" w:hAnsi="Arial"/>
          <w:sz w:val="15"/>
          <w:szCs w:val="15"/>
          <w:color w:val="DD924E"/>
        </w:rPr>
      </w:pPr>
      <w:r>
        <w:rPr>
          <w:rFonts w:ascii="Arial" w:cs="Arial" w:eastAsia="Arial" w:hAnsi="Arial"/>
          <w:sz w:val="15"/>
          <w:szCs w:val="15"/>
          <w:color w:val="auto"/>
        </w:rPr>
        <w:t>Strategic sense</w:t>
      </w:r>
    </w:p>
    <w:p>
      <w:pPr>
        <w:spacing w:after="0" w:line="19" w:lineRule="exact"/>
        <w:rPr>
          <w:rFonts w:ascii="Arial" w:cs="Arial" w:eastAsia="Arial" w:hAnsi="Arial"/>
          <w:sz w:val="15"/>
          <w:szCs w:val="15"/>
          <w:color w:val="DD924E"/>
        </w:rPr>
      </w:pPr>
    </w:p>
    <w:p>
      <w:pPr>
        <w:ind w:left="920" w:hanging="700"/>
        <w:spacing w:after="0"/>
        <w:tabs>
          <w:tab w:leader="none" w:pos="920" w:val="left"/>
        </w:tabs>
        <w:numPr>
          <w:ilvl w:val="0"/>
          <w:numId w:val="15"/>
        </w:numPr>
        <w:rPr>
          <w:rFonts w:ascii="Arial" w:cs="Arial" w:eastAsia="Arial" w:hAnsi="Arial"/>
          <w:sz w:val="15"/>
          <w:szCs w:val="15"/>
          <w:color w:val="DD924E"/>
        </w:rPr>
      </w:pPr>
      <w:r>
        <w:rPr>
          <w:rFonts w:ascii="Arial" w:cs="Arial" w:eastAsia="Arial" w:hAnsi="Arial"/>
          <w:sz w:val="15"/>
          <w:szCs w:val="15"/>
          <w:color w:val="auto"/>
        </w:rPr>
        <w:t>Critical and innovative thinking</w:t>
      </w:r>
    </w:p>
    <w:p>
      <w:pPr>
        <w:spacing w:after="0" w:line="19" w:lineRule="exact"/>
        <w:rPr>
          <w:rFonts w:ascii="Arial" w:cs="Arial" w:eastAsia="Arial" w:hAnsi="Arial"/>
          <w:sz w:val="15"/>
          <w:szCs w:val="15"/>
          <w:color w:val="DD924E"/>
        </w:rPr>
      </w:pPr>
    </w:p>
    <w:p>
      <w:pPr>
        <w:ind w:left="920" w:hanging="700"/>
        <w:spacing w:after="0"/>
        <w:tabs>
          <w:tab w:leader="none" w:pos="920" w:val="left"/>
        </w:tabs>
        <w:numPr>
          <w:ilvl w:val="0"/>
          <w:numId w:val="15"/>
        </w:numPr>
        <w:rPr>
          <w:rFonts w:ascii="Arial" w:cs="Arial" w:eastAsia="Arial" w:hAnsi="Arial"/>
          <w:sz w:val="15"/>
          <w:szCs w:val="15"/>
          <w:color w:val="DD924E"/>
        </w:rPr>
      </w:pPr>
      <w:r>
        <w:rPr>
          <w:rFonts w:ascii="Arial" w:cs="Arial" w:eastAsia="Arial" w:hAnsi="Arial"/>
          <w:sz w:val="15"/>
          <w:szCs w:val="15"/>
          <w:color w:val="auto"/>
        </w:rPr>
        <w:t>High ethical standards and integrity</w:t>
      </w:r>
    </w:p>
    <w:p>
      <w:pPr>
        <w:spacing w:after="0" w:line="19" w:lineRule="exact"/>
        <w:rPr>
          <w:rFonts w:ascii="Arial" w:cs="Arial" w:eastAsia="Arial" w:hAnsi="Arial"/>
          <w:sz w:val="15"/>
          <w:szCs w:val="15"/>
          <w:color w:val="DD924E"/>
        </w:rPr>
      </w:pPr>
    </w:p>
    <w:p>
      <w:pPr>
        <w:ind w:left="920" w:hanging="700"/>
        <w:spacing w:after="0"/>
        <w:tabs>
          <w:tab w:leader="none" w:pos="920" w:val="left"/>
        </w:tabs>
        <w:numPr>
          <w:ilvl w:val="0"/>
          <w:numId w:val="15"/>
        </w:numPr>
        <w:rPr>
          <w:rFonts w:ascii="Arial" w:cs="Arial" w:eastAsia="Arial" w:hAnsi="Arial"/>
          <w:sz w:val="15"/>
          <w:szCs w:val="15"/>
          <w:color w:val="DD924E"/>
        </w:rPr>
      </w:pPr>
      <w:r>
        <w:rPr>
          <w:rFonts w:ascii="Arial" w:cs="Arial" w:eastAsia="Arial" w:hAnsi="Arial"/>
          <w:sz w:val="15"/>
          <w:szCs w:val="15"/>
          <w:color w:val="auto"/>
        </w:rPr>
        <w:t>Mutual respect for other Board members</w:t>
      </w:r>
    </w:p>
    <w:p>
      <w:pPr>
        <w:spacing w:after="0" w:line="19" w:lineRule="exact"/>
        <w:rPr>
          <w:rFonts w:ascii="Arial" w:cs="Arial" w:eastAsia="Arial" w:hAnsi="Arial"/>
          <w:sz w:val="15"/>
          <w:szCs w:val="15"/>
          <w:color w:val="DD924E"/>
        </w:rPr>
      </w:pPr>
    </w:p>
    <w:p>
      <w:pPr>
        <w:ind w:left="920" w:hanging="700"/>
        <w:spacing w:after="0"/>
        <w:tabs>
          <w:tab w:leader="none" w:pos="920" w:val="left"/>
        </w:tabs>
        <w:numPr>
          <w:ilvl w:val="0"/>
          <w:numId w:val="15"/>
        </w:numPr>
        <w:rPr>
          <w:rFonts w:ascii="Arial" w:cs="Arial" w:eastAsia="Arial" w:hAnsi="Arial"/>
          <w:sz w:val="15"/>
          <w:szCs w:val="15"/>
          <w:color w:val="DD924E"/>
        </w:rPr>
      </w:pPr>
      <w:r>
        <w:rPr>
          <w:rFonts w:ascii="Arial" w:cs="Arial" w:eastAsia="Arial" w:hAnsi="Arial"/>
          <w:sz w:val="15"/>
          <w:szCs w:val="15"/>
          <w:color w:val="auto"/>
        </w:rPr>
        <w:t>Ability to debate constructively</w:t>
      </w:r>
    </w:p>
    <w:p>
      <w:pPr>
        <w:spacing w:after="0" w:line="19" w:lineRule="exact"/>
        <w:rPr>
          <w:rFonts w:ascii="Arial" w:cs="Arial" w:eastAsia="Arial" w:hAnsi="Arial"/>
          <w:sz w:val="15"/>
          <w:szCs w:val="15"/>
          <w:color w:val="DD924E"/>
        </w:rPr>
      </w:pPr>
    </w:p>
    <w:p>
      <w:pPr>
        <w:ind w:left="920" w:hanging="700"/>
        <w:spacing w:after="0"/>
        <w:tabs>
          <w:tab w:leader="none" w:pos="920" w:val="left"/>
        </w:tabs>
        <w:numPr>
          <w:ilvl w:val="0"/>
          <w:numId w:val="15"/>
        </w:numPr>
        <w:rPr>
          <w:rFonts w:ascii="Arial" w:cs="Arial" w:eastAsia="Arial" w:hAnsi="Arial"/>
          <w:sz w:val="15"/>
          <w:szCs w:val="15"/>
          <w:color w:val="DD924E"/>
        </w:rPr>
      </w:pPr>
      <w:r>
        <w:rPr>
          <w:rFonts w:ascii="Arial" w:cs="Arial" w:eastAsia="Arial" w:hAnsi="Arial"/>
          <w:sz w:val="15"/>
          <w:szCs w:val="15"/>
          <w:color w:val="auto"/>
        </w:rPr>
        <w:t>Candid, assertive, open minded</w:t>
      </w:r>
    </w:p>
    <w:p>
      <w:pPr>
        <w:spacing w:after="0" w:line="19" w:lineRule="exact"/>
        <w:rPr>
          <w:rFonts w:ascii="Arial" w:cs="Arial" w:eastAsia="Arial" w:hAnsi="Arial"/>
          <w:sz w:val="15"/>
          <w:szCs w:val="15"/>
          <w:color w:val="DD924E"/>
        </w:rPr>
      </w:pPr>
    </w:p>
    <w:p>
      <w:pPr>
        <w:ind w:left="920" w:hanging="700"/>
        <w:spacing w:after="0"/>
        <w:tabs>
          <w:tab w:leader="none" w:pos="920" w:val="left"/>
        </w:tabs>
        <w:numPr>
          <w:ilvl w:val="0"/>
          <w:numId w:val="15"/>
        </w:numPr>
        <w:rPr>
          <w:rFonts w:ascii="Arial" w:cs="Arial" w:eastAsia="Arial" w:hAnsi="Arial"/>
          <w:sz w:val="15"/>
          <w:szCs w:val="15"/>
          <w:color w:val="DD924E"/>
        </w:rPr>
      </w:pPr>
      <w:r>
        <w:rPr>
          <w:rFonts w:ascii="Arial" w:cs="Arial" w:eastAsia="Arial" w:hAnsi="Arial"/>
          <w:sz w:val="15"/>
          <w:szCs w:val="15"/>
          <w:color w:val="auto"/>
        </w:rPr>
        <w:t>Availability and commitment to serve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59"/>
        <w:spacing w:after="0" w:line="237" w:lineRule="auto"/>
        <w:rPr>
          <w:sz w:val="20"/>
          <w:szCs w:val="20"/>
          <w:color w:val="auto"/>
        </w:rPr>
      </w:pPr>
      <w:r>
        <w:rPr>
          <w:rFonts w:ascii="Arial" w:cs="Arial" w:eastAsia="Arial" w:hAnsi="Arial"/>
          <w:sz w:val="17"/>
          <w:szCs w:val="17"/>
          <w:color w:val="auto"/>
        </w:rPr>
        <w:t>The board of directors considers it paramount to achieving excellence in corporate governance to assemble a board of directors that, taken together, has the skills, qualifications, experience and attributes appropriate for functioning as the board of directors of our Company and working productively with management. The Nominating and Governance Committee of the Board is responsible for recommending nominees that are qualified and that bring a diverse set of skills and qualifications to oversee the Company effectively.</w:t>
      </w:r>
    </w:p>
    <w:p>
      <w:pPr>
        <w:spacing w:after="0" w:line="200" w:lineRule="exact"/>
        <w:rPr>
          <w:sz w:val="20"/>
          <w:szCs w:val="20"/>
          <w:color w:val="auto"/>
        </w:rPr>
      </w:pPr>
    </w:p>
    <w:p>
      <w:pPr>
        <w:sectPr>
          <w:pgSz w:w="11900" w:h="16838" w:orient="portrait"/>
          <w:cols w:equalWidth="0" w:num="2">
            <w:col w:w="3960" w:space="540"/>
            <w:col w:w="45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6" w:name="page17"/>
    <w:bookmarkEnd w:id="16"/>
    <w:p>
      <w:pPr>
        <w:spacing w:after="0" w:line="58"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The Nominating and Governance Committee has not formally established any minimum qualifications for director candidates. However, in light of our business, the primary areas of experience, qualifications and attributes typically sought by the Nominating and Governance Committee in director candidates include, but are not limited to, the following primary areas:</w:t>
      </w:r>
    </w:p>
    <w:p>
      <w:pPr>
        <w:spacing w:after="0" w:line="214"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DD924E"/>
        </w:rPr>
        <w:t>Executive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-77470</wp:posOffset>
            </wp:positionV>
            <wp:extent cx="382905" cy="276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2905" cy="276860"/>
                    </a:xfrm>
                    <a:prstGeom prst="rect">
                      <a:avLst/>
                    </a:prstGeom>
                    <a:noFill/>
                  </pic:spPr>
                </pic:pic>
              </a:graphicData>
            </a:graphic>
          </wp:anchor>
        </w:drawing>
      </w:r>
    </w:p>
    <w:p>
      <w:pPr>
        <w:jc w:val="both"/>
        <w:ind w:left="1000" w:right="139"/>
        <w:spacing w:after="0" w:line="247" w:lineRule="auto"/>
        <w:rPr>
          <w:sz w:val="20"/>
          <w:szCs w:val="20"/>
          <w:color w:val="auto"/>
        </w:rPr>
      </w:pPr>
      <w:r>
        <w:rPr>
          <w:rFonts w:ascii="Arial" w:cs="Arial" w:eastAsia="Arial" w:hAnsi="Arial"/>
          <w:sz w:val="17"/>
          <w:szCs w:val="17"/>
          <w:color w:val="auto"/>
        </w:rPr>
        <w:t>Experience holding significant leadership positions, including as a CEO or head of a significant business, to help us drive business strategy, growth and performance.</w:t>
      </w:r>
    </w:p>
    <w:p>
      <w:pPr>
        <w:spacing w:after="0" w:line="14"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DD924E"/>
        </w:rPr>
        <w:t>Finance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-77470</wp:posOffset>
            </wp:positionV>
            <wp:extent cx="236220" cy="252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6220" cy="252095"/>
                    </a:xfrm>
                    <a:prstGeom prst="rect">
                      <a:avLst/>
                    </a:prstGeom>
                    <a:noFill/>
                  </pic:spPr>
                </pic:pic>
              </a:graphicData>
            </a:graphic>
          </wp:anchor>
        </w:drawing>
      </w:r>
    </w:p>
    <w:p>
      <w:pPr>
        <w:jc w:val="both"/>
        <w:ind w:left="1000" w:right="139"/>
        <w:spacing w:after="0" w:line="243" w:lineRule="auto"/>
        <w:rPr>
          <w:sz w:val="20"/>
          <w:szCs w:val="20"/>
          <w:color w:val="auto"/>
        </w:rPr>
      </w:pPr>
      <w:r>
        <w:rPr>
          <w:rFonts w:ascii="Arial" w:cs="Arial" w:eastAsia="Arial" w:hAnsi="Arial"/>
          <w:sz w:val="17"/>
          <w:szCs w:val="17"/>
          <w:color w:val="auto"/>
        </w:rPr>
        <w:t>Experience with finance, accounting or financial reporting processes, to help drive financial performance.</w:t>
      </w:r>
    </w:p>
    <w:p>
      <w:pPr>
        <w:spacing w:after="0" w:line="218"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DD924E"/>
        </w:rPr>
        <w:t>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-77470</wp:posOffset>
            </wp:positionV>
            <wp:extent cx="300990" cy="260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0990" cy="260350"/>
                    </a:xfrm>
                    <a:prstGeom prst="rect">
                      <a:avLst/>
                    </a:prstGeom>
                    <a:noFill/>
                  </pic:spPr>
                </pic:pic>
              </a:graphicData>
            </a:graphic>
          </wp:anchor>
        </w:drawing>
      </w:r>
    </w:p>
    <w:p>
      <w:pPr>
        <w:jc w:val="both"/>
        <w:ind w:left="1000" w:right="119"/>
        <w:spacing w:after="0" w:line="247" w:lineRule="auto"/>
        <w:rPr>
          <w:sz w:val="20"/>
          <w:szCs w:val="20"/>
          <w:color w:val="auto"/>
        </w:rPr>
      </w:pPr>
      <w:r>
        <w:rPr>
          <w:rFonts w:ascii="Arial" w:cs="Arial" w:eastAsia="Arial" w:hAnsi="Arial"/>
          <w:sz w:val="17"/>
          <w:szCs w:val="17"/>
          <w:color w:val="auto"/>
        </w:rPr>
        <w:t>Experience working outside of the United States or with multinational companies, to help facilitate our global expansion.</w:t>
      </w:r>
    </w:p>
    <w:p>
      <w:pPr>
        <w:spacing w:after="0" w:line="14"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DD924E"/>
        </w:rPr>
        <w:t>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-45085</wp:posOffset>
            </wp:positionV>
            <wp:extent cx="341630" cy="2362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1630" cy="236220"/>
                    </a:xfrm>
                    <a:prstGeom prst="rect">
                      <a:avLst/>
                    </a:prstGeom>
                    <a:noFill/>
                  </pic:spPr>
                </pic:pic>
              </a:graphicData>
            </a:graphic>
          </wp:anchor>
        </w:drawing>
      </w:r>
    </w:p>
    <w:p>
      <w:pPr>
        <w:jc w:val="both"/>
        <w:ind w:left="1000" w:right="119"/>
        <w:spacing w:after="0" w:line="247" w:lineRule="auto"/>
        <w:rPr>
          <w:sz w:val="20"/>
          <w:szCs w:val="20"/>
          <w:color w:val="auto"/>
        </w:rPr>
      </w:pPr>
      <w:r>
        <w:rPr>
          <w:rFonts w:ascii="Arial" w:cs="Arial" w:eastAsia="Arial" w:hAnsi="Arial"/>
          <w:sz w:val="17"/>
          <w:szCs w:val="17"/>
          <w:color w:val="auto"/>
        </w:rPr>
        <w:t>Understanding of public company board of director and fiduciary duties, to help provide perspective on corporate governance best practices and related matters.</w:t>
      </w:r>
    </w:p>
    <w:p>
      <w:pPr>
        <w:spacing w:after="0" w:line="14"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DD924E"/>
        </w:rPr>
        <w:t>Client and Industry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-28575</wp:posOffset>
            </wp:positionV>
            <wp:extent cx="334010" cy="1873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4010" cy="187325"/>
                    </a:xfrm>
                    <a:prstGeom prst="rect">
                      <a:avLst/>
                    </a:prstGeom>
                    <a:noFill/>
                  </pic:spPr>
                </pic:pic>
              </a:graphicData>
            </a:graphic>
          </wp:anchor>
        </w:drawing>
      </w:r>
    </w:p>
    <w:p>
      <w:pPr>
        <w:jc w:val="both"/>
        <w:ind w:left="1000" w:right="119"/>
        <w:spacing w:after="0" w:line="241" w:lineRule="auto"/>
        <w:rPr>
          <w:sz w:val="20"/>
          <w:szCs w:val="20"/>
          <w:color w:val="auto"/>
        </w:rPr>
      </w:pPr>
      <w:r>
        <w:rPr>
          <w:rFonts w:ascii="Arial" w:cs="Arial" w:eastAsia="Arial" w:hAnsi="Arial"/>
          <w:sz w:val="17"/>
          <w:szCs w:val="17"/>
          <w:color w:val="auto"/>
        </w:rPr>
        <w:t>Experience with our key client industries, including insurance, healthcare, banking and financial services, finance/accounting, and our other capabilities, to help deepen our knowledge of our key industry verticals and markets in which we do business.</w:t>
      </w:r>
    </w:p>
    <w:p>
      <w:pPr>
        <w:spacing w:after="0" w:line="19"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DD924E"/>
        </w:rPr>
        <w:t>Risk Oversight /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-110490</wp:posOffset>
            </wp:positionV>
            <wp:extent cx="285115" cy="285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5115" cy="285115"/>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7"/>
          <w:szCs w:val="17"/>
          <w:color w:val="auto"/>
        </w:rPr>
        <w:t>Experience assessing and overseeing the overall risk profile of multinational public companies.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7" w:name="page18"/>
    <w:bookmarkEnd w:id="17"/>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Board of Directors</w:t>
      </w:r>
    </w:p>
    <w:p>
      <w:pPr>
        <w:spacing w:after="0" w:line="149"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The names, ages and principal occupations (which have continued for at least the past five years unless otherwise indicated) and other information, including the specific experience, qualifications, attributes or skills that led to the conclusion that such person should serve as a director of the Company, with respect to each of the nominees and continuing directors are set forth below. There are no family relationships among any of our directors or executive officers.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Class III Directors (Terms Expiring at the Annual Meeting)</w:t>
      </w:r>
    </w:p>
    <w:p>
      <w:pPr>
        <w:spacing w:after="0" w:line="152" w:lineRule="exact"/>
        <w:rPr>
          <w:sz w:val="20"/>
          <w:szCs w:val="20"/>
          <w:color w:val="auto"/>
        </w:rPr>
      </w:pPr>
    </w:p>
    <w:p>
      <w:pPr>
        <w:ind w:left="200"/>
        <w:spacing w:after="0"/>
        <w:tabs>
          <w:tab w:leader="none" w:pos="7180" w:val="left"/>
        </w:tabs>
        <w:rPr>
          <w:sz w:val="20"/>
          <w:szCs w:val="20"/>
          <w:color w:val="auto"/>
        </w:rPr>
      </w:pPr>
      <w:r>
        <w:rPr>
          <w:rFonts w:ascii="Arial" w:cs="Arial" w:eastAsia="Arial" w:hAnsi="Arial"/>
          <w:sz w:val="21"/>
          <w:szCs w:val="21"/>
          <w:b w:val="1"/>
          <w:bCs w:val="1"/>
          <w:color w:val="FFFFFF"/>
        </w:rPr>
        <w:t>Deborah Kerr | Director since January 2015</w:t>
      </w:r>
      <w:r>
        <w:rPr>
          <w:sz w:val="20"/>
          <w:szCs w:val="20"/>
          <w:color w:val="auto"/>
        </w:rPr>
        <w:tab/>
      </w:r>
      <w:r>
        <w:rPr>
          <w:rFonts w:ascii="Arial" w:cs="Arial" w:eastAsia="Arial" w:hAnsi="Arial"/>
          <w:sz w:val="19"/>
          <w:szCs w:val="19"/>
          <w:b w:val="1"/>
          <w:bCs w:val="1"/>
          <w:color w:val="FFFFFF"/>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1790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4825" cy="179070"/>
                    </a:xfrm>
                    <a:prstGeom prst="rect">
                      <a:avLst/>
                    </a:prstGeom>
                    <a:noFill/>
                  </pic:spPr>
                </pic:pic>
              </a:graphicData>
            </a:graphic>
          </wp:anchor>
        </w:drawing>
      </w:r>
    </w:p>
    <w:p>
      <w:pPr>
        <w:spacing w:after="0" w:line="243" w:lineRule="exact"/>
        <w:rPr>
          <w:sz w:val="20"/>
          <w:szCs w:val="20"/>
          <w:color w:val="auto"/>
        </w:rPr>
      </w:pPr>
    </w:p>
    <w:p>
      <w:pPr>
        <w:jc w:val="both"/>
        <w:ind w:left="2060" w:right="119"/>
        <w:spacing w:after="0" w:line="233" w:lineRule="auto"/>
        <w:rPr>
          <w:sz w:val="20"/>
          <w:szCs w:val="20"/>
          <w:color w:val="auto"/>
        </w:rPr>
      </w:pPr>
      <w:r>
        <w:rPr>
          <w:rFonts w:ascii="Arial" w:cs="Arial" w:eastAsia="Arial" w:hAnsi="Arial"/>
          <w:sz w:val="21"/>
          <w:szCs w:val="21"/>
          <w:i w:val="1"/>
          <w:iCs w:val="1"/>
          <w:color w:val="auto"/>
        </w:rPr>
        <w:t>Deborah Kerr—</w:t>
      </w:r>
      <w:r>
        <w:rPr>
          <w:rFonts w:ascii="Arial" w:cs="Arial" w:eastAsia="Arial" w:hAnsi="Arial"/>
          <w:sz w:val="21"/>
          <w:szCs w:val="21"/>
          <w:color w:val="auto"/>
        </w:rPr>
        <w:t>Age: 46—</w:t>
      </w:r>
      <w:r>
        <w:rPr>
          <w:rFonts w:ascii="Arial" w:cs="Arial" w:eastAsia="Arial" w:hAnsi="Arial"/>
          <w:sz w:val="17"/>
          <w:szCs w:val="17"/>
          <w:color w:val="auto"/>
        </w:rPr>
        <w:t>is a proven technology leader in the software industry with</w:t>
      </w:r>
      <w:r>
        <w:rPr>
          <w:rFonts w:ascii="Arial" w:cs="Arial" w:eastAsia="Arial" w:hAnsi="Arial"/>
          <w:sz w:val="21"/>
          <w:szCs w:val="21"/>
          <w:i w:val="1"/>
          <w:iCs w:val="1"/>
          <w:color w:val="auto"/>
        </w:rPr>
        <w:t xml:space="preserve"> </w:t>
      </w:r>
      <w:r>
        <w:rPr>
          <w:rFonts w:ascii="Arial" w:cs="Arial" w:eastAsia="Arial" w:hAnsi="Arial"/>
          <w:sz w:val="17"/>
          <w:szCs w:val="17"/>
          <w:color w:val="auto"/>
        </w:rPr>
        <w:t>more than 25 years of diverse management experience. Ms. Kerr’s business experience and directorships are detailed below. The Company has concluded, based in part on Ms. Kerr’s experience driving business through innovative technology solutions and more than 25 years of diverse management experience, that Ms. Kerr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-640715</wp:posOffset>
            </wp:positionV>
            <wp:extent cx="1074420" cy="13595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74420" cy="135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 xml:space="preserve">Committees: </w:t>
      </w:r>
      <w:r>
        <w:rPr>
          <w:rFonts w:ascii="Arial" w:cs="Arial" w:eastAsia="Arial" w:hAnsi="Arial"/>
          <w:sz w:val="21"/>
          <w:szCs w:val="21"/>
          <w:color w:val="auto"/>
        </w:rPr>
        <w:t>Audit,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1790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4825" cy="179070"/>
                    </a:xfrm>
                    <a:prstGeom prst="rect">
                      <a:avLst/>
                    </a:prstGeom>
                    <a:noFill/>
                  </pic:spPr>
                </pic:pic>
              </a:graphicData>
            </a:graphic>
          </wp:anchor>
        </w:drawing>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Business Experience</w:t>
      </w:r>
    </w:p>
    <w:p>
      <w:pPr>
        <w:spacing w:after="0" w:line="17" w:lineRule="exact"/>
        <w:rPr>
          <w:sz w:val="20"/>
          <w:szCs w:val="20"/>
          <w:color w:val="auto"/>
        </w:rPr>
      </w:pPr>
    </w:p>
    <w:p>
      <w:pPr>
        <w:ind w:left="880" w:hanging="334"/>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Senior Advisor, Warburg Pincus, a private equity firm (2017 – present)</w:t>
      </w:r>
    </w:p>
    <w:p>
      <w:pPr>
        <w:ind w:left="880" w:right="119" w:hanging="334"/>
        <w:spacing w:after="0" w:line="236"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Executive Vice President and Chief Product and Technology Officer, Sabre Corporation (NASDAQ: SABR), a global technology company (2013 – 2017)</w:t>
      </w:r>
    </w:p>
    <w:p>
      <w:pPr>
        <w:ind w:left="880" w:right="139" w:hanging="334"/>
        <w:spacing w:after="0" w:line="236"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Executive Vice President, Chief Product and Technology Officer, Fair Isaac Corporation (FICO), an analytics software company (2009 – 2012)</w:t>
      </w:r>
    </w:p>
    <w:p>
      <w:pPr>
        <w:ind w:left="880" w:right="119" w:hanging="334"/>
        <w:spacing w:after="0" w:line="247"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Prior senior leadership roles with Hewlett Packard, Peregrine Systems and NASA’s Jet Propulsion Laboratory</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Public Directorships during Past Five Years</w:t>
      </w:r>
    </w:p>
    <w:p>
      <w:pPr>
        <w:spacing w:after="0" w:line="162" w:lineRule="exact"/>
        <w:rPr>
          <w:sz w:val="20"/>
          <w:szCs w:val="20"/>
          <w:color w:val="auto"/>
        </w:rPr>
      </w:pPr>
    </w:p>
    <w:p>
      <w:pPr>
        <w:ind w:left="880" w:right="139" w:hanging="334"/>
        <w:spacing w:after="0" w:line="236"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Director and member of the audit committee, NetApp (NASDAQ: NTAP), a hybrid cloud and data services company (2017 – present)</w:t>
      </w:r>
    </w:p>
    <w:p>
      <w:pPr>
        <w:ind w:left="880" w:right="119" w:hanging="334"/>
        <w:spacing w:after="0" w:line="236"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Director and member of the corporate governance and nominating committee, Chico’s FAS, Inc., a specialty retailer of women’s apparel (NYSE: CHS) (2017 – present)</w:t>
      </w:r>
    </w:p>
    <w:p>
      <w:pPr>
        <w:ind w:left="880" w:right="139" w:hanging="334"/>
        <w:spacing w:after="0" w:line="247"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Director, D+H Corporation (TSX: DH), a provider of technology solutions and products to the financial industry (2013 – 2017)</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Other Directorships</w:t>
      </w:r>
    </w:p>
    <w:p>
      <w:pPr>
        <w:spacing w:after="0" w:line="21" w:lineRule="exact"/>
        <w:rPr>
          <w:sz w:val="20"/>
          <w:szCs w:val="20"/>
          <w:color w:val="auto"/>
        </w:rPr>
      </w:pPr>
    </w:p>
    <w:p>
      <w:pPr>
        <w:ind w:left="880" w:right="119" w:hanging="334"/>
        <w:spacing w:after="0" w:line="247"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Director and chair of the technology committee, Mitchell International Inc., a provider of technology solutions and services to the property and casualty industry (2010 – 2013)</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8" w:name="page19"/>
    <w:bookmarkEnd w:id="18"/>
    <w:p>
      <w:pPr>
        <w:spacing w:after="0" w:line="117" w:lineRule="exact"/>
        <w:rPr>
          <w:sz w:val="20"/>
          <w:szCs w:val="20"/>
          <w:color w:val="auto"/>
        </w:rPr>
      </w:pPr>
    </w:p>
    <w:p>
      <w:pPr>
        <w:ind w:left="200"/>
        <w:spacing w:after="0"/>
        <w:tabs>
          <w:tab w:leader="none" w:pos="7180" w:val="left"/>
        </w:tabs>
        <w:rPr>
          <w:sz w:val="20"/>
          <w:szCs w:val="20"/>
          <w:color w:val="auto"/>
        </w:rPr>
      </w:pPr>
      <w:r>
        <w:rPr>
          <w:rFonts w:ascii="Arial" w:cs="Arial" w:eastAsia="Arial" w:hAnsi="Arial"/>
          <w:sz w:val="21"/>
          <w:szCs w:val="21"/>
          <w:b w:val="1"/>
          <w:bCs w:val="1"/>
          <w:color w:val="FFFFFF"/>
        </w:rPr>
        <w:t>Nitin Sahney | Director since January 2016</w:t>
      </w:r>
      <w:r>
        <w:rPr>
          <w:sz w:val="20"/>
          <w:szCs w:val="20"/>
          <w:color w:val="auto"/>
        </w:rPr>
        <w:tab/>
      </w:r>
      <w:r>
        <w:rPr>
          <w:rFonts w:ascii="Arial" w:cs="Arial" w:eastAsia="Arial" w:hAnsi="Arial"/>
          <w:sz w:val="19"/>
          <w:szCs w:val="19"/>
          <w:b w:val="1"/>
          <w:bCs w:val="1"/>
          <w:color w:val="FFFFFF"/>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1790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4825" cy="179070"/>
                    </a:xfrm>
                    <a:prstGeom prst="rect">
                      <a:avLst/>
                    </a:prstGeom>
                    <a:noFill/>
                  </pic:spPr>
                </pic:pic>
              </a:graphicData>
            </a:graphic>
          </wp:anchor>
        </w:drawing>
      </w:r>
    </w:p>
    <w:p>
      <w:pPr>
        <w:spacing w:after="0" w:line="243" w:lineRule="exact"/>
        <w:rPr>
          <w:sz w:val="20"/>
          <w:szCs w:val="20"/>
          <w:color w:val="auto"/>
        </w:rPr>
      </w:pPr>
    </w:p>
    <w:p>
      <w:pPr>
        <w:jc w:val="both"/>
        <w:ind w:left="2060" w:right="119"/>
        <w:spacing w:after="0" w:line="233" w:lineRule="auto"/>
        <w:rPr>
          <w:sz w:val="20"/>
          <w:szCs w:val="20"/>
          <w:color w:val="auto"/>
        </w:rPr>
      </w:pPr>
      <w:r>
        <w:rPr>
          <w:rFonts w:ascii="Arial" w:cs="Arial" w:eastAsia="Arial" w:hAnsi="Arial"/>
          <w:sz w:val="21"/>
          <w:szCs w:val="21"/>
          <w:i w:val="1"/>
          <w:iCs w:val="1"/>
          <w:color w:val="auto"/>
        </w:rPr>
        <w:t>Nitin Sahney—</w:t>
      </w:r>
      <w:r>
        <w:rPr>
          <w:rFonts w:ascii="Arial" w:cs="Arial" w:eastAsia="Arial" w:hAnsi="Arial"/>
          <w:sz w:val="21"/>
          <w:szCs w:val="21"/>
          <w:color w:val="auto"/>
        </w:rPr>
        <w:t>Age: 55—</w:t>
      </w:r>
      <w:r>
        <w:rPr>
          <w:rFonts w:ascii="Arial" w:cs="Arial" w:eastAsia="Arial" w:hAnsi="Arial"/>
          <w:sz w:val="17"/>
          <w:szCs w:val="17"/>
          <w:color w:val="auto"/>
        </w:rPr>
        <w:t>is a leader in the healthcare industry with over 25 years of</w:t>
      </w:r>
      <w:r>
        <w:rPr>
          <w:rFonts w:ascii="Arial" w:cs="Arial" w:eastAsia="Arial" w:hAnsi="Arial"/>
          <w:sz w:val="21"/>
          <w:szCs w:val="21"/>
          <w:i w:val="1"/>
          <w:iCs w:val="1"/>
          <w:color w:val="auto"/>
        </w:rPr>
        <w:t xml:space="preserve"> </w:t>
      </w:r>
      <w:r>
        <w:rPr>
          <w:rFonts w:ascii="Arial" w:cs="Arial" w:eastAsia="Arial" w:hAnsi="Arial"/>
          <w:sz w:val="17"/>
          <w:szCs w:val="17"/>
          <w:color w:val="auto"/>
        </w:rPr>
        <w:t>experience across all areas of healthcare. Mr. Sahney’s business experience and directorships are detailed below. The Company has concluded, based in part on Mr. Sahney’s experience as CEO of Omnicare, Inc. and his expertise in the healthcare industry garnered from more than two decades of experience, that Mr. Sahney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-761365</wp:posOffset>
            </wp:positionV>
            <wp:extent cx="1074420" cy="13595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74420" cy="135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 xml:space="preserve">Committees: </w:t>
      </w:r>
      <w:r>
        <w:rPr>
          <w:rFonts w:ascii="Arial" w:cs="Arial" w:eastAsia="Arial" w:hAnsi="Arial"/>
          <w:sz w:val="21"/>
          <w:szCs w:val="21"/>
          <w:color w:val="auto"/>
        </w:rPr>
        <w:t>Audit,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1790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4825" cy="179070"/>
                    </a:xfrm>
                    <a:prstGeom prst="rect">
                      <a:avLst/>
                    </a:prstGeom>
                    <a:noFill/>
                  </pic:spPr>
                </pic:pic>
              </a:graphicData>
            </a:graphic>
          </wp:anchor>
        </w:drawing>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Business Experience</w:t>
      </w:r>
    </w:p>
    <w:p>
      <w:pPr>
        <w:spacing w:after="0" w:line="21" w:lineRule="exact"/>
        <w:rPr>
          <w:sz w:val="20"/>
          <w:szCs w:val="20"/>
          <w:color w:val="auto"/>
        </w:rPr>
      </w:pPr>
    </w:p>
    <w:p>
      <w:pPr>
        <w:ind w:left="880" w:right="139" w:hanging="334"/>
        <w:spacing w:after="0" w:line="236"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Founder, Member-Manager and Chief Executive Officer, Pharmacord, LLC, a company that helps biopharma manufacturers address product access hurdles (2016 – present)</w:t>
      </w:r>
    </w:p>
    <w:p>
      <w:pPr>
        <w:ind w:left="880" w:hanging="334"/>
        <w:spacing w:after="0" w:line="236"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Operating Advisor, Clayton Dubilier &amp; Rice Funds, a private equity firm (2016 – 2017)</w:t>
      </w:r>
    </w:p>
    <w:p>
      <w:pPr>
        <w:ind w:left="880" w:right="119" w:hanging="334"/>
        <w:spacing w:after="0" w:line="236"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President and CEO (2014 – 2015) and President and COO (2012 – 2014) of Omnicare Inc., a former New York Stock Exchange-listed Fortune 500 company in the long-term care and specialty care industries</w:t>
      </w:r>
    </w:p>
    <w:p>
      <w:pPr>
        <w:ind w:left="880" w:hanging="334"/>
        <w:spacing w:after="0" w:line="236"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Manager of a healthcare investment fund (2008 – 2010)</w:t>
      </w:r>
    </w:p>
    <w:p>
      <w:pPr>
        <w:ind w:left="880" w:hanging="334"/>
        <w:spacing w:after="0" w:line="236"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Founder and CEO of RxCrossroads, a specialty pharmaceutical company (2001 – 2007)</w:t>
      </w:r>
    </w:p>
    <w:p>
      <w:pPr>
        <w:ind w:left="880" w:hanging="334"/>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Prior leadership positions with Cardinal Healthcare, a global healthcare services and products company</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Other Relevant Experience</w:t>
      </w:r>
    </w:p>
    <w:p>
      <w:pPr>
        <w:spacing w:after="0" w:line="21" w:lineRule="exact"/>
        <w:rPr>
          <w:sz w:val="20"/>
          <w:szCs w:val="20"/>
          <w:color w:val="auto"/>
        </w:rPr>
      </w:pPr>
    </w:p>
    <w:p>
      <w:pPr>
        <w:ind w:left="880" w:hanging="334"/>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Member of the Board of Trustees, University of Louisville (2017 – present)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9" w:name="page20"/>
    <w:bookmarkEnd w:id="19"/>
    <w:p>
      <w:pPr>
        <w:spacing w:after="0" w:line="106"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6480" w:type="dxa"/>
            <w:vAlign w:val="bottom"/>
            <w:shd w:val="clear" w:color="auto" w:fill="DD924E"/>
          </w:tcPr>
          <w:p>
            <w:pPr>
              <w:ind w:left="40"/>
              <w:spacing w:after="0"/>
              <w:rPr>
                <w:sz w:val="20"/>
                <w:szCs w:val="20"/>
                <w:color w:val="auto"/>
              </w:rPr>
            </w:pPr>
            <w:r>
              <w:rPr>
                <w:rFonts w:ascii="Arial" w:cs="Arial" w:eastAsia="Arial" w:hAnsi="Arial"/>
                <w:sz w:val="21"/>
                <w:szCs w:val="21"/>
                <w:b w:val="1"/>
                <w:bCs w:val="1"/>
                <w:color w:val="FFFFFF"/>
              </w:rPr>
              <w:t>Garen K. Staglin | Director since June 2005, Chairman of the</w:t>
            </w:r>
          </w:p>
        </w:tc>
        <w:tc>
          <w:tcPr>
            <w:tcW w:w="2320" w:type="dxa"/>
            <w:vAlign w:val="bottom"/>
            <w:shd w:val="clear" w:color="auto" w:fill="DD924E"/>
          </w:tcPr>
          <w:p>
            <w:pPr>
              <w:ind w:left="560"/>
              <w:spacing w:after="0"/>
              <w:rPr>
                <w:sz w:val="20"/>
                <w:szCs w:val="20"/>
                <w:color w:val="auto"/>
              </w:rPr>
            </w:pPr>
            <w:r>
              <w:rPr>
                <w:rFonts w:ascii="Arial" w:cs="Arial" w:eastAsia="Arial" w:hAnsi="Arial"/>
                <w:sz w:val="21"/>
                <w:szCs w:val="21"/>
                <w:b w:val="1"/>
                <w:bCs w:val="1"/>
                <w:color w:val="FFFFFF"/>
                <w:w w:val="99"/>
              </w:rPr>
              <w:t>Independent: Yes</w:t>
            </w:r>
          </w:p>
        </w:tc>
      </w:tr>
      <w:tr>
        <w:trPr>
          <w:trHeight w:val="289"/>
        </w:trPr>
        <w:tc>
          <w:tcPr>
            <w:tcW w:w="6480" w:type="dxa"/>
            <w:vAlign w:val="bottom"/>
            <w:shd w:val="clear" w:color="auto" w:fill="DD924E"/>
          </w:tcPr>
          <w:p>
            <w:pPr>
              <w:ind w:left="2040"/>
              <w:spacing w:after="0"/>
              <w:rPr>
                <w:sz w:val="20"/>
                <w:szCs w:val="20"/>
                <w:color w:val="auto"/>
              </w:rPr>
            </w:pPr>
            <w:r>
              <w:rPr>
                <w:rFonts w:ascii="Arial" w:cs="Arial" w:eastAsia="Arial" w:hAnsi="Arial"/>
                <w:sz w:val="21"/>
                <w:szCs w:val="21"/>
                <w:b w:val="1"/>
                <w:bCs w:val="1"/>
                <w:color w:val="FFFFFF"/>
              </w:rPr>
              <w:t>Board since February 2014</w:t>
            </w:r>
          </w:p>
        </w:tc>
        <w:tc>
          <w:tcPr>
            <w:tcW w:w="2320" w:type="dxa"/>
            <w:vAlign w:val="bottom"/>
            <w:shd w:val="clear" w:color="auto" w:fill="DD924E"/>
          </w:tcPr>
          <w:p>
            <w:pPr>
              <w:spacing w:after="0"/>
              <w:rPr>
                <w:sz w:val="24"/>
                <w:szCs w:val="24"/>
                <w:color w:val="auto"/>
              </w:rPr>
            </w:pPr>
          </w:p>
        </w:tc>
      </w:tr>
    </w:tbl>
    <w:p>
      <w:pPr>
        <w:spacing w:after="0" w:line="215" w:lineRule="exact"/>
        <w:rPr>
          <w:sz w:val="20"/>
          <w:szCs w:val="20"/>
          <w:color w:val="auto"/>
        </w:rPr>
      </w:pPr>
    </w:p>
    <w:p>
      <w:pPr>
        <w:jc w:val="both"/>
        <w:ind w:left="2060" w:right="119"/>
        <w:spacing w:after="0"/>
        <w:rPr>
          <w:sz w:val="20"/>
          <w:szCs w:val="20"/>
          <w:color w:val="auto"/>
        </w:rPr>
      </w:pPr>
      <w:r>
        <w:rPr>
          <w:rFonts w:ascii="Arial" w:cs="Arial" w:eastAsia="Arial" w:hAnsi="Arial"/>
          <w:sz w:val="21"/>
          <w:szCs w:val="21"/>
          <w:i w:val="1"/>
          <w:iCs w:val="1"/>
          <w:color w:val="auto"/>
        </w:rPr>
        <w:t>Garen K. Staglin—</w:t>
      </w:r>
      <w:r>
        <w:rPr>
          <w:rFonts w:ascii="Arial" w:cs="Arial" w:eastAsia="Arial" w:hAnsi="Arial"/>
          <w:sz w:val="21"/>
          <w:szCs w:val="21"/>
          <w:color w:val="auto"/>
        </w:rPr>
        <w:t>Age: 73—</w:t>
      </w:r>
      <w:r>
        <w:rPr>
          <w:rFonts w:ascii="Arial" w:cs="Arial" w:eastAsia="Arial" w:hAnsi="Arial"/>
          <w:sz w:val="17"/>
          <w:szCs w:val="17"/>
          <w:color w:val="auto"/>
        </w:rPr>
        <w:t>has over 40 years of experience in the financial</w:t>
      </w:r>
      <w:r>
        <w:rPr>
          <w:rFonts w:ascii="Arial" w:cs="Arial" w:eastAsia="Arial" w:hAnsi="Arial"/>
          <w:sz w:val="21"/>
          <w:szCs w:val="21"/>
          <w:i w:val="1"/>
          <w:iCs w:val="1"/>
          <w:color w:val="auto"/>
        </w:rPr>
        <w:t xml:space="preserve"> </w:t>
      </w:r>
      <w:r>
        <w:rPr>
          <w:rFonts w:ascii="Arial" w:cs="Arial" w:eastAsia="Arial" w:hAnsi="Arial"/>
          <w:sz w:val="17"/>
          <w:szCs w:val="17"/>
          <w:color w:val="auto"/>
        </w:rPr>
        <w:t>services and technology industries. Mr. Staglin’s business experience and directorships are detailed below. The Company has concluded, based in part on Mr. Staglin’s experience in the financial services and technology industries and his past experience as a member of public company boards of directors, that Mr. Staglin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-660400</wp:posOffset>
            </wp:positionV>
            <wp:extent cx="1058545" cy="13595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58545" cy="135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 xml:space="preserve">Committees: </w:t>
      </w:r>
      <w:r>
        <w:rPr>
          <w:rFonts w:ascii="Arial" w:cs="Arial" w:eastAsia="Arial" w:hAnsi="Arial"/>
          <w:sz w:val="21"/>
          <w:szCs w:val="21"/>
          <w:color w:val="auto"/>
        </w:rPr>
        <w:t>Compensation, 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1790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4825" cy="179070"/>
                    </a:xfrm>
                    <a:prstGeom prst="rect">
                      <a:avLst/>
                    </a:prstGeom>
                    <a:noFill/>
                  </pic:spPr>
                </pic:pic>
              </a:graphicData>
            </a:graphic>
          </wp:anchor>
        </w:drawing>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Business Experience</w:t>
      </w:r>
    </w:p>
    <w:p>
      <w:pPr>
        <w:spacing w:after="0" w:line="17" w:lineRule="exact"/>
        <w:rPr>
          <w:sz w:val="20"/>
          <w:szCs w:val="20"/>
          <w:color w:val="auto"/>
        </w:rPr>
      </w:pPr>
    </w:p>
    <w:p>
      <w:pPr>
        <w:ind w:left="880" w:hanging="334"/>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Chief Executive Officer of eONE Global LP, an emerging payments company (2001-2004)</w:t>
      </w:r>
    </w:p>
    <w:p>
      <w:pPr>
        <w:ind w:left="880" w:hanging="334"/>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Chief Executive Officer of Safelite Auto Glass, a provider of glass claim solutions (1993-1999)</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Public Directorships during Past Five Years</w:t>
      </w:r>
    </w:p>
    <w:p>
      <w:pPr>
        <w:spacing w:after="0" w:line="21" w:lineRule="exact"/>
        <w:rPr>
          <w:sz w:val="20"/>
          <w:szCs w:val="20"/>
          <w:color w:val="auto"/>
        </w:rPr>
      </w:pPr>
    </w:p>
    <w:p>
      <w:pPr>
        <w:ind w:left="880" w:right="139" w:hanging="334"/>
        <w:spacing w:after="0" w:line="247"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Director and member of the compensation and governance committee, SVB Financial Group (NASDAQ:SIVB), a financial services provider (2011 – present)</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Other Directorships</w:t>
      </w:r>
    </w:p>
    <w:p>
      <w:pPr>
        <w:spacing w:after="0" w:line="17" w:lineRule="exact"/>
        <w:rPr>
          <w:sz w:val="20"/>
          <w:szCs w:val="20"/>
          <w:color w:val="auto"/>
        </w:rPr>
      </w:pPr>
    </w:p>
    <w:p>
      <w:pPr>
        <w:ind w:left="880" w:hanging="334"/>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Senior Advisor and Advisory Director, FTV Capital, a private global investment company (2004 – present)</w:t>
      </w:r>
    </w:p>
    <w:p>
      <w:pPr>
        <w:ind w:left="880" w:hanging="334"/>
        <w:spacing w:after="0" w:line="236"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Vice Chairman, Profit Velocity Solutions, a manufacturing analytics firm (2007 – present)</w:t>
      </w:r>
    </w:p>
    <w:p>
      <w:pPr>
        <w:ind w:left="880" w:hanging="334"/>
        <w:spacing w:after="0" w:line="236"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Chairman, Nvoice Payments, an electronic payment service provider (2010 – present)</w:t>
      </w:r>
    </w:p>
    <w:p>
      <w:pPr>
        <w:ind w:left="880" w:hanging="334"/>
        <w:spacing w:after="0" w:line="236"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Advisory Director, Specialized Bicycle, a manufacturer of cycling equipment (1995-2014)</w:t>
      </w:r>
    </w:p>
    <w:p>
      <w:pPr>
        <w:jc w:val="both"/>
        <w:ind w:left="880" w:right="119" w:hanging="334"/>
        <w:spacing w:after="0" w:line="236"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 directorships completed prior to 2014 include: Bottomline Technologies, a provider of payment and invoice automation software and services (2007 – 2012); Solera Holdings, a public automotive insurance software service provider (2005 – 2011); First Data Corporation, a payments solutions provider (1992-2003); and Global Document Solutions, a private document processing outsourcing company (2005-</w:t>
      </w:r>
    </w:p>
    <w:p>
      <w:pPr>
        <w:ind w:left="880"/>
        <w:spacing w:after="0"/>
        <w:rPr>
          <w:rFonts w:ascii="Arial" w:cs="Arial" w:eastAsia="Arial" w:hAnsi="Arial"/>
          <w:sz w:val="17"/>
          <w:szCs w:val="17"/>
          <w:color w:val="auto"/>
        </w:rPr>
      </w:pPr>
      <w:r>
        <w:rPr>
          <w:rFonts w:ascii="Arial" w:cs="Arial" w:eastAsia="Arial" w:hAnsi="Arial"/>
          <w:sz w:val="17"/>
          <w:szCs w:val="17"/>
          <w:color w:val="auto"/>
        </w:rPr>
        <w:t>2010).</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Other Relevant Experience</w:t>
      </w:r>
    </w:p>
    <w:p>
      <w:pPr>
        <w:spacing w:after="0" w:line="17" w:lineRule="exact"/>
        <w:rPr>
          <w:sz w:val="20"/>
          <w:szCs w:val="20"/>
          <w:color w:val="auto"/>
        </w:rPr>
      </w:pPr>
    </w:p>
    <w:p>
      <w:pPr>
        <w:ind w:left="880" w:hanging="33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Co-Founder and Co-Chairman, One Mind (1995 – present)</w:t>
      </w:r>
    </w:p>
    <w:p>
      <w:pPr>
        <w:ind w:left="880" w:hanging="334"/>
        <w:spacing w:after="0" w:line="236"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Founder and President, BringChange2Mind (2009 – 2014)</w:t>
      </w:r>
    </w:p>
    <w:p>
      <w:pPr>
        <w:ind w:left="880" w:hanging="33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Co-Chairman, UCLA Centennial Capital Campaign (2014 – present)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0" w:name="page21"/>
    <w:bookmarkEnd w:id="20"/>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Class I Directors (Terms Expiring in 2019)</w:t>
      </w:r>
    </w:p>
    <w:p>
      <w:pPr>
        <w:spacing w:after="0" w:line="129"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6760" w:type="dxa"/>
            <w:vAlign w:val="bottom"/>
            <w:shd w:val="clear" w:color="auto" w:fill="DD924E"/>
          </w:tcPr>
          <w:p>
            <w:pPr>
              <w:ind w:left="40"/>
              <w:spacing w:after="0"/>
              <w:rPr>
                <w:sz w:val="20"/>
                <w:szCs w:val="20"/>
                <w:color w:val="auto"/>
              </w:rPr>
            </w:pPr>
            <w:r>
              <w:rPr>
                <w:rFonts w:ascii="Arial" w:cs="Arial" w:eastAsia="Arial" w:hAnsi="Arial"/>
                <w:sz w:val="21"/>
                <w:szCs w:val="21"/>
                <w:b w:val="1"/>
                <w:bCs w:val="1"/>
                <w:color w:val="FFFFFF"/>
              </w:rPr>
              <w:t>Rohit Kapoor | Director since November 2002, Vice Chairman and</w:t>
            </w:r>
          </w:p>
        </w:tc>
        <w:tc>
          <w:tcPr>
            <w:tcW w:w="2040" w:type="dxa"/>
            <w:vAlign w:val="bottom"/>
            <w:shd w:val="clear" w:color="auto" w:fill="DD924E"/>
          </w:tcPr>
          <w:p>
            <w:pPr>
              <w:ind w:left="360"/>
              <w:spacing w:after="0"/>
              <w:rPr>
                <w:sz w:val="20"/>
                <w:szCs w:val="20"/>
                <w:color w:val="auto"/>
              </w:rPr>
            </w:pPr>
            <w:r>
              <w:rPr>
                <w:rFonts w:ascii="Arial" w:cs="Arial" w:eastAsia="Arial" w:hAnsi="Arial"/>
                <w:sz w:val="21"/>
                <w:szCs w:val="21"/>
                <w:b w:val="1"/>
                <w:bCs w:val="1"/>
                <w:color w:val="FFFFFF"/>
              </w:rPr>
              <w:t>Independent: No</w:t>
            </w:r>
          </w:p>
        </w:tc>
      </w:tr>
      <w:tr>
        <w:trPr>
          <w:trHeight w:val="289"/>
        </w:trPr>
        <w:tc>
          <w:tcPr>
            <w:tcW w:w="6760" w:type="dxa"/>
            <w:vAlign w:val="bottom"/>
            <w:shd w:val="clear" w:color="auto" w:fill="DD924E"/>
          </w:tcPr>
          <w:p>
            <w:pPr>
              <w:ind w:left="1700"/>
              <w:spacing w:after="0"/>
              <w:rPr>
                <w:sz w:val="20"/>
                <w:szCs w:val="20"/>
                <w:color w:val="auto"/>
              </w:rPr>
            </w:pPr>
            <w:r>
              <w:rPr>
                <w:rFonts w:ascii="Arial" w:cs="Arial" w:eastAsia="Arial" w:hAnsi="Arial"/>
                <w:sz w:val="21"/>
                <w:szCs w:val="21"/>
                <w:b w:val="1"/>
                <w:bCs w:val="1"/>
                <w:color w:val="FFFFFF"/>
              </w:rPr>
              <w:t>CEO since April 2012</w:t>
            </w:r>
          </w:p>
        </w:tc>
        <w:tc>
          <w:tcPr>
            <w:tcW w:w="2040" w:type="dxa"/>
            <w:vAlign w:val="bottom"/>
            <w:shd w:val="clear" w:color="auto" w:fill="DD924E"/>
          </w:tcPr>
          <w:p>
            <w:pPr>
              <w:spacing w:after="0"/>
              <w:rPr>
                <w:sz w:val="24"/>
                <w:szCs w:val="24"/>
                <w:color w:val="auto"/>
              </w:rPr>
            </w:pPr>
          </w:p>
        </w:tc>
      </w:tr>
    </w:tbl>
    <w:p>
      <w:pPr>
        <w:spacing w:after="0" w:line="215" w:lineRule="exact"/>
        <w:rPr>
          <w:sz w:val="20"/>
          <w:szCs w:val="20"/>
          <w:color w:val="auto"/>
        </w:rPr>
      </w:pPr>
    </w:p>
    <w:p>
      <w:pPr>
        <w:jc w:val="both"/>
        <w:ind w:left="2060" w:right="119"/>
        <w:spacing w:after="0" w:line="233" w:lineRule="auto"/>
        <w:rPr>
          <w:sz w:val="20"/>
          <w:szCs w:val="20"/>
          <w:color w:val="auto"/>
        </w:rPr>
      </w:pPr>
      <w:r>
        <w:rPr>
          <w:rFonts w:ascii="Arial" w:cs="Arial" w:eastAsia="Arial" w:hAnsi="Arial"/>
          <w:sz w:val="21"/>
          <w:szCs w:val="21"/>
          <w:i w:val="1"/>
          <w:iCs w:val="1"/>
          <w:color w:val="auto"/>
        </w:rPr>
        <w:t>Rohit Kapoor—</w:t>
      </w:r>
      <w:r>
        <w:rPr>
          <w:rFonts w:ascii="Arial" w:cs="Arial" w:eastAsia="Arial" w:hAnsi="Arial"/>
          <w:sz w:val="21"/>
          <w:szCs w:val="21"/>
          <w:color w:val="auto"/>
        </w:rPr>
        <w:t>Age: 53—</w:t>
      </w:r>
      <w:r>
        <w:rPr>
          <w:rFonts w:ascii="Arial" w:cs="Arial" w:eastAsia="Arial" w:hAnsi="Arial"/>
          <w:sz w:val="17"/>
          <w:szCs w:val="17"/>
          <w:color w:val="auto"/>
        </w:rPr>
        <w:t>co-founded EXL Inc. in April 1999 and has served as our</w:t>
      </w:r>
      <w:r>
        <w:rPr>
          <w:rFonts w:ascii="Arial" w:cs="Arial" w:eastAsia="Arial" w:hAnsi="Arial"/>
          <w:sz w:val="21"/>
          <w:szCs w:val="21"/>
          <w:i w:val="1"/>
          <w:iCs w:val="1"/>
          <w:color w:val="auto"/>
        </w:rPr>
        <w:t xml:space="preserve"> </w:t>
      </w:r>
      <w:r>
        <w:rPr>
          <w:rFonts w:ascii="Arial" w:cs="Arial" w:eastAsia="Arial" w:hAnsi="Arial"/>
          <w:sz w:val="17"/>
          <w:szCs w:val="17"/>
          <w:color w:val="auto"/>
        </w:rPr>
        <w:t>Vice Chairman and CEO since April 2012 and as a director since November 2002. He previously served as our President and CEO from May 2008 to March 2012. Mr. Kapoor’s business experience and directorships are detailed below. The Company has concluded that, in connection with Mr. Kapoor’s experience as a founder and current role as CEO of the Company, Mr. Kapoor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-761365</wp:posOffset>
            </wp:positionV>
            <wp:extent cx="1074420" cy="13595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74420" cy="135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 xml:space="preserve">Committees: </w:t>
      </w:r>
      <w:r>
        <w:rPr>
          <w:rFonts w:ascii="Arial" w:cs="Arial" w:eastAsia="Arial" w:hAnsi="Arial"/>
          <w:sz w:val="21"/>
          <w:szCs w:val="2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1790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84825" cy="179070"/>
                    </a:xfrm>
                    <a:prstGeom prst="rect">
                      <a:avLst/>
                    </a:prstGeom>
                    <a:noFill/>
                  </pic:spPr>
                </pic:pic>
              </a:graphicData>
            </a:graphic>
          </wp:anchor>
        </w:drawing>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Business Experience at the Company</w:t>
      </w:r>
    </w:p>
    <w:p>
      <w:pPr>
        <w:spacing w:after="0" w:line="17" w:lineRule="exact"/>
        <w:rPr>
          <w:sz w:val="20"/>
          <w:szCs w:val="20"/>
          <w:color w:val="auto"/>
        </w:rPr>
      </w:pPr>
    </w:p>
    <w:p>
      <w:pPr>
        <w:ind w:left="880" w:hanging="334"/>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Vice Chairman and CEO (2012 – present)</w:t>
      </w:r>
    </w:p>
    <w:p>
      <w:pPr>
        <w:ind w:left="880" w:hanging="334"/>
        <w:spacing w:after="0" w:line="236"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President and CEO (2008 – 2012)</w:t>
      </w:r>
    </w:p>
    <w:p>
      <w:pPr>
        <w:ind w:left="880" w:hanging="334"/>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Various senior leadership roles, including CFO and COO (2000 – 2008)</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Other Business Experience</w:t>
      </w:r>
    </w:p>
    <w:p>
      <w:pPr>
        <w:spacing w:after="0" w:line="17" w:lineRule="exact"/>
        <w:rPr>
          <w:sz w:val="20"/>
          <w:szCs w:val="20"/>
          <w:color w:val="auto"/>
        </w:rPr>
      </w:pPr>
    </w:p>
    <w:p>
      <w:pPr>
        <w:ind w:left="880" w:hanging="334"/>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Business head, Deutsche Bank, a financial services provider (1999-2000)</w:t>
      </w:r>
    </w:p>
    <w:p>
      <w:pPr>
        <w:ind w:left="880" w:hanging="334"/>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Various capacities at Bank of America in the United States and Asia, including India (1991-1999)</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Public Directorships during Past Five Years</w:t>
      </w:r>
    </w:p>
    <w:p>
      <w:pPr>
        <w:spacing w:after="0" w:line="21" w:lineRule="exact"/>
        <w:rPr>
          <w:sz w:val="20"/>
          <w:szCs w:val="20"/>
          <w:color w:val="auto"/>
        </w:rPr>
      </w:pPr>
    </w:p>
    <w:p>
      <w:pPr>
        <w:ind w:left="880" w:right="119" w:hanging="334"/>
        <w:spacing w:after="0" w:line="247"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Director and member of the audit committee, CA Technologies, Inc., a software services company (NASDAQ: CA) (2002 – present)</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Other Relevant Experience</w:t>
      </w:r>
    </w:p>
    <w:p>
      <w:pPr>
        <w:spacing w:after="0" w:line="17" w:lineRule="exact"/>
        <w:rPr>
          <w:sz w:val="20"/>
          <w:szCs w:val="20"/>
          <w:color w:val="auto"/>
        </w:rPr>
      </w:pPr>
    </w:p>
    <w:p>
      <w:pPr>
        <w:ind w:left="880" w:hanging="334"/>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Chairman, National Association of Software and Services Companies (“NASSCOM”) BPM Council.</w:t>
      </w:r>
    </w:p>
    <w:p>
      <w:pPr>
        <w:ind w:left="880" w:hanging="334"/>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Member, Board of Directors, America India Foundation (AIF)</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1" w:name="page22"/>
    <w:bookmarkEnd w:id="21"/>
    <w:p>
      <w:pPr>
        <w:spacing w:after="0" w:line="52" w:lineRule="exact"/>
        <w:rPr>
          <w:sz w:val="20"/>
          <w:szCs w:val="20"/>
          <w:color w:val="auto"/>
        </w:rPr>
      </w:pPr>
    </w:p>
    <w:p>
      <w:pPr>
        <w:ind w:left="200"/>
        <w:spacing w:after="0"/>
        <w:tabs>
          <w:tab w:leader="none" w:pos="7180" w:val="left"/>
        </w:tabs>
        <w:rPr>
          <w:sz w:val="20"/>
          <w:szCs w:val="20"/>
          <w:color w:val="auto"/>
        </w:rPr>
      </w:pPr>
      <w:r>
        <w:rPr>
          <w:rFonts w:ascii="Arial" w:cs="Arial" w:eastAsia="Arial" w:hAnsi="Arial"/>
          <w:sz w:val="21"/>
          <w:szCs w:val="21"/>
          <w:b w:val="1"/>
          <w:bCs w:val="1"/>
          <w:color w:val="FFFFFF"/>
        </w:rPr>
        <w:t>Anne E. Minto | Director since March 2013</w:t>
      </w:r>
      <w:r>
        <w:rPr>
          <w:sz w:val="20"/>
          <w:szCs w:val="20"/>
          <w:color w:val="auto"/>
        </w:rPr>
        <w:tab/>
      </w:r>
      <w:r>
        <w:rPr>
          <w:rFonts w:ascii="Arial" w:cs="Arial" w:eastAsia="Arial" w:hAnsi="Arial"/>
          <w:sz w:val="19"/>
          <w:szCs w:val="19"/>
          <w:b w:val="1"/>
          <w:bCs w:val="1"/>
          <w:color w:val="FFFFFF"/>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1790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84825" cy="179070"/>
                    </a:xfrm>
                    <a:prstGeom prst="rect">
                      <a:avLst/>
                    </a:prstGeom>
                    <a:noFill/>
                  </pic:spPr>
                </pic:pic>
              </a:graphicData>
            </a:graphic>
          </wp:anchor>
        </w:drawing>
      </w:r>
    </w:p>
    <w:p>
      <w:pPr>
        <w:spacing w:after="0" w:line="243" w:lineRule="exact"/>
        <w:rPr>
          <w:sz w:val="20"/>
          <w:szCs w:val="20"/>
          <w:color w:val="auto"/>
        </w:rPr>
      </w:pPr>
    </w:p>
    <w:p>
      <w:pPr>
        <w:jc w:val="both"/>
        <w:ind w:left="2060" w:right="119"/>
        <w:spacing w:after="0" w:line="233" w:lineRule="auto"/>
        <w:rPr>
          <w:sz w:val="20"/>
          <w:szCs w:val="20"/>
          <w:color w:val="auto"/>
        </w:rPr>
      </w:pPr>
      <w:r>
        <w:rPr>
          <w:rFonts w:ascii="Arial" w:cs="Arial" w:eastAsia="Arial" w:hAnsi="Arial"/>
          <w:sz w:val="21"/>
          <w:szCs w:val="21"/>
          <w:i w:val="1"/>
          <w:iCs w:val="1"/>
          <w:color w:val="auto"/>
        </w:rPr>
        <w:t>Anne E. Minto—</w:t>
      </w:r>
      <w:r>
        <w:rPr>
          <w:rFonts w:ascii="Arial" w:cs="Arial" w:eastAsia="Arial" w:hAnsi="Arial"/>
          <w:sz w:val="21"/>
          <w:szCs w:val="21"/>
          <w:color w:val="auto"/>
        </w:rPr>
        <w:t>Age: 64—</w:t>
      </w:r>
      <w:r>
        <w:rPr>
          <w:rFonts w:ascii="Arial" w:cs="Arial" w:eastAsia="Arial" w:hAnsi="Arial"/>
          <w:sz w:val="17"/>
          <w:szCs w:val="17"/>
          <w:color w:val="auto"/>
        </w:rPr>
        <w:t>is a qualified lawyer and member of the Law Society of</w:t>
      </w:r>
      <w:r>
        <w:rPr>
          <w:rFonts w:ascii="Arial" w:cs="Arial" w:eastAsia="Arial" w:hAnsi="Arial"/>
          <w:sz w:val="21"/>
          <w:szCs w:val="21"/>
          <w:i w:val="1"/>
          <w:iCs w:val="1"/>
          <w:color w:val="auto"/>
        </w:rPr>
        <w:t xml:space="preserve"> </w:t>
      </w:r>
      <w:r>
        <w:rPr>
          <w:rFonts w:ascii="Arial" w:cs="Arial" w:eastAsia="Arial" w:hAnsi="Arial"/>
          <w:sz w:val="17"/>
          <w:szCs w:val="17"/>
          <w:color w:val="auto"/>
        </w:rPr>
        <w:t>Scotland. Ms. Minto’s business experience and directorships are detailed below. The Company has concluded, based in part on Ms. Minto’s extensive experience as a member of international company boards and of management in the human resources field, together with her knowledge and experience of the European business and regulatory environment, that Ms. Minto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-761365</wp:posOffset>
            </wp:positionV>
            <wp:extent cx="1074420" cy="13595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74420" cy="135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 xml:space="preserve">Committees: </w:t>
      </w:r>
      <w:r>
        <w:rPr>
          <w:rFonts w:ascii="Arial" w:cs="Arial" w:eastAsia="Arial" w:hAnsi="Arial"/>
          <w:sz w:val="21"/>
          <w:szCs w:val="21"/>
          <w:color w:val="auto"/>
        </w:rPr>
        <w:t>Compensation (Chair), Nominating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1790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84825" cy="179070"/>
                    </a:xfrm>
                    <a:prstGeom prst="rect">
                      <a:avLst/>
                    </a:prstGeom>
                    <a:noFill/>
                  </pic:spPr>
                </pic:pic>
              </a:graphicData>
            </a:graphic>
          </wp:anchor>
        </w:drawing>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Business Experience</w:t>
      </w:r>
    </w:p>
    <w:p>
      <w:pPr>
        <w:spacing w:after="0" w:line="17" w:lineRule="exact"/>
        <w:rPr>
          <w:sz w:val="20"/>
          <w:szCs w:val="20"/>
          <w:color w:val="auto"/>
        </w:rPr>
      </w:pPr>
    </w:p>
    <w:p>
      <w:pPr>
        <w:ind w:left="880" w:hanging="334"/>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Lawyer and member of Law Society of Scotland</w:t>
      </w:r>
    </w:p>
    <w:p>
      <w:pPr>
        <w:ind w:left="880" w:right="119" w:hanging="334"/>
        <w:spacing w:after="0" w:line="236"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Former Group Director, Human Resources and member of the executive committee, Centrica plc, an energy and services company (2002 – 2011)</w:t>
      </w:r>
    </w:p>
    <w:p>
      <w:pPr>
        <w:ind w:left="880" w:hanging="334"/>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Prior senior management roles at Shell UK and Smiths Group plc</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Public Directorships During the Past Five Years</w:t>
      </w:r>
    </w:p>
    <w:p>
      <w:pPr>
        <w:spacing w:after="0" w:line="21" w:lineRule="exact"/>
        <w:rPr>
          <w:sz w:val="20"/>
          <w:szCs w:val="20"/>
          <w:color w:val="auto"/>
        </w:rPr>
      </w:pPr>
    </w:p>
    <w:p>
      <w:pPr>
        <w:jc w:val="both"/>
        <w:ind w:left="880" w:right="119" w:hanging="334"/>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Director, chairman of the remuneration committee and member of the nomination and governance committee, Shire plc, a global biopharmaceutical company (NASDAQ: SHPG, LSE: SHP) (2010 – present)</w:t>
      </w:r>
    </w:p>
    <w:p>
      <w:pPr>
        <w:spacing w:after="0" w:line="185" w:lineRule="exact"/>
        <w:rPr>
          <w:rFonts w:ascii="Arial" w:cs="Arial" w:eastAsia="Arial" w:hAnsi="Arial"/>
          <w:sz w:val="17"/>
          <w:szCs w:val="17"/>
          <w:color w:val="auto"/>
        </w:rPr>
      </w:pPr>
    </w:p>
    <w:p>
      <w:pPr>
        <w:ind w:left="880" w:right="119" w:hanging="334"/>
        <w:spacing w:after="0" w:line="247"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Director, chairman of the remuneration committee and member of the audit and nomination committees, Tate &amp; Lyle plc, a global provider of specialty foods (LSE: TATE) (2012 – present)</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Other Relevant Experience</w:t>
      </w:r>
    </w:p>
    <w:p>
      <w:pPr>
        <w:spacing w:after="0" w:line="17" w:lineRule="exact"/>
        <w:rPr>
          <w:sz w:val="20"/>
          <w:szCs w:val="20"/>
          <w:color w:val="auto"/>
        </w:rPr>
      </w:pPr>
    </w:p>
    <w:p>
      <w:pPr>
        <w:ind w:left="880" w:hanging="334"/>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Non-executive director, Court of the University of Aberdeen</w:t>
      </w:r>
    </w:p>
    <w:p>
      <w:pPr>
        <w:ind w:left="880" w:hanging="334"/>
        <w:spacing w:after="0" w:line="236"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Chairman, University of Aberdeen Development Trust</w:t>
      </w:r>
    </w:p>
    <w:p>
      <w:pPr>
        <w:ind w:left="880" w:hanging="334"/>
        <w:spacing w:after="0" w:line="236"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Fellow, Chartered Institute of Personnel &amp; Development and the City and Guilds of London Institute</w:t>
      </w:r>
    </w:p>
    <w:p>
      <w:pPr>
        <w:ind w:left="880" w:hanging="334"/>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Fellow, Chartered Institute of Management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2" w:name="page23"/>
    <w:bookmarkEnd w:id="22"/>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Class II Directors (Terms Expiring in 2020)</w:t>
      </w:r>
    </w:p>
    <w:p>
      <w:pPr>
        <w:spacing w:after="0" w:line="139" w:lineRule="exact"/>
        <w:rPr>
          <w:sz w:val="20"/>
          <w:szCs w:val="20"/>
          <w:color w:val="auto"/>
        </w:rPr>
      </w:pPr>
    </w:p>
    <w:p>
      <w:pPr>
        <w:ind w:left="200"/>
        <w:spacing w:after="0"/>
        <w:tabs>
          <w:tab w:leader="none" w:pos="7180" w:val="left"/>
        </w:tabs>
        <w:rPr>
          <w:sz w:val="20"/>
          <w:szCs w:val="20"/>
          <w:color w:val="auto"/>
        </w:rPr>
      </w:pPr>
      <w:r>
        <w:rPr>
          <w:rFonts w:ascii="Arial" w:cs="Arial" w:eastAsia="Arial" w:hAnsi="Arial"/>
          <w:sz w:val="21"/>
          <w:szCs w:val="21"/>
          <w:b w:val="1"/>
          <w:bCs w:val="1"/>
          <w:color w:val="FFFFFF"/>
        </w:rPr>
        <w:t>David Kelso| Director since July 2006</w:t>
      </w:r>
      <w:r>
        <w:rPr>
          <w:sz w:val="20"/>
          <w:szCs w:val="20"/>
          <w:color w:val="auto"/>
        </w:rPr>
        <w:tab/>
      </w:r>
      <w:r>
        <w:rPr>
          <w:rFonts w:ascii="Arial" w:cs="Arial" w:eastAsia="Arial" w:hAnsi="Arial"/>
          <w:sz w:val="19"/>
          <w:szCs w:val="19"/>
          <w:b w:val="1"/>
          <w:bCs w:val="1"/>
          <w:color w:val="FFFFFF"/>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1790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84825" cy="179070"/>
                    </a:xfrm>
                    <a:prstGeom prst="rect">
                      <a:avLst/>
                    </a:prstGeom>
                    <a:noFill/>
                  </pic:spPr>
                </pic:pic>
              </a:graphicData>
            </a:graphic>
          </wp:anchor>
        </w:drawing>
      </w:r>
    </w:p>
    <w:p>
      <w:pPr>
        <w:spacing w:after="0" w:line="243" w:lineRule="exact"/>
        <w:rPr>
          <w:sz w:val="20"/>
          <w:szCs w:val="20"/>
          <w:color w:val="auto"/>
        </w:rPr>
      </w:pPr>
    </w:p>
    <w:p>
      <w:pPr>
        <w:jc w:val="both"/>
        <w:ind w:left="2060" w:right="119"/>
        <w:spacing w:after="0" w:line="233" w:lineRule="auto"/>
        <w:rPr>
          <w:sz w:val="20"/>
          <w:szCs w:val="20"/>
          <w:color w:val="auto"/>
        </w:rPr>
      </w:pPr>
      <w:r>
        <w:rPr>
          <w:rFonts w:ascii="Arial" w:cs="Arial" w:eastAsia="Arial" w:hAnsi="Arial"/>
          <w:sz w:val="21"/>
          <w:szCs w:val="21"/>
          <w:i w:val="1"/>
          <w:iCs w:val="1"/>
          <w:color w:val="auto"/>
        </w:rPr>
        <w:t>David B. Kelso</w:t>
      </w:r>
      <w:r>
        <w:rPr>
          <w:rFonts w:ascii="Arial" w:cs="Arial" w:eastAsia="Arial" w:hAnsi="Arial"/>
          <w:sz w:val="21"/>
          <w:szCs w:val="21"/>
          <w:color w:val="auto"/>
        </w:rPr>
        <w:t>—Age: 65—</w:t>
      </w:r>
      <w:r>
        <w:rPr>
          <w:rFonts w:ascii="Arial" w:cs="Arial" w:eastAsia="Arial" w:hAnsi="Arial"/>
          <w:sz w:val="17"/>
          <w:szCs w:val="17"/>
          <w:color w:val="auto"/>
        </w:rPr>
        <w:t>is a financial advisor for Kelso Advisory Services, a</w:t>
      </w:r>
      <w:r>
        <w:rPr>
          <w:rFonts w:ascii="Arial" w:cs="Arial" w:eastAsia="Arial" w:hAnsi="Arial"/>
          <w:sz w:val="21"/>
          <w:szCs w:val="21"/>
          <w:i w:val="1"/>
          <w:iCs w:val="1"/>
          <w:color w:val="auto"/>
        </w:rPr>
        <w:t xml:space="preserve"> </w:t>
      </w:r>
      <w:r>
        <w:rPr>
          <w:rFonts w:ascii="Arial" w:cs="Arial" w:eastAsia="Arial" w:hAnsi="Arial"/>
          <w:sz w:val="17"/>
          <w:szCs w:val="17"/>
          <w:color w:val="auto"/>
        </w:rPr>
        <w:t>company he started in 2003. Mr. Kelso’s business experience and directorships are detailed below. The Company has concluded, based in part on Mr. Kelso’s business experience with Inductis, his management and operating experience at major public companies, his expertise in finance, strategy and investments, and his board and committee service at other global companies, that Mr. Kelso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-761365</wp:posOffset>
            </wp:positionV>
            <wp:extent cx="1074420" cy="13595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74420" cy="135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 xml:space="preserve">Committees: </w:t>
      </w:r>
      <w:r>
        <w:rPr>
          <w:rFonts w:ascii="Arial" w:cs="Arial" w:eastAsia="Arial" w:hAnsi="Arial"/>
          <w:sz w:val="21"/>
          <w:szCs w:val="21"/>
          <w:color w:val="auto"/>
        </w:rPr>
        <w:t>Audit*, Nominating and Corporate Governance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1790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84825" cy="179070"/>
                    </a:xfrm>
                    <a:prstGeom prst="rect">
                      <a:avLst/>
                    </a:prstGeom>
                    <a:noFill/>
                  </pic:spPr>
                </pic:pic>
              </a:graphicData>
            </a:graphic>
          </wp:anchor>
        </w:drawing>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Business Experience</w:t>
      </w:r>
    </w:p>
    <w:p>
      <w:pPr>
        <w:spacing w:after="0" w:line="17" w:lineRule="exact"/>
        <w:rPr>
          <w:sz w:val="20"/>
          <w:szCs w:val="20"/>
          <w:color w:val="auto"/>
        </w:rPr>
      </w:pPr>
    </w:p>
    <w:p>
      <w:pPr>
        <w:ind w:left="880" w:hanging="334"/>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Financial Advisor, Kelso Advisory Services (2003 – present)</w:t>
      </w:r>
    </w:p>
    <w:p>
      <w:pPr>
        <w:ind w:left="880" w:right="119" w:hanging="334"/>
        <w:spacing w:after="0" w:line="236"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Senior Advisor, Inductis, Inc., a strategy and analytics company, until its acquisition by the Company (June 2004 – June 2006)</w:t>
      </w:r>
    </w:p>
    <w:p>
      <w:pPr>
        <w:ind w:left="880" w:right="119" w:hanging="334"/>
        <w:spacing w:after="0" w:line="236"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Chairman, Aetna Life Insurance Co., Executive Vice President, Strategy and Finance and member of the Office of the Chairman for Aetna, Inc., a managed healthcare company (2001 – 2003)</w:t>
      </w:r>
    </w:p>
    <w:p>
      <w:pPr>
        <w:ind w:left="880" w:right="119" w:hanging="334"/>
        <w:spacing w:after="0" w:line="247"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Executive Vice President, Chief Financial Officer and Managing Director, Chubb Corporation, a property and casualty insurer (1996-2001)</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Public Directorships During Past Five Years</w:t>
      </w:r>
    </w:p>
    <w:p>
      <w:pPr>
        <w:spacing w:after="0" w:line="21" w:lineRule="exact"/>
        <w:rPr>
          <w:sz w:val="20"/>
          <w:szCs w:val="20"/>
          <w:color w:val="auto"/>
        </w:rPr>
      </w:pPr>
    </w:p>
    <w:p>
      <w:pPr>
        <w:ind w:left="880" w:right="139" w:hanging="334"/>
        <w:spacing w:after="0" w:line="247"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Director and member of audit committee and finance &amp; investment committee, Assurant, Inc., a global provider of risk management products and services (NYSE: AIZ) (2007 – 2015)</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Other Directorships</w:t>
      </w:r>
    </w:p>
    <w:p>
      <w:pPr>
        <w:spacing w:after="0" w:line="21" w:lineRule="exact"/>
        <w:rPr>
          <w:sz w:val="20"/>
          <w:szCs w:val="20"/>
          <w:color w:val="auto"/>
        </w:rPr>
      </w:pPr>
    </w:p>
    <w:p>
      <w:pPr>
        <w:ind w:left="880" w:right="119" w:hanging="334"/>
        <w:spacing w:after="0" w:line="236"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Lead independent director and chair of the audit, nominating and valuation committees, Sound Shore Fund, an equity mutual fund (2006 – present)</w:t>
      </w:r>
    </w:p>
    <w:p>
      <w:pPr>
        <w:ind w:left="880" w:hanging="334"/>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Director, Aspen Holdings Limited, a property and casualty reinsurance company (2005 – 2011)</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Other Relevant Experience</w:t>
      </w:r>
    </w:p>
    <w:p>
      <w:pPr>
        <w:spacing w:after="0" w:line="21" w:lineRule="exact"/>
        <w:rPr>
          <w:sz w:val="20"/>
          <w:szCs w:val="20"/>
          <w:color w:val="auto"/>
        </w:rPr>
      </w:pPr>
    </w:p>
    <w:p>
      <w:pPr>
        <w:ind w:left="880" w:hanging="334"/>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Board of Trustees, Darden School Foundation of the University of Virginia Darden School of Business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3"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7"/>
          <w:szCs w:val="17"/>
          <w:color w:val="auto"/>
        </w:rPr>
        <w:t>*Audit committee financial expert under applicable SEC rules and regulations.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3" w:name="page24"/>
    <w:bookmarkEnd w:id="23"/>
    <w:p>
      <w:pPr>
        <w:spacing w:after="0" w:line="52" w:lineRule="exact"/>
        <w:rPr>
          <w:sz w:val="20"/>
          <w:szCs w:val="20"/>
          <w:color w:val="auto"/>
        </w:rPr>
      </w:pPr>
    </w:p>
    <w:p>
      <w:pPr>
        <w:ind w:left="200"/>
        <w:spacing w:after="0"/>
        <w:tabs>
          <w:tab w:leader="none" w:pos="7180" w:val="left"/>
        </w:tabs>
        <w:rPr>
          <w:sz w:val="20"/>
          <w:szCs w:val="20"/>
          <w:color w:val="auto"/>
        </w:rPr>
      </w:pPr>
      <w:r>
        <w:rPr>
          <w:rFonts w:ascii="Arial" w:cs="Arial" w:eastAsia="Arial" w:hAnsi="Arial"/>
          <w:sz w:val="21"/>
          <w:szCs w:val="21"/>
          <w:b w:val="1"/>
          <w:bCs w:val="1"/>
          <w:color w:val="FFFFFF"/>
        </w:rPr>
        <w:t>Som Mittal | Director since December 2013</w:t>
      </w:r>
      <w:r>
        <w:rPr>
          <w:sz w:val="20"/>
          <w:szCs w:val="20"/>
          <w:color w:val="auto"/>
        </w:rPr>
        <w:tab/>
      </w:r>
      <w:r>
        <w:rPr>
          <w:rFonts w:ascii="Arial" w:cs="Arial" w:eastAsia="Arial" w:hAnsi="Arial"/>
          <w:sz w:val="19"/>
          <w:szCs w:val="19"/>
          <w:b w:val="1"/>
          <w:bCs w:val="1"/>
          <w:color w:val="FFFFFF"/>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1790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84825" cy="179070"/>
                    </a:xfrm>
                    <a:prstGeom prst="rect">
                      <a:avLst/>
                    </a:prstGeom>
                    <a:noFill/>
                  </pic:spPr>
                </pic:pic>
              </a:graphicData>
            </a:graphic>
          </wp:anchor>
        </w:drawing>
      </w:r>
    </w:p>
    <w:p>
      <w:pPr>
        <w:spacing w:after="0" w:line="243" w:lineRule="exact"/>
        <w:rPr>
          <w:sz w:val="20"/>
          <w:szCs w:val="20"/>
          <w:color w:val="auto"/>
        </w:rPr>
      </w:pPr>
    </w:p>
    <w:p>
      <w:pPr>
        <w:jc w:val="both"/>
        <w:ind w:left="2060" w:right="119"/>
        <w:spacing w:after="0" w:line="233" w:lineRule="auto"/>
        <w:rPr>
          <w:sz w:val="20"/>
          <w:szCs w:val="20"/>
          <w:color w:val="auto"/>
        </w:rPr>
      </w:pPr>
      <w:r>
        <w:rPr>
          <w:rFonts w:ascii="Arial" w:cs="Arial" w:eastAsia="Arial" w:hAnsi="Arial"/>
          <w:sz w:val="21"/>
          <w:szCs w:val="21"/>
          <w:i w:val="1"/>
          <w:iCs w:val="1"/>
          <w:color w:val="auto"/>
        </w:rPr>
        <w:t>Som Mittal</w:t>
      </w:r>
      <w:r>
        <w:rPr>
          <w:rFonts w:ascii="Arial" w:cs="Arial" w:eastAsia="Arial" w:hAnsi="Arial"/>
          <w:sz w:val="21"/>
          <w:szCs w:val="21"/>
          <w:color w:val="auto"/>
        </w:rPr>
        <w:t>—Age: 66—</w:t>
      </w:r>
      <w:r>
        <w:rPr>
          <w:rFonts w:ascii="Arial" w:cs="Arial" w:eastAsia="Arial" w:hAnsi="Arial"/>
          <w:sz w:val="17"/>
          <w:szCs w:val="17"/>
          <w:color w:val="auto"/>
        </w:rPr>
        <w:t>has held various corporate leadership roles in the IT industry</w:t>
      </w:r>
      <w:r>
        <w:rPr>
          <w:rFonts w:ascii="Arial" w:cs="Arial" w:eastAsia="Arial" w:hAnsi="Arial"/>
          <w:sz w:val="21"/>
          <w:szCs w:val="21"/>
          <w:i w:val="1"/>
          <w:iCs w:val="1"/>
          <w:color w:val="auto"/>
        </w:rPr>
        <w:t xml:space="preserve"> </w:t>
      </w:r>
      <w:r>
        <w:rPr>
          <w:rFonts w:ascii="Arial" w:cs="Arial" w:eastAsia="Arial" w:hAnsi="Arial"/>
          <w:sz w:val="17"/>
          <w:szCs w:val="17"/>
          <w:color w:val="auto"/>
        </w:rPr>
        <w:t>since 1989 and extensive experience in the engineering and automotive sectors. His business experience and directorships are detailed below. The Company has concluded, based in part on Mr. Mittal’s business experience as President of NASSCOM and his knowledge of the outsourcing industry, that Mr. Mittal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-640715</wp:posOffset>
            </wp:positionV>
            <wp:extent cx="1074420" cy="13595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74420" cy="135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 xml:space="preserve">Committees: </w:t>
      </w:r>
      <w:r>
        <w:rPr>
          <w:rFonts w:ascii="Arial" w:cs="Arial" w:eastAsia="Arial" w:hAnsi="Arial"/>
          <w:sz w:val="21"/>
          <w:szCs w:val="21"/>
          <w:color w:val="auto"/>
        </w:rPr>
        <w:t>Compensation, 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1790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84825" cy="179070"/>
                    </a:xfrm>
                    <a:prstGeom prst="rect">
                      <a:avLst/>
                    </a:prstGeom>
                    <a:noFill/>
                  </pic:spPr>
                </pic:pic>
              </a:graphicData>
            </a:graphic>
          </wp:anchor>
        </w:drawing>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Business Experience</w:t>
      </w:r>
    </w:p>
    <w:p>
      <w:pPr>
        <w:spacing w:after="0" w:line="21" w:lineRule="exact"/>
        <w:rPr>
          <w:sz w:val="20"/>
          <w:szCs w:val="20"/>
          <w:color w:val="auto"/>
        </w:rPr>
      </w:pPr>
    </w:p>
    <w:p>
      <w:pPr>
        <w:ind w:left="880" w:right="119" w:hanging="334"/>
        <w:spacing w:after="0" w:line="236"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Chairman and President, NASSCOM, a trade body for the IT and business process management industries in India (2008 – 2014)</w:t>
      </w:r>
    </w:p>
    <w:p>
      <w:pPr>
        <w:ind w:left="880" w:hanging="334"/>
        <w:spacing w:after="0" w:line="236"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Prior leadership roles at Wipro, and at Digital, Compaq and HP</w:t>
      </w:r>
    </w:p>
    <w:p>
      <w:pPr>
        <w:ind w:left="880" w:hanging="334"/>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Prior executive roles at Larsen &amp; Toubro, Escorts and Denso</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Public Directorships During Past Five Years</w:t>
      </w:r>
    </w:p>
    <w:p>
      <w:pPr>
        <w:spacing w:after="0" w:line="21" w:lineRule="exact"/>
        <w:rPr>
          <w:sz w:val="20"/>
          <w:szCs w:val="20"/>
          <w:color w:val="auto"/>
        </w:rPr>
      </w:pPr>
    </w:p>
    <w:p>
      <w:pPr>
        <w:jc w:val="both"/>
        <w:ind w:left="880" w:right="119" w:hanging="334"/>
        <w:spacing w:after="0" w:line="236"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Director and chairman of customer service committee, member of nomination and remuneration committee and other committees, Axis Bank, Ltd., a financial services company (NSE:Axis) (2011 – present)</w:t>
      </w:r>
    </w:p>
    <w:p>
      <w:pPr>
        <w:ind w:left="880" w:right="139" w:hanging="334"/>
        <w:spacing w:after="0" w:line="236"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Director and member of audit and risk management committee, Cyient Ltd., an engineering design services company (NSE:CYIENT) (2014 – present)</w:t>
      </w:r>
    </w:p>
    <w:p>
      <w:pPr>
        <w:ind w:left="880" w:right="119" w:hanging="334"/>
        <w:spacing w:after="0" w:line="247"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Director and chairman of nomination and remuneration committee, Sheela Foam Ltd., a manufacturing company (NSE: SFL) (2016 – present)</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Other Directorships</w:t>
      </w:r>
    </w:p>
    <w:p>
      <w:pPr>
        <w:spacing w:after="0" w:line="21" w:lineRule="exact"/>
        <w:rPr>
          <w:sz w:val="20"/>
          <w:szCs w:val="20"/>
          <w:color w:val="auto"/>
        </w:rPr>
      </w:pPr>
    </w:p>
    <w:p>
      <w:pPr>
        <w:ind w:left="880" w:hanging="334"/>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Tata SIA Airlines, Ltd., an Indian domestic airline (2015 – present)</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Other Relevant Experience</w:t>
      </w:r>
    </w:p>
    <w:p>
      <w:pPr>
        <w:spacing w:after="0" w:line="17" w:lineRule="exact"/>
        <w:rPr>
          <w:sz w:val="20"/>
          <w:szCs w:val="20"/>
          <w:color w:val="auto"/>
        </w:rPr>
      </w:pPr>
    </w:p>
    <w:p>
      <w:pPr>
        <w:ind w:left="880" w:hanging="334"/>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Prior member, Board of Governors, Indian Institute of Corporate Affairs</w:t>
      </w:r>
    </w:p>
    <w:p>
      <w:pPr>
        <w:ind w:left="880" w:hanging="334"/>
        <w:spacing w:after="0" w:line="236"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Prior Committee Member, Indian Prime Minister’s National e-Governance Program</w:t>
      </w:r>
    </w:p>
    <w:p>
      <w:pPr>
        <w:ind w:left="880" w:hanging="334"/>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Member/trustee of educational institutions and non-governmental organizations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4" w:name="page25"/>
    <w:bookmarkEnd w:id="24"/>
    <w:p>
      <w:pPr>
        <w:spacing w:after="0" w:line="52" w:lineRule="exact"/>
        <w:rPr>
          <w:sz w:val="20"/>
          <w:szCs w:val="20"/>
          <w:color w:val="auto"/>
        </w:rPr>
      </w:pPr>
    </w:p>
    <w:p>
      <w:pPr>
        <w:ind w:left="200"/>
        <w:spacing w:after="0"/>
        <w:tabs>
          <w:tab w:leader="none" w:pos="7180" w:val="left"/>
        </w:tabs>
        <w:rPr>
          <w:sz w:val="20"/>
          <w:szCs w:val="20"/>
          <w:color w:val="auto"/>
        </w:rPr>
      </w:pPr>
      <w:r>
        <w:rPr>
          <w:rFonts w:ascii="Arial" w:cs="Arial" w:eastAsia="Arial" w:hAnsi="Arial"/>
          <w:sz w:val="21"/>
          <w:szCs w:val="21"/>
          <w:b w:val="1"/>
          <w:bCs w:val="1"/>
          <w:color w:val="FFFFFF"/>
        </w:rPr>
        <w:t>Clyde Ostler | Director since December 2007</w:t>
      </w:r>
      <w:r>
        <w:rPr>
          <w:sz w:val="20"/>
          <w:szCs w:val="20"/>
          <w:color w:val="auto"/>
        </w:rPr>
        <w:tab/>
      </w:r>
      <w:r>
        <w:rPr>
          <w:rFonts w:ascii="Arial" w:cs="Arial" w:eastAsia="Arial" w:hAnsi="Arial"/>
          <w:sz w:val="19"/>
          <w:szCs w:val="19"/>
          <w:b w:val="1"/>
          <w:bCs w:val="1"/>
          <w:color w:val="FFFFFF"/>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1790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84825" cy="179070"/>
                    </a:xfrm>
                    <a:prstGeom prst="rect">
                      <a:avLst/>
                    </a:prstGeom>
                    <a:noFill/>
                  </pic:spPr>
                </pic:pic>
              </a:graphicData>
            </a:graphic>
          </wp:anchor>
        </w:drawing>
      </w:r>
    </w:p>
    <w:p>
      <w:pPr>
        <w:spacing w:after="0" w:line="243" w:lineRule="exact"/>
        <w:rPr>
          <w:sz w:val="20"/>
          <w:szCs w:val="20"/>
          <w:color w:val="auto"/>
        </w:rPr>
      </w:pPr>
    </w:p>
    <w:p>
      <w:pPr>
        <w:jc w:val="both"/>
        <w:ind w:left="2060" w:right="119"/>
        <w:spacing w:after="0" w:line="232" w:lineRule="auto"/>
        <w:rPr>
          <w:sz w:val="20"/>
          <w:szCs w:val="20"/>
          <w:color w:val="auto"/>
        </w:rPr>
      </w:pPr>
      <w:r>
        <w:rPr>
          <w:rFonts w:ascii="Arial" w:cs="Arial" w:eastAsia="Arial" w:hAnsi="Arial"/>
          <w:sz w:val="21"/>
          <w:szCs w:val="21"/>
          <w:i w:val="1"/>
          <w:iCs w:val="1"/>
          <w:color w:val="auto"/>
        </w:rPr>
        <w:t>Clyde W. Ostler</w:t>
      </w:r>
      <w:r>
        <w:rPr>
          <w:rFonts w:ascii="Arial" w:cs="Arial" w:eastAsia="Arial" w:hAnsi="Arial"/>
          <w:sz w:val="21"/>
          <w:szCs w:val="21"/>
          <w:color w:val="auto"/>
        </w:rPr>
        <w:t>—Age: 71—</w:t>
      </w:r>
      <w:r>
        <w:rPr>
          <w:rFonts w:ascii="Arial" w:cs="Arial" w:eastAsia="Arial" w:hAnsi="Arial"/>
          <w:sz w:val="17"/>
          <w:szCs w:val="17"/>
          <w:color w:val="auto"/>
        </w:rPr>
        <w:t>is a retired executive of Wells Fargo and during his 40-year tenure held numerous senior leadership positions within that organization. The Company has concluded, based in part on Mr. Ostler’s business experience through his positions at Wells Fargo &amp; Company, that Mr. Ostler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-518160</wp:posOffset>
            </wp:positionV>
            <wp:extent cx="903605" cy="13595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03605" cy="135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 xml:space="preserve">Committees: </w:t>
      </w:r>
      <w:r>
        <w:rPr>
          <w:rFonts w:ascii="Arial" w:cs="Arial" w:eastAsia="Arial" w:hAnsi="Arial"/>
          <w:sz w:val="21"/>
          <w:szCs w:val="21"/>
          <w:color w:val="auto"/>
        </w:rPr>
        <w:t>Audit (Chair)*,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1790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84825" cy="179070"/>
                    </a:xfrm>
                    <a:prstGeom prst="rect">
                      <a:avLst/>
                    </a:prstGeom>
                    <a:noFill/>
                  </pic:spPr>
                </pic:pic>
              </a:graphicData>
            </a:graphic>
          </wp:anchor>
        </w:drawing>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Business Experience</w:t>
      </w:r>
    </w:p>
    <w:p>
      <w:pPr>
        <w:spacing w:after="0" w:line="21" w:lineRule="exact"/>
        <w:rPr>
          <w:sz w:val="20"/>
          <w:szCs w:val="20"/>
          <w:color w:val="auto"/>
        </w:rPr>
      </w:pPr>
    </w:p>
    <w:p>
      <w:pPr>
        <w:jc w:val="both"/>
        <w:ind w:left="880" w:right="119" w:hanging="334"/>
        <w:spacing w:after="0" w:line="236"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Leadership positions within Wells Fargo including: Group Executive Vice President, Wells Fargo &amp; Co., Vice Chairman, Wells Fargo Bank California NA, President, Wells Fargo Family Wealth, Vice Chairman in the Office of the President, Chief Financial Officer, Chief Auditor, Head of Retail Branch Banking, Head of Information Technology, Head of Institutional and Personal Investments and Head of Internet Services</w:t>
      </w:r>
    </w:p>
    <w:p>
      <w:pPr>
        <w:ind w:left="880" w:hanging="334"/>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Served on the Senior Management Committee of Wells Fargo for over 25 years</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Public Directorships During the Past Five Years</w:t>
      </w:r>
    </w:p>
    <w:p>
      <w:pPr>
        <w:spacing w:after="0" w:line="21" w:lineRule="exact"/>
        <w:rPr>
          <w:sz w:val="20"/>
          <w:szCs w:val="20"/>
          <w:color w:val="auto"/>
        </w:rPr>
      </w:pPr>
    </w:p>
    <w:p>
      <w:pPr>
        <w:ind w:left="880" w:right="119" w:hanging="334"/>
        <w:spacing w:after="0" w:line="247"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Director, member of the audit committee and compensation committee, McClatchy Company, a publishing company (NYSE: MNI) (2013 – present)</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Other Directorships</w:t>
      </w:r>
    </w:p>
    <w:p>
      <w:pPr>
        <w:spacing w:after="0" w:line="21" w:lineRule="exact"/>
        <w:rPr>
          <w:sz w:val="20"/>
          <w:szCs w:val="20"/>
          <w:color w:val="auto"/>
        </w:rPr>
      </w:pPr>
    </w:p>
    <w:p>
      <w:pPr>
        <w:ind w:left="880" w:hanging="334"/>
        <w:spacing w:after="0"/>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Advisory Director Emeritus, FTV Capital, a private global investment company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1"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7"/>
          <w:szCs w:val="17"/>
          <w:color w:val="auto"/>
        </w:rPr>
        <w:t>*Audit committee financial expert under applicable SEC rules and regulations.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5" w:name="page26"/>
    <w:bookmarkEnd w:id="25"/>
    <w:p>
      <w:pPr>
        <w:spacing w:after="0" w:line="94"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CORPORATE GOVERNANCE</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Director Independence</w:t>
      </w:r>
    </w:p>
    <w:p>
      <w:pPr>
        <w:spacing w:after="0" w:line="149"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In determining director independence, the board of directors considered the transactions and relationships set forth below under “Certain Relationships and Related Person Transactions—Related Party Transactions.” Based on its review of all applicable relationships, our board of directors has determined that all of the members on our board of directors, other than Mr. Kapoor, meet the independence requirements of the Nasdaq Stock Market and federal securities laws.</w:t>
      </w:r>
    </w:p>
    <w:p>
      <w:pPr>
        <w:sectPr>
          <w:pgSz w:w="11900" w:h="16838" w:orient="portrait"/>
          <w:cols w:equalWidth="0" w:num="1">
            <w:col w:w="9019"/>
          </w:cols>
          <w:pgMar w:left="1440" w:top="1440" w:right="1440" w:bottom="1440" w:gutter="0" w:footer="0" w:header="0"/>
        </w:sectPr>
      </w:pPr>
    </w:p>
    <w:p>
      <w:pPr>
        <w:spacing w:after="0" w:line="9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Meeting Attendance</w:t>
      </w:r>
    </w:p>
    <w:p>
      <w:pPr>
        <w:spacing w:after="0" w:line="162" w:lineRule="exact"/>
        <w:rPr>
          <w:sz w:val="20"/>
          <w:szCs w:val="20"/>
          <w:color w:val="auto"/>
        </w:rPr>
      </w:pPr>
    </w:p>
    <w:p>
      <w:pPr>
        <w:jc w:val="both"/>
        <w:ind w:left="160"/>
        <w:spacing w:after="0" w:line="237" w:lineRule="auto"/>
        <w:rPr>
          <w:sz w:val="20"/>
          <w:szCs w:val="20"/>
          <w:color w:val="auto"/>
        </w:rPr>
      </w:pPr>
      <w:r>
        <w:rPr>
          <w:rFonts w:ascii="Arial" w:cs="Arial" w:eastAsia="Arial" w:hAnsi="Arial"/>
          <w:sz w:val="17"/>
          <w:szCs w:val="17"/>
          <w:color w:val="auto"/>
        </w:rPr>
        <w:t>Our directors are expected to attend all board of directors meetings and meetings of committees on which they serve. Directors are also expected to spend sufficient time and meet as frequently as necessary to discharge their responsibilities properly. Each member of our board of directors attended at least 75% of the aggregate meetings of our board of directors and the committees on which they served during 2017. It is our policy that all of our directors should attend our Annual Meetings of Stockholders absent exceptional cause. All of the persons who were members of the board of directors at the time of our 2017 Annual Meeting of Stockholders attended such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1"/>
        </w:trPr>
        <w:tc>
          <w:tcPr>
            <w:tcW w:w="2700" w:type="dxa"/>
            <w:vAlign w:val="bottom"/>
            <w:tcBorders>
              <w:left w:val="single" w:sz="8" w:color="DD924E"/>
            </w:tcBorders>
            <w:shd w:val="clear" w:color="auto" w:fill="DD924E"/>
          </w:tcPr>
          <w:p>
            <w:pPr>
              <w:spacing w:after="0"/>
              <w:rPr>
                <w:sz w:val="15"/>
                <w:szCs w:val="15"/>
                <w:color w:val="auto"/>
              </w:rPr>
            </w:pPr>
          </w:p>
        </w:tc>
        <w:tc>
          <w:tcPr>
            <w:tcW w:w="1480" w:type="dxa"/>
            <w:vAlign w:val="bottom"/>
            <w:tcBorders>
              <w:right w:val="single" w:sz="8" w:color="DD924E"/>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6"/>
              </w:rPr>
              <w:t>2017</w:t>
            </w:r>
          </w:p>
        </w:tc>
      </w:tr>
      <w:tr>
        <w:trPr>
          <w:trHeight w:val="191"/>
        </w:trPr>
        <w:tc>
          <w:tcPr>
            <w:tcW w:w="2700" w:type="dxa"/>
            <w:vAlign w:val="bottom"/>
            <w:tcBorders>
              <w:left w:val="single" w:sz="8" w:color="DD924E"/>
            </w:tcBorders>
            <w:shd w:val="clear" w:color="auto" w:fill="DD924E"/>
          </w:tcPr>
          <w:p>
            <w:pPr>
              <w:spacing w:after="0"/>
              <w:rPr>
                <w:sz w:val="16"/>
                <w:szCs w:val="16"/>
                <w:color w:val="auto"/>
              </w:rPr>
            </w:pPr>
          </w:p>
        </w:tc>
        <w:tc>
          <w:tcPr>
            <w:tcW w:w="1480" w:type="dxa"/>
            <w:vAlign w:val="bottom"/>
            <w:tcBorders>
              <w:right w:val="single" w:sz="8" w:color="DD924E"/>
            </w:tcBorders>
            <w:shd w:val="clear" w:color="auto" w:fill="DD924E"/>
          </w:tcPr>
          <w:p>
            <w:pPr>
              <w:ind w:left="420"/>
              <w:spacing w:after="0"/>
              <w:rPr>
                <w:sz w:val="20"/>
                <w:szCs w:val="20"/>
                <w:color w:val="auto"/>
              </w:rPr>
            </w:pPr>
            <w:r>
              <w:rPr>
                <w:rFonts w:ascii="Arial" w:cs="Arial" w:eastAsia="Arial" w:hAnsi="Arial"/>
                <w:sz w:val="14"/>
                <w:szCs w:val="14"/>
                <w:b w:val="1"/>
                <w:bCs w:val="1"/>
                <w:color w:val="FFFFFF"/>
              </w:rPr>
              <w:t>Meetings</w:t>
            </w:r>
          </w:p>
        </w:tc>
      </w:tr>
      <w:tr>
        <w:trPr>
          <w:trHeight w:val="205"/>
        </w:trPr>
        <w:tc>
          <w:tcPr>
            <w:tcW w:w="2700" w:type="dxa"/>
            <w:vAlign w:val="bottom"/>
            <w:tcBorders>
              <w:left w:val="single" w:sz="8" w:color="DD924E"/>
            </w:tcBorders>
            <w:shd w:val="clear" w:color="auto" w:fill="FBF4ED"/>
          </w:tcPr>
          <w:p>
            <w:pPr>
              <w:ind w:left="60"/>
              <w:spacing w:after="0"/>
              <w:rPr>
                <w:sz w:val="20"/>
                <w:szCs w:val="20"/>
                <w:color w:val="auto"/>
              </w:rPr>
            </w:pPr>
            <w:r>
              <w:rPr>
                <w:rFonts w:ascii="Arial" w:cs="Arial" w:eastAsia="Arial" w:hAnsi="Arial"/>
                <w:sz w:val="14"/>
                <w:szCs w:val="14"/>
                <w:color w:val="auto"/>
              </w:rPr>
              <w:t>Board</w:t>
            </w:r>
          </w:p>
        </w:tc>
        <w:tc>
          <w:tcPr>
            <w:tcW w:w="1480" w:type="dxa"/>
            <w:vAlign w:val="bottom"/>
            <w:tcBorders>
              <w:right w:val="single" w:sz="8" w:color="DD924E"/>
            </w:tcBorders>
            <w:shd w:val="clear" w:color="auto" w:fill="FBF4ED"/>
          </w:tcPr>
          <w:p>
            <w:pPr>
              <w:jc w:val="center"/>
              <w:spacing w:after="0"/>
              <w:rPr>
                <w:sz w:val="20"/>
                <w:szCs w:val="20"/>
                <w:color w:val="auto"/>
              </w:rPr>
            </w:pPr>
            <w:r>
              <w:rPr>
                <w:rFonts w:ascii="Arial" w:cs="Arial" w:eastAsia="Arial" w:hAnsi="Arial"/>
                <w:sz w:val="14"/>
                <w:szCs w:val="14"/>
                <w:color w:val="auto"/>
              </w:rPr>
              <w:t>6</w:t>
            </w:r>
          </w:p>
        </w:tc>
      </w:tr>
      <w:tr>
        <w:trPr>
          <w:trHeight w:val="199"/>
        </w:trPr>
        <w:tc>
          <w:tcPr>
            <w:tcW w:w="2700" w:type="dxa"/>
            <w:vAlign w:val="bottom"/>
            <w:tcBorders>
              <w:left w:val="single" w:sz="8" w:color="DD924E"/>
            </w:tcBorders>
          </w:tcPr>
          <w:p>
            <w:pPr>
              <w:ind w:left="60"/>
              <w:spacing w:after="0"/>
              <w:rPr>
                <w:sz w:val="20"/>
                <w:szCs w:val="20"/>
                <w:color w:val="auto"/>
              </w:rPr>
            </w:pPr>
            <w:r>
              <w:rPr>
                <w:rFonts w:ascii="Arial" w:cs="Arial" w:eastAsia="Arial" w:hAnsi="Arial"/>
                <w:sz w:val="14"/>
                <w:szCs w:val="14"/>
                <w:color w:val="auto"/>
              </w:rPr>
              <w:t>Audit</w:t>
            </w:r>
          </w:p>
        </w:tc>
        <w:tc>
          <w:tcPr>
            <w:tcW w:w="1480" w:type="dxa"/>
            <w:vAlign w:val="bottom"/>
            <w:tcBorders>
              <w:right w:val="single" w:sz="8" w:color="DD924E"/>
            </w:tcBorders>
          </w:tcPr>
          <w:p>
            <w:pPr>
              <w:jc w:val="center"/>
              <w:spacing w:after="0"/>
              <w:rPr>
                <w:sz w:val="20"/>
                <w:szCs w:val="20"/>
                <w:color w:val="auto"/>
              </w:rPr>
            </w:pPr>
            <w:r>
              <w:rPr>
                <w:rFonts w:ascii="Arial" w:cs="Arial" w:eastAsia="Arial" w:hAnsi="Arial"/>
                <w:sz w:val="14"/>
                <w:szCs w:val="14"/>
                <w:color w:val="auto"/>
              </w:rPr>
              <w:t>9</w:t>
            </w:r>
          </w:p>
        </w:tc>
      </w:tr>
      <w:tr>
        <w:trPr>
          <w:trHeight w:val="211"/>
        </w:trPr>
        <w:tc>
          <w:tcPr>
            <w:tcW w:w="2700" w:type="dxa"/>
            <w:vAlign w:val="bottom"/>
            <w:tcBorders>
              <w:left w:val="single" w:sz="8" w:color="DD924E"/>
            </w:tcBorders>
            <w:shd w:val="clear" w:color="auto" w:fill="FBF4ED"/>
          </w:tcPr>
          <w:p>
            <w:pPr>
              <w:ind w:left="60"/>
              <w:spacing w:after="0"/>
              <w:rPr>
                <w:sz w:val="20"/>
                <w:szCs w:val="20"/>
                <w:color w:val="auto"/>
              </w:rPr>
            </w:pPr>
            <w:r>
              <w:rPr>
                <w:rFonts w:ascii="Arial" w:cs="Arial" w:eastAsia="Arial" w:hAnsi="Arial"/>
                <w:sz w:val="14"/>
                <w:szCs w:val="14"/>
                <w:color w:val="auto"/>
              </w:rPr>
              <w:t>Compensation</w:t>
            </w:r>
          </w:p>
        </w:tc>
        <w:tc>
          <w:tcPr>
            <w:tcW w:w="1480" w:type="dxa"/>
            <w:vAlign w:val="bottom"/>
            <w:tcBorders>
              <w:right w:val="single" w:sz="8" w:color="DD924E"/>
            </w:tcBorders>
            <w:shd w:val="clear" w:color="auto" w:fill="FBF4ED"/>
          </w:tcPr>
          <w:p>
            <w:pPr>
              <w:jc w:val="center"/>
              <w:spacing w:after="0"/>
              <w:rPr>
                <w:sz w:val="20"/>
                <w:szCs w:val="20"/>
                <w:color w:val="auto"/>
              </w:rPr>
            </w:pPr>
            <w:r>
              <w:rPr>
                <w:rFonts w:ascii="Arial" w:cs="Arial" w:eastAsia="Arial" w:hAnsi="Arial"/>
                <w:sz w:val="14"/>
                <w:szCs w:val="14"/>
                <w:color w:val="auto"/>
              </w:rPr>
              <w:t>7</w:t>
            </w:r>
          </w:p>
        </w:tc>
      </w:tr>
      <w:tr>
        <w:trPr>
          <w:trHeight w:val="199"/>
        </w:trPr>
        <w:tc>
          <w:tcPr>
            <w:tcW w:w="2700" w:type="dxa"/>
            <w:vAlign w:val="bottom"/>
            <w:tcBorders>
              <w:left w:val="single" w:sz="8" w:color="DD924E"/>
              <w:bottom w:val="single" w:sz="8" w:color="DD924E"/>
            </w:tcBorders>
          </w:tcPr>
          <w:p>
            <w:pPr>
              <w:ind w:left="60"/>
              <w:spacing w:after="0"/>
              <w:rPr>
                <w:sz w:val="20"/>
                <w:szCs w:val="20"/>
                <w:color w:val="auto"/>
              </w:rPr>
            </w:pPr>
            <w:r>
              <w:rPr>
                <w:rFonts w:ascii="Arial" w:cs="Arial" w:eastAsia="Arial" w:hAnsi="Arial"/>
                <w:sz w:val="14"/>
                <w:szCs w:val="14"/>
                <w:color w:val="auto"/>
              </w:rPr>
              <w:t>Nominating and Governance</w:t>
            </w:r>
          </w:p>
        </w:tc>
        <w:tc>
          <w:tcPr>
            <w:tcW w:w="1480" w:type="dxa"/>
            <w:vAlign w:val="bottom"/>
            <w:tcBorders>
              <w:bottom w:val="single" w:sz="8" w:color="DD924E"/>
              <w:right w:val="single" w:sz="8" w:color="DD924E"/>
            </w:tcBorders>
          </w:tcPr>
          <w:p>
            <w:pPr>
              <w:jc w:val="center"/>
              <w:spacing w:after="0"/>
              <w:rPr>
                <w:sz w:val="20"/>
                <w:szCs w:val="20"/>
                <w:color w:val="auto"/>
              </w:rPr>
            </w:pPr>
            <w:r>
              <w:rPr>
                <w:rFonts w:ascii="Arial" w:cs="Arial" w:eastAsia="Arial" w:hAnsi="Arial"/>
                <w:sz w:val="14"/>
                <w:szCs w:val="14"/>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260350</wp:posOffset>
            </wp:positionV>
            <wp:extent cx="2646045" cy="4641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46045" cy="4641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38"/>
          <w:szCs w:val="38"/>
          <w:b w:val="1"/>
          <w:bCs w:val="1"/>
          <w:color w:val="518DC8"/>
        </w:rPr>
        <w:t xml:space="preserve">28 </w:t>
      </w:r>
      <w:r>
        <w:rPr>
          <w:rFonts w:ascii="Arial" w:cs="Arial" w:eastAsia="Arial" w:hAnsi="Arial"/>
          <w:sz w:val="17"/>
          <w:szCs w:val="17"/>
          <w:b w:val="1"/>
          <w:bCs w:val="1"/>
          <w:color w:val="518DC8"/>
        </w:rPr>
        <w:t>Total Board and Committee</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518DC8"/>
        </w:rPr>
        <w:t>Meetings in 2017</w:t>
      </w:r>
    </w:p>
    <w:p>
      <w:pPr>
        <w:spacing w:after="0" w:line="362" w:lineRule="exact"/>
        <w:rPr>
          <w:sz w:val="20"/>
          <w:szCs w:val="20"/>
          <w:color w:val="auto"/>
        </w:rPr>
      </w:pPr>
    </w:p>
    <w:p>
      <w:pPr>
        <w:sectPr>
          <w:pgSz w:w="11900" w:h="16838" w:orient="portrait"/>
          <w:cols w:equalWidth="0" w:num="2">
            <w:col w:w="4320" w:space="480"/>
            <w:col w:w="4219"/>
          </w:cols>
          <w:pgMar w:left="1440" w:top="1440" w:right="1440" w:bottom="1440" w:gutter="0" w:footer="0" w:header="0"/>
          <w:type w:val="continuous"/>
        </w:sectPr>
      </w:pPr>
    </w:p>
    <w:p>
      <w:pPr>
        <w:ind w:left="160"/>
        <w:spacing w:after="0"/>
        <w:rPr>
          <w:sz w:val="20"/>
          <w:szCs w:val="20"/>
          <w:color w:val="auto"/>
        </w:rPr>
      </w:pPr>
      <w:r>
        <w:rPr>
          <w:rFonts w:ascii="Arial" w:cs="Arial" w:eastAsia="Arial" w:hAnsi="Arial"/>
          <w:sz w:val="21"/>
          <w:szCs w:val="21"/>
          <w:b w:val="1"/>
          <w:bCs w:val="1"/>
          <w:color w:val="518DC8"/>
        </w:rPr>
        <w:t>Board Leadership Structure</w:t>
      </w:r>
    </w:p>
    <w:p>
      <w:pPr>
        <w:spacing w:after="0" w:line="149" w:lineRule="exact"/>
        <w:rPr>
          <w:sz w:val="20"/>
          <w:szCs w:val="20"/>
          <w:color w:val="auto"/>
        </w:rPr>
      </w:pPr>
    </w:p>
    <w:p>
      <w:pPr>
        <w:ind w:left="160" w:right="79"/>
        <w:spacing w:after="0" w:line="247" w:lineRule="auto"/>
        <w:rPr>
          <w:sz w:val="20"/>
          <w:szCs w:val="20"/>
          <w:color w:val="auto"/>
        </w:rPr>
      </w:pPr>
      <w:r>
        <w:rPr>
          <w:rFonts w:ascii="Arial" w:cs="Arial" w:eastAsia="Arial" w:hAnsi="Arial"/>
          <w:sz w:val="17"/>
          <w:szCs w:val="17"/>
          <w:color w:val="auto"/>
        </w:rPr>
        <w:t>Our board of directors is currently led by Garen K. Staglin, our Chairman, and Rohit Kapoor, our Vice Chairman and CEO.</w:t>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60" w:type="dxa"/>
        <w:tblCellMar>
          <w:top w:w="0" w:type="dxa"/>
          <w:left w:w="0" w:type="dxa"/>
          <w:bottom w:w="0" w:type="dxa"/>
          <w:right w:w="0" w:type="dxa"/>
        </w:tblCellMar>
      </w:tblPr>
      <w:tr>
        <w:trPr>
          <w:trHeight w:val="268"/>
        </w:trPr>
        <w:tc>
          <w:tcPr>
            <w:tcW w:w="2980" w:type="dxa"/>
            <w:vAlign w:val="bottom"/>
            <w:tcBorders>
              <w:top w:val="single" w:sz="8" w:color="DD924E"/>
            </w:tcBorders>
            <w:shd w:val="clear" w:color="auto" w:fill="DD924E"/>
          </w:tcPr>
          <w:p>
            <w:pPr>
              <w:ind w:left="120"/>
              <w:spacing w:after="0"/>
              <w:rPr>
                <w:sz w:val="20"/>
                <w:szCs w:val="20"/>
                <w:color w:val="auto"/>
              </w:rPr>
            </w:pPr>
            <w:r>
              <w:rPr>
                <w:rFonts w:ascii="Arial" w:cs="Arial" w:eastAsia="Arial" w:hAnsi="Arial"/>
                <w:sz w:val="17"/>
                <w:szCs w:val="17"/>
                <w:b w:val="1"/>
                <w:bCs w:val="1"/>
                <w:color w:val="FFFFFF"/>
              </w:rPr>
              <w:t>Independent Chairman</w:t>
            </w:r>
          </w:p>
        </w:tc>
        <w:tc>
          <w:tcPr>
            <w:tcW w:w="2200" w:type="dxa"/>
            <w:vAlign w:val="bottom"/>
            <w:tcBorders>
              <w:top w:val="single" w:sz="8" w:color="DD924E"/>
              <w:right w:val="single" w:sz="8" w:color="DD924E"/>
            </w:tcBorders>
          </w:tcPr>
          <w:p>
            <w:pPr>
              <w:ind w:left="100"/>
              <w:spacing w:after="0"/>
              <w:rPr>
                <w:sz w:val="20"/>
                <w:szCs w:val="20"/>
                <w:color w:val="auto"/>
              </w:rPr>
            </w:pPr>
            <w:r>
              <w:rPr>
                <w:rFonts w:ascii="Arial" w:cs="Arial" w:eastAsia="Arial" w:hAnsi="Arial"/>
                <w:sz w:val="17"/>
                <w:szCs w:val="17"/>
                <w:color w:val="auto"/>
              </w:rPr>
              <w:t>Garen K. Stalin</w:t>
            </w:r>
          </w:p>
        </w:tc>
        <w:tc>
          <w:tcPr>
            <w:tcW w:w="0" w:type="dxa"/>
            <w:vAlign w:val="bottom"/>
          </w:tcPr>
          <w:p>
            <w:pPr>
              <w:spacing w:after="0"/>
              <w:rPr>
                <w:sz w:val="1"/>
                <w:szCs w:val="1"/>
                <w:color w:val="auto"/>
              </w:rPr>
            </w:pPr>
          </w:p>
        </w:tc>
      </w:tr>
      <w:tr>
        <w:trPr>
          <w:trHeight w:val="40"/>
        </w:trPr>
        <w:tc>
          <w:tcPr>
            <w:tcW w:w="2980" w:type="dxa"/>
            <w:vAlign w:val="bottom"/>
            <w:tcBorders>
              <w:bottom w:val="single" w:sz="8" w:color="DD924E"/>
            </w:tcBorders>
            <w:vMerge w:val="restart"/>
            <w:shd w:val="clear" w:color="auto" w:fill="DD924E"/>
          </w:tcPr>
          <w:p>
            <w:pPr>
              <w:ind w:left="120"/>
              <w:spacing w:after="0"/>
              <w:rPr>
                <w:sz w:val="20"/>
                <w:szCs w:val="20"/>
                <w:color w:val="auto"/>
              </w:rPr>
            </w:pPr>
            <w:r>
              <w:rPr>
                <w:rFonts w:ascii="Arial" w:cs="Arial" w:eastAsia="Arial" w:hAnsi="Arial"/>
                <w:sz w:val="17"/>
                <w:szCs w:val="17"/>
                <w:b w:val="1"/>
                <w:bCs w:val="1"/>
                <w:color w:val="FFFFFF"/>
              </w:rPr>
              <w:t>Vice Chairman &amp; CEO</w:t>
            </w:r>
          </w:p>
        </w:tc>
        <w:tc>
          <w:tcPr>
            <w:tcW w:w="2200" w:type="dxa"/>
            <w:vAlign w:val="bottom"/>
            <w:tcBorders>
              <w:bottom w:val="single" w:sz="8" w:color="DD924E"/>
              <w:right w:val="single" w:sz="8" w:color="DD924E"/>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980" w:type="dxa"/>
            <w:vAlign w:val="bottom"/>
            <w:vMerge w:val="continue"/>
            <w:shd w:val="clear" w:color="auto" w:fill="DD924E"/>
          </w:tcPr>
          <w:p>
            <w:pPr>
              <w:spacing w:after="0"/>
              <w:rPr>
                <w:sz w:val="21"/>
                <w:szCs w:val="21"/>
                <w:color w:val="auto"/>
              </w:rPr>
            </w:pPr>
          </w:p>
        </w:tc>
        <w:tc>
          <w:tcPr>
            <w:tcW w:w="2200" w:type="dxa"/>
            <w:vAlign w:val="bottom"/>
            <w:tcBorders>
              <w:right w:val="single" w:sz="8" w:color="DD924E"/>
            </w:tcBorders>
          </w:tcPr>
          <w:p>
            <w:pPr>
              <w:ind w:left="100"/>
              <w:spacing w:after="0"/>
              <w:rPr>
                <w:sz w:val="20"/>
                <w:szCs w:val="20"/>
                <w:color w:val="auto"/>
              </w:rPr>
            </w:pPr>
            <w:r>
              <w:rPr>
                <w:rFonts w:ascii="Arial" w:cs="Arial" w:eastAsia="Arial" w:hAnsi="Arial"/>
                <w:sz w:val="17"/>
                <w:szCs w:val="17"/>
                <w:color w:val="auto"/>
              </w:rPr>
              <w:t>Rohit Kapoor</w:t>
            </w:r>
          </w:p>
        </w:tc>
        <w:tc>
          <w:tcPr>
            <w:tcW w:w="0" w:type="dxa"/>
            <w:vAlign w:val="bottom"/>
          </w:tcPr>
          <w:p>
            <w:pPr>
              <w:spacing w:after="0"/>
              <w:rPr>
                <w:sz w:val="1"/>
                <w:szCs w:val="1"/>
                <w:color w:val="auto"/>
              </w:rPr>
            </w:pPr>
          </w:p>
        </w:tc>
      </w:tr>
      <w:tr>
        <w:trPr>
          <w:trHeight w:val="40"/>
        </w:trPr>
        <w:tc>
          <w:tcPr>
            <w:tcW w:w="2980" w:type="dxa"/>
            <w:vAlign w:val="bottom"/>
            <w:tcBorders>
              <w:bottom w:val="single" w:sz="8" w:color="DD924E"/>
            </w:tcBorders>
            <w:shd w:val="clear" w:color="auto" w:fill="DD924E"/>
          </w:tcPr>
          <w:p>
            <w:pPr>
              <w:spacing w:after="0"/>
              <w:rPr>
                <w:sz w:val="3"/>
                <w:szCs w:val="3"/>
                <w:color w:val="auto"/>
              </w:rPr>
            </w:pPr>
          </w:p>
        </w:tc>
        <w:tc>
          <w:tcPr>
            <w:tcW w:w="2200" w:type="dxa"/>
            <w:vAlign w:val="bottom"/>
            <w:tcBorders>
              <w:bottom w:val="single" w:sz="8" w:color="DD924E"/>
              <w:right w:val="single" w:sz="8" w:color="DD924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Our by-laws provide that our Chairman or, in the absence of our Chairman, our Lead Director (if there is a Lead Director serving at such time), or in the absence of both our Chairman and Lead Director, our CEO, shall call meetings of our board of directors to order and shall act as the chairman thereof. In the absence of our Chairman, our Lead Director (if there is a Lead Director serving at</w:t>
      </w:r>
    </w:p>
    <w:p>
      <w:pPr>
        <w:spacing w:after="0" w:line="1" w:lineRule="exact"/>
        <w:rPr>
          <w:sz w:val="20"/>
          <w:szCs w:val="20"/>
          <w:color w:val="auto"/>
        </w:rPr>
      </w:pPr>
    </w:p>
    <w:p>
      <w:pPr>
        <w:sectPr>
          <w:pgSz w:w="11900" w:h="16838" w:orient="portrait"/>
          <w:cols w:equalWidth="0" w:num="2">
            <w:col w:w="5320" w:space="160"/>
            <w:col w:w="3539"/>
          </w:cols>
          <w:pgMar w:left="1440" w:top="1440" w:right="1440" w:bottom="1440" w:gutter="0" w:footer="0" w:header="0"/>
          <w:type w:val="continuous"/>
        </w:sectPr>
      </w:pPr>
    </w:p>
    <w:p>
      <w:pPr>
        <w:jc w:val="both"/>
        <w:ind w:left="160" w:right="59"/>
        <w:spacing w:after="0" w:line="239" w:lineRule="auto"/>
        <w:rPr>
          <w:sz w:val="20"/>
          <w:szCs w:val="20"/>
          <w:color w:val="auto"/>
        </w:rPr>
      </w:pPr>
      <w:r>
        <w:rPr>
          <w:rFonts w:ascii="Arial" w:cs="Arial" w:eastAsia="Arial" w:hAnsi="Arial"/>
          <w:sz w:val="17"/>
          <w:szCs w:val="17"/>
          <w:color w:val="auto"/>
        </w:rPr>
        <w:t>such time), and our CEO, a majority of our directors present may elect as chairman of the meeting any director present. Independent directors meet at least quarterly in executive session without any management directors or members of the Company’s management present. The Lead Director or, in the absence of the Lead Director, a director chosen by the directors meeting in executive session, presides at all executive sessions.</w:t>
      </w:r>
    </w:p>
    <w:p>
      <w:pPr>
        <w:spacing w:after="0" w:line="132" w:lineRule="exact"/>
        <w:rPr>
          <w:sz w:val="20"/>
          <w:szCs w:val="20"/>
          <w:color w:val="auto"/>
        </w:rPr>
      </w:pPr>
    </w:p>
    <w:p>
      <w:pPr>
        <w:jc w:val="both"/>
        <w:ind w:left="160" w:right="59"/>
        <w:spacing w:after="0" w:line="238" w:lineRule="auto"/>
        <w:rPr>
          <w:sz w:val="20"/>
          <w:szCs w:val="20"/>
          <w:color w:val="auto"/>
        </w:rPr>
      </w:pPr>
      <w:r>
        <w:rPr>
          <w:rFonts w:ascii="Arial" w:cs="Arial" w:eastAsia="Arial" w:hAnsi="Arial"/>
          <w:sz w:val="17"/>
          <w:szCs w:val="17"/>
          <w:color w:val="auto"/>
        </w:rPr>
        <w:t>Consolidating the Vice Chairman and CEO positions allows our CEO to contribute his experience and perspective regarding management and leadership of the Company towards the goals of improved corporate governance and greater management accountability. In addition, the presence of our Chairman ensures that the board can retain sufficient delineation of responsibilities, such that our Chairman and our Vice Chairman and CEO may each successfully and effectively perform and discharge their respective duties and, as a corollary, enhance our prospects for success. The Company will thus benefit from the ability to integrate the collective leadership and</w:t>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6" w:name="page27"/>
    <w:bookmarkEnd w:id="26"/>
    <w:p>
      <w:pPr>
        <w:spacing w:after="0" w:line="58"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corporate governance experience of our Chairman and our Vice Chairman and CEO, while retaining the ability to facilitate the functioning of the board of directors independently of our management and to focus on our commitment to corporate governance. For the foregoing reasons, our board of directors has determined that its leadership structure is appropriate and in the best interests of our stockholders at this time.</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Majority Voting in Director Elections</w:t>
      </w:r>
    </w:p>
    <w:p>
      <w:pPr>
        <w:spacing w:after="0" w:line="162" w:lineRule="exact"/>
        <w:rPr>
          <w:sz w:val="20"/>
          <w:szCs w:val="20"/>
          <w:color w:val="auto"/>
        </w:rPr>
      </w:pPr>
    </w:p>
    <w:p>
      <w:pPr>
        <w:jc w:val="both"/>
        <w:ind w:left="160" w:right="59"/>
        <w:spacing w:after="0" w:line="238" w:lineRule="auto"/>
        <w:rPr>
          <w:sz w:val="20"/>
          <w:szCs w:val="20"/>
          <w:color w:val="auto"/>
        </w:rPr>
      </w:pPr>
      <w:r>
        <w:rPr>
          <w:rFonts w:ascii="Arial" w:cs="Arial" w:eastAsia="Arial" w:hAnsi="Arial"/>
          <w:sz w:val="17"/>
          <w:szCs w:val="17"/>
          <w:color w:val="auto"/>
        </w:rPr>
        <w:t>Under our by-laws, directors who are standing for election in an uncontested election are elected by the affirmative vote of a majority of votes cast (meaning the number of shares voted “for” a nominee must exceed the number of shares voted “against” such nominee) in person or represented by proxy and entitled to vote at the meeting. If any incumbent nominee for director in an uncontested election receives a greater number of votes “against” his or her election than votes “for” such election, our by-laws provide that such person shall tender to the board of directors his or her resignation as a director. (In contested elections, directors will be elected by the affirmative vote of a plurality of votes cast in person or represented by proxy and entitled to vote at the Annual Meeting.) An uncontested election means an election in which the number of nominees for director is not greater than the number to be elected.</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Committees</w:t>
      </w:r>
    </w:p>
    <w:p>
      <w:pPr>
        <w:spacing w:after="0" w:line="149" w:lineRule="exact"/>
        <w:rPr>
          <w:sz w:val="20"/>
          <w:szCs w:val="20"/>
          <w:color w:val="auto"/>
        </w:rPr>
      </w:pPr>
    </w:p>
    <w:p>
      <w:pPr>
        <w:jc w:val="both"/>
        <w:ind w:left="160" w:right="79"/>
        <w:spacing w:after="0" w:line="247" w:lineRule="auto"/>
        <w:rPr>
          <w:sz w:val="20"/>
          <w:szCs w:val="20"/>
          <w:color w:val="auto"/>
        </w:rPr>
      </w:pPr>
      <w:r>
        <w:rPr>
          <w:rFonts w:ascii="Arial" w:cs="Arial" w:eastAsia="Arial" w:hAnsi="Arial"/>
          <w:sz w:val="17"/>
          <w:szCs w:val="17"/>
          <w:color w:val="auto"/>
        </w:rPr>
        <w:t>Our board of directors currently has three standing committees: the Audit Committee, the Nominating and Governance Committee and the Compensation Committee.</w:t>
      </w:r>
    </w:p>
    <w:p>
      <w:pPr>
        <w:sectPr>
          <w:pgSz w:w="11900" w:h="16838" w:orient="portrait"/>
          <w:cols w:equalWidth="0" w:num="1">
            <w:col w:w="9019"/>
          </w:cols>
          <w:pgMar w:left="1440" w:top="1440" w:right="1440" w:bottom="1440" w:gutter="0" w:footer="0" w:header="0"/>
        </w:sectPr>
      </w:pPr>
    </w:p>
    <w:p>
      <w:pPr>
        <w:spacing w:after="0" w:line="103"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Audit Committee.</w:t>
      </w:r>
    </w:p>
    <w:p>
      <w:pPr>
        <w:spacing w:after="0" w:line="158" w:lineRule="exact"/>
        <w:rPr>
          <w:sz w:val="20"/>
          <w:szCs w:val="20"/>
          <w:color w:val="auto"/>
        </w:rPr>
      </w:pPr>
    </w:p>
    <w:p>
      <w:pPr>
        <w:jc w:val="both"/>
        <w:ind w:left="160"/>
        <w:spacing w:after="0" w:line="237" w:lineRule="auto"/>
        <w:rPr>
          <w:sz w:val="20"/>
          <w:szCs w:val="20"/>
          <w:color w:val="auto"/>
        </w:rPr>
      </w:pPr>
      <w:r>
        <w:rPr>
          <w:rFonts w:ascii="Arial" w:cs="Arial" w:eastAsia="Arial" w:hAnsi="Arial"/>
          <w:sz w:val="17"/>
          <w:szCs w:val="17"/>
          <w:color w:val="auto"/>
        </w:rPr>
        <w:t>Our Audit Committee oversees and assists our board of directors in fulfilling its oversight responsibilities with respect to our accounting and financial reporting processes, including the integrity of the financial statements and other financial information provided by us to our stockholders, the public, stock exchanges and others; our compliance with legal and regulatory requirements; our independent registered public accounting firm’s qualifications and independence; the audit of our financial statements; the performance of our internal audit function and independent registered public accounting firm; and the Company’s cyber security program and cyber strategy-related risks.</w:t>
      </w:r>
    </w:p>
    <w:p>
      <w:pPr>
        <w:spacing w:after="0" w:line="119" w:lineRule="exact"/>
        <w:rPr>
          <w:sz w:val="20"/>
          <w:szCs w:val="20"/>
          <w:color w:val="auto"/>
        </w:rPr>
      </w:pPr>
    </w:p>
    <w:p>
      <w:pPr>
        <w:jc w:val="both"/>
        <w:ind w:left="160"/>
        <w:spacing w:after="0" w:line="237" w:lineRule="auto"/>
        <w:rPr>
          <w:sz w:val="20"/>
          <w:szCs w:val="20"/>
          <w:color w:val="auto"/>
        </w:rPr>
      </w:pPr>
      <w:r>
        <w:rPr>
          <w:rFonts w:ascii="Arial" w:cs="Arial" w:eastAsia="Arial" w:hAnsi="Arial"/>
          <w:sz w:val="17"/>
          <w:szCs w:val="17"/>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specified related-party transactions as required by the rules of the Nasdaq Stock Market, and oversees the Company’s cyber security program and cyber strategy-related risks. The Audit Committee was established in accordance with Section 3(a)(58)(A) of the Securities Exchange Act of 1934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Audit Committee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-134620</wp:posOffset>
            </wp:positionV>
            <wp:extent cx="2653665" cy="317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53665" cy="317500"/>
                    </a:xfrm>
                    <a:prstGeom prst="rect">
                      <a:avLst/>
                    </a:prstGeom>
                    <a:noFill/>
                  </pic:spPr>
                </pic:pic>
              </a:graphicData>
            </a:graphic>
          </wp:anchor>
        </w:drawing>
      </w:r>
    </w:p>
    <w:p>
      <w:pPr>
        <w:spacing w:after="0" w:line="28" w:lineRule="exact"/>
        <w:rPr>
          <w:sz w:val="20"/>
          <w:szCs w:val="20"/>
          <w:color w:val="auto"/>
        </w:rPr>
      </w:pPr>
    </w:p>
    <w:p>
      <w:pPr>
        <w:ind w:left="1580"/>
        <w:spacing w:after="0"/>
        <w:rPr>
          <w:sz w:val="20"/>
          <w:szCs w:val="20"/>
          <w:color w:val="auto"/>
        </w:rPr>
      </w:pPr>
      <w:r>
        <w:rPr>
          <w:rFonts w:ascii="Arial" w:cs="Arial" w:eastAsia="Arial" w:hAnsi="Arial"/>
          <w:sz w:val="17"/>
          <w:szCs w:val="17"/>
          <w:b w:val="1"/>
          <w:bCs w:val="1"/>
          <w:color w:val="FFFFFF"/>
        </w:rPr>
        <w:t>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27305</wp:posOffset>
            </wp:positionV>
            <wp:extent cx="2653665" cy="20110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53665" cy="201104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b w:val="1"/>
                <w:bCs w:val="1"/>
                <w:color w:val="auto"/>
              </w:rPr>
              <w:t>Clyde Ostler,</w:t>
            </w:r>
          </w:p>
        </w:tc>
        <w:tc>
          <w:tcPr>
            <w:tcW w:w="480" w:type="dxa"/>
            <w:vAlign w:val="bottom"/>
          </w:tcPr>
          <w:p>
            <w:pPr>
              <w:jc w:val="right"/>
              <w:ind w:right="43"/>
              <w:spacing w:after="0"/>
              <w:rPr>
                <w:sz w:val="20"/>
                <w:szCs w:val="20"/>
                <w:color w:val="auto"/>
              </w:rPr>
            </w:pPr>
            <w:r>
              <w:rPr>
                <w:rFonts w:ascii="Arial" w:cs="Arial" w:eastAsia="Arial" w:hAnsi="Arial"/>
                <w:sz w:val="15"/>
                <w:szCs w:val="15"/>
                <w:color w:val="DD924E"/>
              </w:rPr>
              <w:t>&gt;</w:t>
            </w:r>
          </w:p>
        </w:tc>
        <w:tc>
          <w:tcPr>
            <w:tcW w:w="2000" w:type="dxa"/>
            <w:vAlign w:val="bottom"/>
          </w:tcPr>
          <w:p>
            <w:pPr>
              <w:ind w:left="120"/>
              <w:spacing w:after="0"/>
              <w:rPr>
                <w:sz w:val="20"/>
                <w:szCs w:val="20"/>
                <w:color w:val="auto"/>
              </w:rPr>
            </w:pPr>
            <w:r>
              <w:rPr>
                <w:rFonts w:ascii="Arial" w:cs="Arial" w:eastAsia="Arial" w:hAnsi="Arial"/>
                <w:sz w:val="15"/>
                <w:szCs w:val="15"/>
                <w:color w:val="auto"/>
              </w:rPr>
              <w:t>Accounting and financial</w:t>
            </w:r>
          </w:p>
        </w:tc>
        <w:tc>
          <w:tcPr>
            <w:tcW w:w="0" w:type="dxa"/>
            <w:vAlign w:val="bottom"/>
          </w:tcPr>
          <w:p>
            <w:pPr>
              <w:spacing w:after="0"/>
              <w:rPr>
                <w:sz w:val="1"/>
                <w:szCs w:val="1"/>
                <w:color w:val="auto"/>
              </w:rPr>
            </w:pPr>
          </w:p>
        </w:tc>
      </w:tr>
      <w:tr>
        <w:trPr>
          <w:trHeight w:val="225"/>
        </w:trPr>
        <w:tc>
          <w:tcPr>
            <w:tcW w:w="1320" w:type="dxa"/>
            <w:vAlign w:val="bottom"/>
          </w:tcPr>
          <w:p>
            <w:pPr>
              <w:spacing w:after="0"/>
              <w:rPr>
                <w:sz w:val="20"/>
                <w:szCs w:val="20"/>
                <w:color w:val="auto"/>
              </w:rPr>
            </w:pPr>
            <w:r>
              <w:rPr>
                <w:rFonts w:ascii="Arial" w:cs="Arial" w:eastAsia="Arial" w:hAnsi="Arial"/>
                <w:sz w:val="17"/>
                <w:szCs w:val="17"/>
                <w:b w:val="1"/>
                <w:bCs w:val="1"/>
                <w:color w:val="auto"/>
              </w:rPr>
              <w:t>Chair*</w:t>
            </w:r>
          </w:p>
        </w:tc>
        <w:tc>
          <w:tcPr>
            <w:tcW w:w="480" w:type="dxa"/>
            <w:vAlign w:val="bottom"/>
          </w:tcPr>
          <w:p>
            <w:pPr>
              <w:spacing w:after="0"/>
              <w:rPr>
                <w:sz w:val="19"/>
                <w:szCs w:val="19"/>
                <w:color w:val="auto"/>
              </w:rPr>
            </w:pPr>
          </w:p>
        </w:tc>
        <w:tc>
          <w:tcPr>
            <w:tcW w:w="2000" w:type="dxa"/>
            <w:vAlign w:val="bottom"/>
          </w:tcPr>
          <w:p>
            <w:pPr>
              <w:ind w:left="120"/>
              <w:spacing w:after="0"/>
              <w:rPr>
                <w:sz w:val="20"/>
                <w:szCs w:val="20"/>
                <w:color w:val="auto"/>
              </w:rPr>
            </w:pPr>
            <w:r>
              <w:rPr>
                <w:rFonts w:ascii="Arial" w:cs="Arial" w:eastAsia="Arial" w:hAnsi="Arial"/>
                <w:sz w:val="15"/>
                <w:szCs w:val="15"/>
                <w:color w:val="auto"/>
              </w:rPr>
              <w:t>reporting processes.</w:t>
            </w:r>
          </w:p>
        </w:tc>
        <w:tc>
          <w:tcPr>
            <w:tcW w:w="0" w:type="dxa"/>
            <w:vAlign w:val="bottom"/>
          </w:tcPr>
          <w:p>
            <w:pPr>
              <w:spacing w:after="0"/>
              <w:rPr>
                <w:sz w:val="1"/>
                <w:szCs w:val="1"/>
                <w:color w:val="auto"/>
              </w:rPr>
            </w:pPr>
          </w:p>
        </w:tc>
      </w:tr>
      <w:tr>
        <w:trPr>
          <w:trHeight w:val="272"/>
        </w:trPr>
        <w:tc>
          <w:tcPr>
            <w:tcW w:w="1320" w:type="dxa"/>
            <w:vAlign w:val="bottom"/>
          </w:tcPr>
          <w:p>
            <w:pPr>
              <w:spacing w:after="0"/>
              <w:rPr>
                <w:sz w:val="20"/>
                <w:szCs w:val="20"/>
                <w:color w:val="auto"/>
              </w:rPr>
            </w:pPr>
            <w:r>
              <w:rPr>
                <w:rFonts w:ascii="Arial" w:cs="Arial" w:eastAsia="Arial" w:hAnsi="Arial"/>
                <w:sz w:val="17"/>
                <w:szCs w:val="17"/>
                <w:color w:val="auto"/>
              </w:rPr>
              <w:t>David Kelso*</w:t>
            </w:r>
          </w:p>
        </w:tc>
        <w:tc>
          <w:tcPr>
            <w:tcW w:w="480" w:type="dxa"/>
            <w:vAlign w:val="bottom"/>
          </w:tcPr>
          <w:p>
            <w:pPr>
              <w:jc w:val="right"/>
              <w:ind w:right="43"/>
              <w:spacing w:after="0"/>
              <w:rPr>
                <w:sz w:val="20"/>
                <w:szCs w:val="20"/>
                <w:color w:val="auto"/>
              </w:rPr>
            </w:pPr>
            <w:r>
              <w:rPr>
                <w:rFonts w:ascii="Arial" w:cs="Arial" w:eastAsia="Arial" w:hAnsi="Arial"/>
                <w:sz w:val="15"/>
                <w:szCs w:val="15"/>
                <w:color w:val="DD924E"/>
              </w:rPr>
              <w:t>&gt;</w:t>
            </w:r>
          </w:p>
        </w:tc>
        <w:tc>
          <w:tcPr>
            <w:tcW w:w="2000" w:type="dxa"/>
            <w:vAlign w:val="bottom"/>
          </w:tcPr>
          <w:p>
            <w:pPr>
              <w:ind w:left="120"/>
              <w:spacing w:after="0"/>
              <w:rPr>
                <w:sz w:val="20"/>
                <w:szCs w:val="20"/>
                <w:color w:val="auto"/>
              </w:rPr>
            </w:pPr>
            <w:r>
              <w:rPr>
                <w:rFonts w:ascii="Arial" w:cs="Arial" w:eastAsia="Arial" w:hAnsi="Arial"/>
                <w:sz w:val="15"/>
                <w:szCs w:val="15"/>
                <w:color w:val="auto"/>
              </w:rPr>
              <w:t>Our independent registered</w:t>
            </w:r>
          </w:p>
        </w:tc>
        <w:tc>
          <w:tcPr>
            <w:tcW w:w="0" w:type="dxa"/>
            <w:vAlign w:val="bottom"/>
          </w:tcPr>
          <w:p>
            <w:pPr>
              <w:spacing w:after="0"/>
              <w:rPr>
                <w:sz w:val="1"/>
                <w:szCs w:val="1"/>
                <w:color w:val="auto"/>
              </w:rPr>
            </w:pPr>
          </w:p>
        </w:tc>
      </w:tr>
      <w:tr>
        <w:trPr>
          <w:trHeight w:val="191"/>
        </w:trPr>
        <w:tc>
          <w:tcPr>
            <w:tcW w:w="1320" w:type="dxa"/>
            <w:vAlign w:val="bottom"/>
          </w:tcPr>
          <w:p>
            <w:pPr>
              <w:spacing w:after="0" w:line="190" w:lineRule="exact"/>
              <w:rPr>
                <w:sz w:val="20"/>
                <w:szCs w:val="20"/>
                <w:color w:val="auto"/>
              </w:rPr>
            </w:pPr>
            <w:r>
              <w:rPr>
                <w:rFonts w:ascii="Arial" w:cs="Arial" w:eastAsia="Arial" w:hAnsi="Arial"/>
                <w:sz w:val="17"/>
                <w:szCs w:val="17"/>
                <w:color w:val="auto"/>
              </w:rPr>
              <w:t>Deborah Kerr</w:t>
            </w:r>
          </w:p>
        </w:tc>
        <w:tc>
          <w:tcPr>
            <w:tcW w:w="480" w:type="dxa"/>
            <w:vAlign w:val="bottom"/>
          </w:tcPr>
          <w:p>
            <w:pPr>
              <w:spacing w:after="0"/>
              <w:rPr>
                <w:sz w:val="16"/>
                <w:szCs w:val="16"/>
                <w:color w:val="auto"/>
              </w:rPr>
            </w:pPr>
          </w:p>
        </w:tc>
        <w:tc>
          <w:tcPr>
            <w:tcW w:w="2000" w:type="dxa"/>
            <w:vAlign w:val="bottom"/>
          </w:tcPr>
          <w:p>
            <w:pPr>
              <w:ind w:left="120"/>
              <w:spacing w:after="0"/>
              <w:rPr>
                <w:sz w:val="20"/>
                <w:szCs w:val="20"/>
                <w:color w:val="auto"/>
              </w:rPr>
            </w:pPr>
            <w:r>
              <w:rPr>
                <w:rFonts w:ascii="Arial" w:cs="Arial" w:eastAsia="Arial" w:hAnsi="Arial"/>
                <w:sz w:val="15"/>
                <w:szCs w:val="15"/>
                <w:color w:val="auto"/>
              </w:rPr>
              <w:t>public accounting firm’s</w:t>
            </w:r>
          </w:p>
        </w:tc>
        <w:tc>
          <w:tcPr>
            <w:tcW w:w="0" w:type="dxa"/>
            <w:vAlign w:val="bottom"/>
          </w:tcPr>
          <w:p>
            <w:pPr>
              <w:spacing w:after="0"/>
              <w:rPr>
                <w:sz w:val="1"/>
                <w:szCs w:val="1"/>
                <w:color w:val="auto"/>
              </w:rPr>
            </w:pPr>
          </w:p>
        </w:tc>
      </w:tr>
      <w:tr>
        <w:trPr>
          <w:trHeight w:val="168"/>
        </w:trPr>
        <w:tc>
          <w:tcPr>
            <w:tcW w:w="1320" w:type="dxa"/>
            <w:vAlign w:val="bottom"/>
            <w:vMerge w:val="restart"/>
          </w:tcPr>
          <w:p>
            <w:pPr>
              <w:spacing w:after="0"/>
              <w:rPr>
                <w:sz w:val="20"/>
                <w:szCs w:val="20"/>
                <w:color w:val="auto"/>
              </w:rPr>
            </w:pPr>
            <w:r>
              <w:rPr>
                <w:rFonts w:ascii="Arial" w:cs="Arial" w:eastAsia="Arial" w:hAnsi="Arial"/>
                <w:sz w:val="17"/>
                <w:szCs w:val="17"/>
                <w:color w:val="auto"/>
              </w:rPr>
              <w:t>Nitin Sahney</w:t>
            </w:r>
          </w:p>
        </w:tc>
        <w:tc>
          <w:tcPr>
            <w:tcW w:w="480" w:type="dxa"/>
            <w:vAlign w:val="bottom"/>
          </w:tcPr>
          <w:p>
            <w:pPr>
              <w:spacing w:after="0"/>
              <w:rPr>
                <w:sz w:val="14"/>
                <w:szCs w:val="14"/>
                <w:color w:val="auto"/>
              </w:rPr>
            </w:pPr>
          </w:p>
        </w:tc>
        <w:tc>
          <w:tcPr>
            <w:tcW w:w="2000" w:type="dxa"/>
            <w:vAlign w:val="bottom"/>
          </w:tcPr>
          <w:p>
            <w:pPr>
              <w:ind w:left="120"/>
              <w:spacing w:after="0" w:line="169" w:lineRule="exact"/>
              <w:rPr>
                <w:sz w:val="20"/>
                <w:szCs w:val="20"/>
                <w:color w:val="auto"/>
              </w:rPr>
            </w:pPr>
            <w:r>
              <w:rPr>
                <w:rFonts w:ascii="Arial" w:cs="Arial" w:eastAsia="Arial" w:hAnsi="Arial"/>
                <w:sz w:val="15"/>
                <w:szCs w:val="15"/>
                <w:color w:val="auto"/>
              </w:rPr>
              <w:t>appointment and</w:t>
            </w: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2000" w:type="dxa"/>
            <w:vAlign w:val="bottom"/>
            <w:vMerge w:val="restart"/>
          </w:tcPr>
          <w:p>
            <w:pPr>
              <w:ind w:left="120"/>
              <w:spacing w:after="0"/>
              <w:rPr>
                <w:sz w:val="20"/>
                <w:szCs w:val="20"/>
                <w:color w:val="auto"/>
              </w:rPr>
            </w:pPr>
            <w:r>
              <w:rPr>
                <w:rFonts w:ascii="Arial" w:cs="Arial" w:eastAsia="Arial" w:hAnsi="Arial"/>
                <w:sz w:val="15"/>
                <w:szCs w:val="15"/>
                <w:color w:val="auto"/>
              </w:rPr>
              <w:t>independence.</w:t>
            </w:r>
          </w:p>
        </w:tc>
        <w:tc>
          <w:tcPr>
            <w:tcW w:w="0" w:type="dxa"/>
            <w:vAlign w:val="bottom"/>
          </w:tcPr>
          <w:p>
            <w:pPr>
              <w:spacing w:after="0"/>
              <w:rPr>
                <w:sz w:val="1"/>
                <w:szCs w:val="1"/>
                <w:color w:val="auto"/>
              </w:rPr>
            </w:pPr>
          </w:p>
        </w:tc>
      </w:tr>
      <w:tr>
        <w:trPr>
          <w:trHeight w:val="111"/>
        </w:trPr>
        <w:tc>
          <w:tcPr>
            <w:tcW w:w="1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20" w:right="379" w:hanging="337"/>
        <w:spacing w:after="0" w:line="258" w:lineRule="auto"/>
        <w:tabs>
          <w:tab w:leader="none" w:pos="1920" w:val="left"/>
        </w:tabs>
        <w:numPr>
          <w:ilvl w:val="0"/>
          <w:numId w:val="43"/>
        </w:numPr>
        <w:rPr>
          <w:rFonts w:ascii="Arial" w:cs="Arial" w:eastAsia="Arial" w:hAnsi="Arial"/>
          <w:sz w:val="15"/>
          <w:szCs w:val="15"/>
          <w:color w:val="DD924E"/>
        </w:rPr>
      </w:pPr>
      <w:r>
        <w:rPr>
          <w:rFonts w:ascii="Arial" w:cs="Arial" w:eastAsia="Arial" w:hAnsi="Arial"/>
          <w:sz w:val="15"/>
          <w:szCs w:val="15"/>
          <w:color w:val="auto"/>
        </w:rPr>
        <w:t>The audit of our financial statements and internal audit function.</w:t>
      </w:r>
    </w:p>
    <w:p>
      <w:pPr>
        <w:spacing w:after="0" w:line="123" w:lineRule="exact"/>
        <w:rPr>
          <w:rFonts w:ascii="Arial" w:cs="Arial" w:eastAsia="Arial" w:hAnsi="Arial"/>
          <w:sz w:val="15"/>
          <w:szCs w:val="15"/>
          <w:color w:val="DD924E"/>
        </w:rPr>
      </w:pPr>
    </w:p>
    <w:p>
      <w:pPr>
        <w:ind w:left="1920" w:right="559" w:hanging="337"/>
        <w:spacing w:after="0" w:line="255" w:lineRule="auto"/>
        <w:tabs>
          <w:tab w:leader="none" w:pos="1920" w:val="left"/>
        </w:tabs>
        <w:numPr>
          <w:ilvl w:val="0"/>
          <w:numId w:val="43"/>
        </w:numPr>
        <w:rPr>
          <w:rFonts w:ascii="Arial" w:cs="Arial" w:eastAsia="Arial" w:hAnsi="Arial"/>
          <w:sz w:val="15"/>
          <w:szCs w:val="15"/>
          <w:color w:val="DD924E"/>
        </w:rPr>
      </w:pPr>
      <w:r>
        <w:rPr>
          <w:rFonts w:ascii="Arial" w:cs="Arial" w:eastAsia="Arial" w:hAnsi="Arial"/>
          <w:sz w:val="15"/>
          <w:szCs w:val="15"/>
          <w:color w:val="auto"/>
        </w:rPr>
        <w:t>Other key areas including cybersecurity, litigation, compliance and regulatory enforcement matters.</w:t>
      </w:r>
    </w:p>
    <w:p>
      <w:pPr>
        <w:spacing w:after="0" w:line="29" w:lineRule="exact"/>
        <w:rPr>
          <w:sz w:val="20"/>
          <w:szCs w:val="20"/>
          <w:color w:val="auto"/>
        </w:rPr>
      </w:pPr>
    </w:p>
    <w:p>
      <w:pPr>
        <w:ind w:right="239"/>
        <w:spacing w:after="0" w:line="236" w:lineRule="auto"/>
        <w:rPr>
          <w:sz w:val="20"/>
          <w:szCs w:val="20"/>
          <w:color w:val="auto"/>
        </w:rPr>
      </w:pPr>
      <w:r>
        <w:rPr>
          <w:rFonts w:ascii="Arial" w:cs="Arial" w:eastAsia="Arial" w:hAnsi="Arial"/>
          <w:sz w:val="12"/>
          <w:szCs w:val="12"/>
          <w:color w:val="auto"/>
        </w:rPr>
        <w:t>*Audit committee financial expert under applicable SEC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116205</wp:posOffset>
            </wp:positionV>
            <wp:extent cx="2646045" cy="3581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46045" cy="358140"/>
                    </a:xfrm>
                    <a:prstGeom prst="rect">
                      <a:avLst/>
                    </a:prstGeom>
                    <a:noFill/>
                  </pic:spPr>
                </pic:pic>
              </a:graphicData>
            </a:graphic>
          </wp:anchor>
        </w:drawing>
      </w:r>
    </w:p>
    <w:p>
      <w:pPr>
        <w:spacing w:after="0" w:line="186" w:lineRule="exact"/>
        <w:rPr>
          <w:sz w:val="20"/>
          <w:szCs w:val="20"/>
          <w:color w:val="auto"/>
        </w:rPr>
      </w:pPr>
    </w:p>
    <w:p>
      <w:pPr>
        <w:ind w:left="1620" w:hanging="318"/>
        <w:spacing w:after="0"/>
        <w:tabs>
          <w:tab w:leader="none" w:pos="1620" w:val="left"/>
        </w:tabs>
        <w:numPr>
          <w:ilvl w:val="0"/>
          <w:numId w:val="44"/>
        </w:numPr>
        <w:rPr>
          <w:rFonts w:ascii="Arial" w:cs="Arial" w:eastAsia="Arial" w:hAnsi="Arial"/>
          <w:sz w:val="38"/>
          <w:szCs w:val="38"/>
          <w:b w:val="1"/>
          <w:bCs w:val="1"/>
          <w:color w:val="518DC8"/>
        </w:rPr>
      </w:pPr>
      <w:r>
        <w:rPr>
          <w:rFonts w:ascii="Arial" w:cs="Arial" w:eastAsia="Arial" w:hAnsi="Arial"/>
          <w:sz w:val="17"/>
          <w:szCs w:val="17"/>
          <w:b w:val="1"/>
          <w:bCs w:val="1"/>
          <w:color w:val="518DC8"/>
        </w:rPr>
        <w:t>Committee Meetings in 2017</w:t>
      </w:r>
    </w:p>
    <w:p>
      <w:pPr>
        <w:spacing w:after="0" w:line="953" w:lineRule="exact"/>
        <w:rPr>
          <w:sz w:val="20"/>
          <w:szCs w:val="20"/>
          <w:color w:val="auto"/>
        </w:rPr>
      </w:pPr>
    </w:p>
    <w:p>
      <w:pPr>
        <w:sectPr>
          <w:pgSz w:w="11900" w:h="16838" w:orient="portrait"/>
          <w:cols w:equalWidth="0" w:num="2">
            <w:col w:w="4260" w:space="480"/>
            <w:col w:w="427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7" w:name="page28"/>
    <w:bookmarkEnd w:id="27"/>
    <w:p>
      <w:pPr>
        <w:spacing w:after="0" w:line="58"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“Exchange Act”). Our Audit Committee annually reviews and assesses the adequacy of the Audit Committee charter and its own performance. A copy of our Audit Committee charter can be found on our website at www.exlservice.com. Information on our website referred to in this proxy statement does not constitute a part of this proxy statement.</w:t>
      </w:r>
    </w:p>
    <w:p>
      <w:pPr>
        <w:spacing w:after="0" w:line="119"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The members of our Audit Committee are appointed by our board of directors. All members of our Audit Committee must also be recommended by our Nominating and Governance Committee. Our board of directors has determined that all of the members of the Audit Committee meet the independence and experience requirements of the Nasdaq Stock Market and the federal securities laws for audit committee membership.</w:t>
      </w:r>
    </w:p>
    <w:p>
      <w:pPr>
        <w:sectPr>
          <w:pgSz w:w="11900" w:h="16838" w:orient="portrait"/>
          <w:cols w:equalWidth="0" w:num="1">
            <w:col w:w="9019"/>
          </w:cols>
          <w:pgMar w:left="1440" w:top="1440" w:right="1440" w:bottom="1440" w:gutter="0" w:footer="0" w:header="0"/>
        </w:sectPr>
      </w:pPr>
    </w:p>
    <w:p>
      <w:pPr>
        <w:spacing w:after="0" w:line="11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Nominating and Governance Committee.</w:t>
      </w:r>
    </w:p>
    <w:p>
      <w:pPr>
        <w:spacing w:after="0" w:line="158" w:lineRule="exact"/>
        <w:rPr>
          <w:sz w:val="20"/>
          <w:szCs w:val="20"/>
          <w:color w:val="auto"/>
        </w:rPr>
      </w:pPr>
    </w:p>
    <w:p>
      <w:pPr>
        <w:jc w:val="both"/>
        <w:ind w:left="160"/>
        <w:spacing w:after="0" w:line="236" w:lineRule="auto"/>
        <w:rPr>
          <w:sz w:val="20"/>
          <w:szCs w:val="20"/>
          <w:color w:val="auto"/>
        </w:rPr>
      </w:pPr>
      <w:r>
        <w:rPr>
          <w:rFonts w:ascii="Arial" w:cs="Arial" w:eastAsia="Arial" w:hAnsi="Arial"/>
          <w:sz w:val="17"/>
          <w:szCs w:val="17"/>
          <w:color w:val="auto"/>
        </w:rPr>
        <w:t>Our Nominating and Governance Committee is responsible for: (i) identifying and recommending candidates for election to our board of directors using selection criteria approved by our board of directors,</w:t>
      </w:r>
    </w:p>
    <w:p>
      <w:pPr>
        <w:jc w:val="both"/>
        <w:ind w:left="160" w:hanging="4"/>
        <w:spacing w:after="0" w:line="238" w:lineRule="auto"/>
        <w:tabs>
          <w:tab w:leader="none" w:pos="452"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developing and recommending to our board of directors Corporate Governance Guidelines that are applicable to us, and (iii) overseeing our board of director and management evaluations. A copy of our Nominating and Governance Committee charter can be found on our website at www.exlservice.com.</w:t>
      </w:r>
    </w:p>
    <w:p>
      <w:pPr>
        <w:spacing w:after="0" w:line="119" w:lineRule="exact"/>
        <w:rPr>
          <w:sz w:val="20"/>
          <w:szCs w:val="20"/>
          <w:color w:val="auto"/>
        </w:rPr>
      </w:pPr>
    </w:p>
    <w:p>
      <w:pPr>
        <w:jc w:val="both"/>
        <w:ind w:left="160"/>
        <w:spacing w:after="0" w:line="236" w:lineRule="auto"/>
        <w:rPr>
          <w:sz w:val="20"/>
          <w:szCs w:val="20"/>
          <w:color w:val="auto"/>
        </w:rPr>
      </w:pPr>
      <w:r>
        <w:rPr>
          <w:rFonts w:ascii="Arial" w:cs="Arial" w:eastAsia="Arial" w:hAnsi="Arial"/>
          <w:sz w:val="17"/>
          <w:szCs w:val="17"/>
          <w:color w:val="auto"/>
        </w:rPr>
        <w:t>Our Nominating and Governance Committee has a policy, reflected in such committee’s charter, of considering director candidates recommended by our stockholders. Candidate recommendations should be sent to our Nominating and Governance Committee, c/o ExlService Holdings, Inc., 280 Park Avenue, 38</w:t>
      </w:r>
      <w:r>
        <w:rPr>
          <w:rFonts w:ascii="Arial" w:cs="Arial" w:eastAsia="Arial" w:hAnsi="Arial"/>
          <w:sz w:val="17"/>
          <w:szCs w:val="17"/>
          <w:color w:val="auto"/>
          <w:vertAlign w:val="superscript"/>
        </w:rPr>
        <w:t>th</w:t>
      </w:r>
      <w:r>
        <w:rPr>
          <w:rFonts w:ascii="Arial" w:cs="Arial" w:eastAsia="Arial" w:hAnsi="Arial"/>
          <w:sz w:val="17"/>
          <w:szCs w:val="17"/>
          <w:color w:val="auto"/>
        </w:rPr>
        <w:t xml:space="preserve"> Floor, New York, New York 10017, Attention: Corporate Secretary. Our Nominating and Governance Committee evaluates all candidates in the same manner regardless of the source of the recommendation. Our Nominating and Governance Committee, in making its selection of director candidates, considers the appropriate skills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80" w:right="1079"/>
        <w:spacing w:after="0" w:line="267" w:lineRule="auto"/>
        <w:rPr>
          <w:sz w:val="20"/>
          <w:szCs w:val="20"/>
          <w:color w:val="auto"/>
        </w:rPr>
      </w:pPr>
      <w:r>
        <w:rPr>
          <w:rFonts w:ascii="Arial" w:cs="Arial" w:eastAsia="Arial" w:hAnsi="Arial"/>
          <w:sz w:val="17"/>
          <w:szCs w:val="17"/>
          <w:b w:val="1"/>
          <w:bCs w:val="1"/>
          <w:color w:val="FFFFFF"/>
        </w:rPr>
        <w:t>Nominating and Corporate Governance Committee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2653665" cy="4394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53665" cy="43942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7"/>
          <w:szCs w:val="17"/>
          <w:b w:val="1"/>
          <w:bCs w:val="1"/>
          <w:color w:val="FFFFFF"/>
        </w:rPr>
        <w:t>Responsibilities</w:t>
      </w:r>
    </w:p>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400" w:type="dxa"/>
            <w:vAlign w:val="bottom"/>
            <w:tcBorders>
              <w:left w:val="single" w:sz="8" w:color="DD924E"/>
            </w:tcBorders>
          </w:tcPr>
          <w:p>
            <w:pPr>
              <w:ind w:left="80"/>
              <w:spacing w:after="0"/>
              <w:rPr>
                <w:sz w:val="20"/>
                <w:szCs w:val="20"/>
                <w:color w:val="auto"/>
              </w:rPr>
            </w:pPr>
            <w:r>
              <w:rPr>
                <w:rFonts w:ascii="Arial" w:cs="Arial" w:eastAsia="Arial" w:hAnsi="Arial"/>
                <w:sz w:val="17"/>
                <w:szCs w:val="17"/>
                <w:b w:val="1"/>
                <w:bCs w:val="1"/>
                <w:color w:val="auto"/>
              </w:rPr>
              <w:t>David Kelso,</w:t>
            </w:r>
          </w:p>
        </w:tc>
        <w:tc>
          <w:tcPr>
            <w:tcW w:w="480" w:type="dxa"/>
            <w:vAlign w:val="bottom"/>
          </w:tcPr>
          <w:p>
            <w:pPr>
              <w:jc w:val="right"/>
              <w:ind w:right="43"/>
              <w:spacing w:after="0"/>
              <w:rPr>
                <w:sz w:val="20"/>
                <w:szCs w:val="20"/>
                <w:color w:val="auto"/>
              </w:rPr>
            </w:pPr>
            <w:r>
              <w:rPr>
                <w:rFonts w:ascii="Arial" w:cs="Arial" w:eastAsia="Arial" w:hAnsi="Arial"/>
                <w:sz w:val="15"/>
                <w:szCs w:val="15"/>
                <w:color w:val="DD924E"/>
              </w:rPr>
              <w:t>&gt;</w:t>
            </w:r>
          </w:p>
        </w:tc>
        <w:tc>
          <w:tcPr>
            <w:tcW w:w="2320" w:type="dxa"/>
            <w:vAlign w:val="bottom"/>
            <w:tcBorders>
              <w:right w:val="single" w:sz="8" w:color="DD924E"/>
            </w:tcBorders>
          </w:tcPr>
          <w:p>
            <w:pPr>
              <w:ind w:left="120"/>
              <w:spacing w:after="0"/>
              <w:rPr>
                <w:sz w:val="20"/>
                <w:szCs w:val="20"/>
                <w:color w:val="auto"/>
              </w:rPr>
            </w:pPr>
            <w:r>
              <w:rPr>
                <w:rFonts w:ascii="Arial" w:cs="Arial" w:eastAsia="Arial" w:hAnsi="Arial"/>
                <w:sz w:val="15"/>
                <w:szCs w:val="15"/>
                <w:color w:val="auto"/>
              </w:rPr>
              <w:t>Identifying and recommending</w:t>
            </w:r>
          </w:p>
        </w:tc>
        <w:tc>
          <w:tcPr>
            <w:tcW w:w="0" w:type="dxa"/>
            <w:vAlign w:val="bottom"/>
          </w:tcPr>
          <w:p>
            <w:pPr>
              <w:spacing w:after="0"/>
              <w:rPr>
                <w:sz w:val="1"/>
                <w:szCs w:val="1"/>
                <w:color w:val="auto"/>
              </w:rPr>
            </w:pPr>
          </w:p>
        </w:tc>
      </w:tr>
      <w:tr>
        <w:trPr>
          <w:trHeight w:val="225"/>
        </w:trPr>
        <w:tc>
          <w:tcPr>
            <w:tcW w:w="1400" w:type="dxa"/>
            <w:vAlign w:val="bottom"/>
            <w:tcBorders>
              <w:left w:val="single" w:sz="8" w:color="DD924E"/>
            </w:tcBorders>
          </w:tcPr>
          <w:p>
            <w:pPr>
              <w:ind w:left="80"/>
              <w:spacing w:after="0"/>
              <w:rPr>
                <w:sz w:val="20"/>
                <w:szCs w:val="20"/>
                <w:color w:val="auto"/>
              </w:rPr>
            </w:pPr>
            <w:r>
              <w:rPr>
                <w:rFonts w:ascii="Arial" w:cs="Arial" w:eastAsia="Arial" w:hAnsi="Arial"/>
                <w:sz w:val="17"/>
                <w:szCs w:val="17"/>
                <w:b w:val="1"/>
                <w:bCs w:val="1"/>
                <w:color w:val="auto"/>
              </w:rPr>
              <w:t>Chair</w:t>
            </w:r>
          </w:p>
        </w:tc>
        <w:tc>
          <w:tcPr>
            <w:tcW w:w="480" w:type="dxa"/>
            <w:vAlign w:val="bottom"/>
          </w:tcPr>
          <w:p>
            <w:pPr>
              <w:spacing w:after="0"/>
              <w:rPr>
                <w:sz w:val="19"/>
                <w:szCs w:val="19"/>
                <w:color w:val="auto"/>
              </w:rPr>
            </w:pPr>
          </w:p>
        </w:tc>
        <w:tc>
          <w:tcPr>
            <w:tcW w:w="2320" w:type="dxa"/>
            <w:vAlign w:val="bottom"/>
            <w:tcBorders>
              <w:right w:val="single" w:sz="8" w:color="DD924E"/>
            </w:tcBorders>
          </w:tcPr>
          <w:p>
            <w:pPr>
              <w:ind w:left="120"/>
              <w:spacing w:after="0"/>
              <w:rPr>
                <w:sz w:val="20"/>
                <w:szCs w:val="20"/>
                <w:color w:val="auto"/>
              </w:rPr>
            </w:pPr>
            <w:r>
              <w:rPr>
                <w:rFonts w:ascii="Arial" w:cs="Arial" w:eastAsia="Arial" w:hAnsi="Arial"/>
                <w:sz w:val="15"/>
                <w:szCs w:val="15"/>
                <w:color w:val="auto"/>
              </w:rPr>
              <w:t>board candidates.</w:t>
            </w:r>
          </w:p>
        </w:tc>
        <w:tc>
          <w:tcPr>
            <w:tcW w:w="0" w:type="dxa"/>
            <w:vAlign w:val="bottom"/>
          </w:tcPr>
          <w:p>
            <w:pPr>
              <w:spacing w:after="0"/>
              <w:rPr>
                <w:sz w:val="1"/>
                <w:szCs w:val="1"/>
                <w:color w:val="auto"/>
              </w:rPr>
            </w:pPr>
          </w:p>
        </w:tc>
      </w:tr>
      <w:tr>
        <w:trPr>
          <w:trHeight w:val="272"/>
        </w:trPr>
        <w:tc>
          <w:tcPr>
            <w:tcW w:w="1400" w:type="dxa"/>
            <w:vAlign w:val="bottom"/>
            <w:tcBorders>
              <w:left w:val="single" w:sz="8" w:color="DD924E"/>
            </w:tcBorders>
          </w:tcPr>
          <w:p>
            <w:pPr>
              <w:ind w:left="80"/>
              <w:spacing w:after="0"/>
              <w:rPr>
                <w:sz w:val="20"/>
                <w:szCs w:val="20"/>
                <w:color w:val="auto"/>
              </w:rPr>
            </w:pPr>
            <w:r>
              <w:rPr>
                <w:rFonts w:ascii="Arial" w:cs="Arial" w:eastAsia="Arial" w:hAnsi="Arial"/>
                <w:sz w:val="17"/>
                <w:szCs w:val="17"/>
                <w:color w:val="auto"/>
              </w:rPr>
              <w:t>Anne Minto</w:t>
            </w:r>
          </w:p>
        </w:tc>
        <w:tc>
          <w:tcPr>
            <w:tcW w:w="480" w:type="dxa"/>
            <w:vAlign w:val="bottom"/>
          </w:tcPr>
          <w:p>
            <w:pPr>
              <w:jc w:val="right"/>
              <w:ind w:right="43"/>
              <w:spacing w:after="0"/>
              <w:rPr>
                <w:sz w:val="20"/>
                <w:szCs w:val="20"/>
                <w:color w:val="auto"/>
              </w:rPr>
            </w:pPr>
            <w:r>
              <w:rPr>
                <w:rFonts w:ascii="Arial" w:cs="Arial" w:eastAsia="Arial" w:hAnsi="Arial"/>
                <w:sz w:val="15"/>
                <w:szCs w:val="15"/>
                <w:color w:val="DD924E"/>
              </w:rPr>
              <w:t>&gt;</w:t>
            </w:r>
          </w:p>
        </w:tc>
        <w:tc>
          <w:tcPr>
            <w:tcW w:w="2320" w:type="dxa"/>
            <w:vAlign w:val="bottom"/>
            <w:tcBorders>
              <w:right w:val="single" w:sz="8" w:color="DD924E"/>
            </w:tcBorders>
          </w:tcPr>
          <w:p>
            <w:pPr>
              <w:ind w:left="120"/>
              <w:spacing w:after="0"/>
              <w:rPr>
                <w:sz w:val="20"/>
                <w:szCs w:val="20"/>
                <w:color w:val="auto"/>
              </w:rPr>
            </w:pPr>
            <w:r>
              <w:rPr>
                <w:rFonts w:ascii="Arial" w:cs="Arial" w:eastAsia="Arial" w:hAnsi="Arial"/>
                <w:sz w:val="15"/>
                <w:szCs w:val="15"/>
                <w:color w:val="auto"/>
              </w:rPr>
              <w:t>Developing and</w:t>
            </w:r>
          </w:p>
        </w:tc>
        <w:tc>
          <w:tcPr>
            <w:tcW w:w="0" w:type="dxa"/>
            <w:vAlign w:val="bottom"/>
          </w:tcPr>
          <w:p>
            <w:pPr>
              <w:spacing w:after="0"/>
              <w:rPr>
                <w:sz w:val="1"/>
                <w:szCs w:val="1"/>
                <w:color w:val="auto"/>
              </w:rPr>
            </w:pPr>
          </w:p>
        </w:tc>
      </w:tr>
      <w:tr>
        <w:trPr>
          <w:trHeight w:val="179"/>
        </w:trPr>
        <w:tc>
          <w:tcPr>
            <w:tcW w:w="1400" w:type="dxa"/>
            <w:vAlign w:val="bottom"/>
            <w:tcBorders>
              <w:left w:val="single" w:sz="8" w:color="DD924E"/>
            </w:tcBorders>
          </w:tcPr>
          <w:p>
            <w:pPr>
              <w:ind w:left="80"/>
              <w:spacing w:after="0" w:line="180" w:lineRule="exact"/>
              <w:rPr>
                <w:sz w:val="20"/>
                <w:szCs w:val="20"/>
                <w:color w:val="auto"/>
              </w:rPr>
            </w:pPr>
            <w:r>
              <w:rPr>
                <w:rFonts w:ascii="Arial" w:cs="Arial" w:eastAsia="Arial" w:hAnsi="Arial"/>
                <w:sz w:val="17"/>
                <w:szCs w:val="17"/>
                <w:color w:val="auto"/>
              </w:rPr>
              <w:t>Som Mittal</w:t>
            </w:r>
          </w:p>
        </w:tc>
        <w:tc>
          <w:tcPr>
            <w:tcW w:w="480" w:type="dxa"/>
            <w:vAlign w:val="bottom"/>
          </w:tcPr>
          <w:p>
            <w:pPr>
              <w:spacing w:after="0"/>
              <w:rPr>
                <w:sz w:val="15"/>
                <w:szCs w:val="15"/>
                <w:color w:val="auto"/>
              </w:rPr>
            </w:pPr>
          </w:p>
        </w:tc>
        <w:tc>
          <w:tcPr>
            <w:tcW w:w="2320" w:type="dxa"/>
            <w:vAlign w:val="bottom"/>
            <w:tcBorders>
              <w:right w:val="single" w:sz="8" w:color="DD924E"/>
            </w:tcBorders>
          </w:tcPr>
          <w:p>
            <w:pPr>
              <w:ind w:left="120"/>
              <w:spacing w:after="0"/>
              <w:rPr>
                <w:sz w:val="20"/>
                <w:szCs w:val="20"/>
                <w:color w:val="auto"/>
              </w:rPr>
            </w:pPr>
            <w:r>
              <w:rPr>
                <w:rFonts w:ascii="Arial" w:cs="Arial" w:eastAsia="Arial" w:hAnsi="Arial"/>
                <w:sz w:val="15"/>
                <w:szCs w:val="15"/>
                <w:color w:val="auto"/>
              </w:rPr>
              <w:t>recommending governance</w:t>
            </w:r>
          </w:p>
        </w:tc>
        <w:tc>
          <w:tcPr>
            <w:tcW w:w="0" w:type="dxa"/>
            <w:vAlign w:val="bottom"/>
          </w:tcPr>
          <w:p>
            <w:pPr>
              <w:spacing w:after="0"/>
              <w:rPr>
                <w:sz w:val="1"/>
                <w:szCs w:val="1"/>
                <w:color w:val="auto"/>
              </w:rPr>
            </w:pPr>
          </w:p>
        </w:tc>
      </w:tr>
      <w:tr>
        <w:trPr>
          <w:trHeight w:val="179"/>
        </w:trPr>
        <w:tc>
          <w:tcPr>
            <w:tcW w:w="1400" w:type="dxa"/>
            <w:vAlign w:val="bottom"/>
            <w:tcBorders>
              <w:left w:val="single" w:sz="8" w:color="DD924E"/>
            </w:tcBorders>
            <w:vMerge w:val="restart"/>
          </w:tcPr>
          <w:p>
            <w:pPr>
              <w:ind w:left="80"/>
              <w:spacing w:after="0"/>
              <w:rPr>
                <w:sz w:val="20"/>
                <w:szCs w:val="20"/>
                <w:color w:val="auto"/>
              </w:rPr>
            </w:pPr>
            <w:r>
              <w:rPr>
                <w:rFonts w:ascii="Arial" w:cs="Arial" w:eastAsia="Arial" w:hAnsi="Arial"/>
                <w:sz w:val="17"/>
                <w:szCs w:val="17"/>
                <w:color w:val="auto"/>
              </w:rPr>
              <w:t>Nitin Sahney</w:t>
            </w:r>
          </w:p>
        </w:tc>
        <w:tc>
          <w:tcPr>
            <w:tcW w:w="480" w:type="dxa"/>
            <w:vAlign w:val="bottom"/>
          </w:tcPr>
          <w:p>
            <w:pPr>
              <w:spacing w:after="0"/>
              <w:rPr>
                <w:sz w:val="15"/>
                <w:szCs w:val="15"/>
                <w:color w:val="auto"/>
              </w:rPr>
            </w:pPr>
          </w:p>
        </w:tc>
        <w:tc>
          <w:tcPr>
            <w:tcW w:w="2320" w:type="dxa"/>
            <w:vAlign w:val="bottom"/>
            <w:tcBorders>
              <w:right w:val="single" w:sz="8" w:color="DD924E"/>
            </w:tcBorders>
          </w:tcPr>
          <w:p>
            <w:pPr>
              <w:ind w:left="120"/>
              <w:spacing w:after="0"/>
              <w:rPr>
                <w:sz w:val="20"/>
                <w:szCs w:val="20"/>
                <w:color w:val="auto"/>
              </w:rPr>
            </w:pPr>
            <w:r>
              <w:rPr>
                <w:rFonts w:ascii="Arial" w:cs="Arial" w:eastAsia="Arial" w:hAnsi="Arial"/>
                <w:sz w:val="15"/>
                <w:szCs w:val="15"/>
                <w:color w:val="auto"/>
              </w:rPr>
              <w:t>practices, including our</w:t>
            </w:r>
          </w:p>
        </w:tc>
        <w:tc>
          <w:tcPr>
            <w:tcW w:w="0" w:type="dxa"/>
            <w:vAlign w:val="bottom"/>
          </w:tcPr>
          <w:p>
            <w:pPr>
              <w:spacing w:after="0"/>
              <w:rPr>
                <w:sz w:val="1"/>
                <w:szCs w:val="1"/>
                <w:color w:val="auto"/>
              </w:rPr>
            </w:pPr>
          </w:p>
        </w:tc>
      </w:tr>
      <w:tr>
        <w:trPr>
          <w:trHeight w:val="61"/>
        </w:trPr>
        <w:tc>
          <w:tcPr>
            <w:tcW w:w="1400" w:type="dxa"/>
            <w:vAlign w:val="bottom"/>
            <w:tcBorders>
              <w:left w:val="single" w:sz="8" w:color="DD924E"/>
            </w:tcBorders>
            <w:vMerge w:val="continue"/>
          </w:tcPr>
          <w:p>
            <w:pPr>
              <w:spacing w:after="0"/>
              <w:rPr>
                <w:sz w:val="5"/>
                <w:szCs w:val="5"/>
                <w:color w:val="auto"/>
              </w:rPr>
            </w:pPr>
          </w:p>
        </w:tc>
        <w:tc>
          <w:tcPr>
            <w:tcW w:w="480" w:type="dxa"/>
            <w:vAlign w:val="bottom"/>
          </w:tcPr>
          <w:p>
            <w:pPr>
              <w:spacing w:after="0"/>
              <w:rPr>
                <w:sz w:val="5"/>
                <w:szCs w:val="5"/>
                <w:color w:val="auto"/>
              </w:rPr>
            </w:pPr>
          </w:p>
        </w:tc>
        <w:tc>
          <w:tcPr>
            <w:tcW w:w="2320" w:type="dxa"/>
            <w:vAlign w:val="bottom"/>
            <w:tcBorders>
              <w:right w:val="single" w:sz="8" w:color="DD924E"/>
            </w:tcBorders>
            <w:vMerge w:val="restart"/>
          </w:tcPr>
          <w:p>
            <w:pPr>
              <w:ind w:left="120"/>
              <w:spacing w:after="0"/>
              <w:rPr>
                <w:sz w:val="20"/>
                <w:szCs w:val="20"/>
                <w:color w:val="auto"/>
              </w:rPr>
            </w:pPr>
            <w:r>
              <w:rPr>
                <w:rFonts w:ascii="Arial" w:cs="Arial" w:eastAsia="Arial" w:hAnsi="Arial"/>
                <w:sz w:val="15"/>
                <w:szCs w:val="15"/>
                <w:color w:val="auto"/>
              </w:rPr>
              <w:t>Corporate Governance</w:t>
            </w:r>
          </w:p>
        </w:tc>
        <w:tc>
          <w:tcPr>
            <w:tcW w:w="0" w:type="dxa"/>
            <w:vAlign w:val="bottom"/>
          </w:tcPr>
          <w:p>
            <w:pPr>
              <w:spacing w:after="0"/>
              <w:rPr>
                <w:sz w:val="1"/>
                <w:szCs w:val="1"/>
                <w:color w:val="auto"/>
              </w:rPr>
            </w:pPr>
          </w:p>
        </w:tc>
      </w:tr>
      <w:tr>
        <w:trPr>
          <w:trHeight w:val="118"/>
        </w:trPr>
        <w:tc>
          <w:tcPr>
            <w:tcW w:w="1400" w:type="dxa"/>
            <w:vAlign w:val="bottom"/>
            <w:tcBorders>
              <w:left w:val="single" w:sz="8" w:color="DD924E"/>
            </w:tcBorders>
            <w:vMerge w:val="restart"/>
          </w:tcPr>
          <w:p>
            <w:pPr>
              <w:ind w:left="80"/>
              <w:spacing w:after="0"/>
              <w:rPr>
                <w:sz w:val="20"/>
                <w:szCs w:val="20"/>
                <w:color w:val="auto"/>
              </w:rPr>
            </w:pPr>
            <w:r>
              <w:rPr>
                <w:rFonts w:ascii="Arial" w:cs="Arial" w:eastAsia="Arial" w:hAnsi="Arial"/>
                <w:sz w:val="17"/>
                <w:szCs w:val="17"/>
                <w:color w:val="auto"/>
              </w:rPr>
              <w:t>Garen Staglin</w:t>
            </w:r>
          </w:p>
        </w:tc>
        <w:tc>
          <w:tcPr>
            <w:tcW w:w="480" w:type="dxa"/>
            <w:vAlign w:val="bottom"/>
          </w:tcPr>
          <w:p>
            <w:pPr>
              <w:spacing w:after="0"/>
              <w:rPr>
                <w:sz w:val="10"/>
                <w:szCs w:val="10"/>
                <w:color w:val="auto"/>
              </w:rPr>
            </w:pPr>
          </w:p>
        </w:tc>
        <w:tc>
          <w:tcPr>
            <w:tcW w:w="2320" w:type="dxa"/>
            <w:vAlign w:val="bottom"/>
            <w:tcBorders>
              <w:right w:val="single" w:sz="8" w:color="DD924E"/>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400" w:type="dxa"/>
            <w:vAlign w:val="bottom"/>
            <w:tcBorders>
              <w:left w:val="single" w:sz="8" w:color="DD924E"/>
            </w:tcBorders>
            <w:vMerge w:val="continue"/>
          </w:tcPr>
          <w:p>
            <w:pPr>
              <w:spacing w:after="0"/>
              <w:rPr>
                <w:sz w:val="7"/>
                <w:szCs w:val="7"/>
                <w:color w:val="auto"/>
              </w:rPr>
            </w:pPr>
          </w:p>
        </w:tc>
        <w:tc>
          <w:tcPr>
            <w:tcW w:w="480" w:type="dxa"/>
            <w:vAlign w:val="bottom"/>
          </w:tcPr>
          <w:p>
            <w:pPr>
              <w:spacing w:after="0"/>
              <w:rPr>
                <w:sz w:val="7"/>
                <w:szCs w:val="7"/>
                <w:color w:val="auto"/>
              </w:rPr>
            </w:pPr>
          </w:p>
        </w:tc>
        <w:tc>
          <w:tcPr>
            <w:tcW w:w="2320" w:type="dxa"/>
            <w:vAlign w:val="bottom"/>
            <w:tcBorders>
              <w:right w:val="single" w:sz="8" w:color="DD924E"/>
            </w:tcBorders>
            <w:vMerge w:val="restart"/>
          </w:tcPr>
          <w:p>
            <w:pPr>
              <w:ind w:left="120"/>
              <w:spacing w:after="0"/>
              <w:rPr>
                <w:sz w:val="20"/>
                <w:szCs w:val="20"/>
                <w:color w:val="auto"/>
              </w:rPr>
            </w:pPr>
            <w:r>
              <w:rPr>
                <w:rFonts w:ascii="Arial" w:cs="Arial" w:eastAsia="Arial" w:hAnsi="Arial"/>
                <w:sz w:val="15"/>
                <w:szCs w:val="15"/>
                <w:color w:val="auto"/>
              </w:rPr>
              <w:t>Guidelines.</w:t>
            </w:r>
          </w:p>
        </w:tc>
        <w:tc>
          <w:tcPr>
            <w:tcW w:w="0" w:type="dxa"/>
            <w:vAlign w:val="bottom"/>
          </w:tcPr>
          <w:p>
            <w:pPr>
              <w:spacing w:after="0"/>
              <w:rPr>
                <w:sz w:val="1"/>
                <w:szCs w:val="1"/>
                <w:color w:val="auto"/>
              </w:rPr>
            </w:pPr>
          </w:p>
        </w:tc>
      </w:tr>
      <w:tr>
        <w:trPr>
          <w:trHeight w:val="99"/>
        </w:trPr>
        <w:tc>
          <w:tcPr>
            <w:tcW w:w="1400" w:type="dxa"/>
            <w:vAlign w:val="bottom"/>
            <w:tcBorders>
              <w:left w:val="single" w:sz="8" w:color="DD924E"/>
            </w:tcBorders>
          </w:tcPr>
          <w:p>
            <w:pPr>
              <w:spacing w:after="0"/>
              <w:rPr>
                <w:sz w:val="8"/>
                <w:szCs w:val="8"/>
                <w:color w:val="auto"/>
              </w:rPr>
            </w:pPr>
          </w:p>
        </w:tc>
        <w:tc>
          <w:tcPr>
            <w:tcW w:w="480" w:type="dxa"/>
            <w:vAlign w:val="bottom"/>
          </w:tcPr>
          <w:p>
            <w:pPr>
              <w:spacing w:after="0"/>
              <w:rPr>
                <w:sz w:val="8"/>
                <w:szCs w:val="8"/>
                <w:color w:val="auto"/>
              </w:rPr>
            </w:pPr>
          </w:p>
        </w:tc>
        <w:tc>
          <w:tcPr>
            <w:tcW w:w="2320" w:type="dxa"/>
            <w:vAlign w:val="bottom"/>
            <w:tcBorders>
              <w:right w:val="single" w:sz="8" w:color="DD924E"/>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400" w:type="dxa"/>
            <w:vAlign w:val="bottom"/>
            <w:tcBorders>
              <w:left w:val="single" w:sz="8" w:color="DD924E"/>
            </w:tcBorders>
          </w:tcPr>
          <w:p>
            <w:pPr>
              <w:spacing w:after="0"/>
              <w:rPr>
                <w:sz w:val="24"/>
                <w:szCs w:val="24"/>
                <w:color w:val="auto"/>
              </w:rPr>
            </w:pPr>
          </w:p>
        </w:tc>
        <w:tc>
          <w:tcPr>
            <w:tcW w:w="480" w:type="dxa"/>
            <w:vAlign w:val="bottom"/>
          </w:tcPr>
          <w:p>
            <w:pPr>
              <w:jc w:val="right"/>
              <w:ind w:right="43"/>
              <w:spacing w:after="0"/>
              <w:rPr>
                <w:sz w:val="20"/>
                <w:szCs w:val="20"/>
                <w:color w:val="auto"/>
              </w:rPr>
            </w:pPr>
            <w:r>
              <w:rPr>
                <w:rFonts w:ascii="Arial" w:cs="Arial" w:eastAsia="Arial" w:hAnsi="Arial"/>
                <w:sz w:val="15"/>
                <w:szCs w:val="15"/>
                <w:color w:val="DD924E"/>
              </w:rPr>
              <w:t>&gt;</w:t>
            </w:r>
          </w:p>
        </w:tc>
        <w:tc>
          <w:tcPr>
            <w:tcW w:w="2320" w:type="dxa"/>
            <w:vAlign w:val="bottom"/>
            <w:tcBorders>
              <w:right w:val="single" w:sz="8" w:color="DD924E"/>
            </w:tcBorders>
          </w:tcPr>
          <w:p>
            <w:pPr>
              <w:ind w:left="120"/>
              <w:spacing w:after="0"/>
              <w:rPr>
                <w:sz w:val="20"/>
                <w:szCs w:val="20"/>
                <w:color w:val="auto"/>
              </w:rPr>
            </w:pPr>
            <w:r>
              <w:rPr>
                <w:rFonts w:ascii="Arial" w:cs="Arial" w:eastAsia="Arial" w:hAnsi="Arial"/>
                <w:sz w:val="15"/>
                <w:szCs w:val="15"/>
                <w:color w:val="auto"/>
              </w:rPr>
              <w:t>Overseeing board and</w:t>
            </w:r>
          </w:p>
        </w:tc>
        <w:tc>
          <w:tcPr>
            <w:tcW w:w="0" w:type="dxa"/>
            <w:vAlign w:val="bottom"/>
          </w:tcPr>
          <w:p>
            <w:pPr>
              <w:spacing w:after="0"/>
              <w:rPr>
                <w:sz w:val="1"/>
                <w:szCs w:val="1"/>
                <w:color w:val="auto"/>
              </w:rPr>
            </w:pPr>
          </w:p>
        </w:tc>
      </w:tr>
      <w:tr>
        <w:trPr>
          <w:trHeight w:val="196"/>
        </w:trPr>
        <w:tc>
          <w:tcPr>
            <w:tcW w:w="1400" w:type="dxa"/>
            <w:vAlign w:val="bottom"/>
            <w:tcBorders>
              <w:left w:val="single" w:sz="8" w:color="DD924E"/>
              <w:bottom w:val="single" w:sz="8" w:color="DD924E"/>
            </w:tcBorders>
          </w:tcPr>
          <w:p>
            <w:pPr>
              <w:spacing w:after="0"/>
              <w:rPr>
                <w:sz w:val="17"/>
                <w:szCs w:val="17"/>
                <w:color w:val="auto"/>
              </w:rPr>
            </w:pPr>
          </w:p>
        </w:tc>
        <w:tc>
          <w:tcPr>
            <w:tcW w:w="480" w:type="dxa"/>
            <w:vAlign w:val="bottom"/>
            <w:tcBorders>
              <w:bottom w:val="single" w:sz="8" w:color="DD924E"/>
            </w:tcBorders>
          </w:tcPr>
          <w:p>
            <w:pPr>
              <w:spacing w:after="0"/>
              <w:rPr>
                <w:sz w:val="17"/>
                <w:szCs w:val="17"/>
                <w:color w:val="auto"/>
              </w:rPr>
            </w:pPr>
          </w:p>
        </w:tc>
        <w:tc>
          <w:tcPr>
            <w:tcW w:w="2320" w:type="dxa"/>
            <w:vAlign w:val="bottom"/>
            <w:tcBorders>
              <w:bottom w:val="single" w:sz="8" w:color="DD924E"/>
              <w:right w:val="single" w:sz="8" w:color="DD924E"/>
            </w:tcBorders>
          </w:tcPr>
          <w:p>
            <w:pPr>
              <w:ind w:left="120"/>
              <w:spacing w:after="0"/>
              <w:rPr>
                <w:sz w:val="20"/>
                <w:szCs w:val="20"/>
                <w:color w:val="auto"/>
              </w:rPr>
            </w:pPr>
            <w:r>
              <w:rPr>
                <w:rFonts w:ascii="Arial" w:cs="Arial" w:eastAsia="Arial" w:hAnsi="Arial"/>
                <w:sz w:val="15"/>
                <w:szCs w:val="15"/>
                <w:color w:val="auto"/>
              </w:rPr>
              <w:t>management evaluations.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2646045" cy="3581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46045" cy="358140"/>
                    </a:xfrm>
                    <a:prstGeom prst="rect">
                      <a:avLst/>
                    </a:prstGeom>
                    <a:noFill/>
                  </pic:spPr>
                </pic:pic>
              </a:graphicData>
            </a:graphic>
          </wp:anchor>
        </w:drawing>
      </w:r>
    </w:p>
    <w:p>
      <w:pPr>
        <w:spacing w:after="0" w:line="130" w:lineRule="exact"/>
        <w:rPr>
          <w:sz w:val="20"/>
          <w:szCs w:val="20"/>
          <w:color w:val="auto"/>
        </w:rPr>
      </w:pPr>
    </w:p>
    <w:p>
      <w:pPr>
        <w:ind w:left="1380"/>
        <w:spacing w:after="0"/>
        <w:rPr>
          <w:sz w:val="20"/>
          <w:szCs w:val="20"/>
          <w:color w:val="auto"/>
        </w:rPr>
      </w:pPr>
      <w:r>
        <w:rPr>
          <w:rFonts w:ascii="Arial" w:cs="Arial" w:eastAsia="Arial" w:hAnsi="Arial"/>
          <w:sz w:val="38"/>
          <w:szCs w:val="38"/>
          <w:b w:val="1"/>
          <w:bCs w:val="1"/>
          <w:color w:val="518DC8"/>
        </w:rPr>
        <w:t xml:space="preserve">6 </w:t>
      </w:r>
      <w:r>
        <w:rPr>
          <w:rFonts w:ascii="Arial" w:cs="Arial" w:eastAsia="Arial" w:hAnsi="Arial"/>
          <w:sz w:val="17"/>
          <w:szCs w:val="17"/>
          <w:b w:val="1"/>
          <w:bCs w:val="1"/>
          <w:color w:val="518DC8"/>
        </w:rPr>
        <w:t>Committee Meetings in 2017</w:t>
      </w:r>
    </w:p>
    <w:p>
      <w:pPr>
        <w:spacing w:after="0" w:line="1168" w:lineRule="exact"/>
        <w:rPr>
          <w:sz w:val="20"/>
          <w:szCs w:val="20"/>
          <w:color w:val="auto"/>
        </w:rPr>
      </w:pPr>
    </w:p>
    <w:p>
      <w:pPr>
        <w:sectPr>
          <w:pgSz w:w="11900" w:h="16838" w:orient="portrait"/>
          <w:cols w:equalWidth="0" w:num="2">
            <w:col w:w="4280" w:space="400"/>
            <w:col w:w="4339"/>
          </w:cols>
          <w:pgMar w:left="1440" w:top="1440" w:right="1440" w:bottom="1440" w:gutter="0" w:footer="0" w:header="0"/>
          <w:type w:val="continuous"/>
        </w:sectPr>
      </w:pPr>
    </w:p>
    <w:p>
      <w:pPr>
        <w:jc w:val="both"/>
        <w:ind w:left="160" w:right="59"/>
        <w:spacing w:after="0" w:line="238" w:lineRule="auto"/>
        <w:rPr>
          <w:sz w:val="20"/>
          <w:szCs w:val="20"/>
          <w:color w:val="auto"/>
        </w:rPr>
      </w:pPr>
      <w:r>
        <w:rPr>
          <w:rFonts w:ascii="Arial" w:cs="Arial" w:eastAsia="Arial" w:hAnsi="Arial"/>
          <w:sz w:val="17"/>
          <w:szCs w:val="17"/>
          <w:color w:val="auto"/>
        </w:rPr>
        <w:t>personal characteristics required in the light of the then-current makeup of our board of directors and in the context of our perceived needs at the time. The Nominating and Governance Committee considers a number of factors in selecting director candidates, including, among others, ethical standards and integrity; independence; diversity of professional and personal backgrounds; skills and experience; other public company directorships; and financial literacy and expertise; communication skills; and ability and willingness to comply with Company policies and procedures.</w:t>
      </w:r>
    </w:p>
    <w:p>
      <w:pPr>
        <w:spacing w:after="0" w:line="132"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Our Nominating and Governance Committee reviews written and oral information provided by and about candidates and considers any additional criteria it feels is appropriate to ensure that all director nominees possess appropriate skills and experience to serve as a member of our board of directors.</w:t>
      </w:r>
    </w:p>
    <w:p>
      <w:pPr>
        <w:spacing w:after="0" w:line="129" w:lineRule="exact"/>
        <w:rPr>
          <w:sz w:val="20"/>
          <w:szCs w:val="20"/>
          <w:color w:val="auto"/>
        </w:rPr>
      </w:pPr>
    </w:p>
    <w:p>
      <w:pPr>
        <w:jc w:val="both"/>
        <w:ind w:left="160" w:right="59"/>
        <w:spacing w:after="0" w:line="238" w:lineRule="auto"/>
        <w:rPr>
          <w:sz w:val="20"/>
          <w:szCs w:val="20"/>
          <w:color w:val="auto"/>
        </w:rPr>
      </w:pPr>
      <w:r>
        <w:rPr>
          <w:rFonts w:ascii="Arial" w:cs="Arial" w:eastAsia="Arial" w:hAnsi="Arial"/>
          <w:sz w:val="17"/>
          <w:szCs w:val="17"/>
          <w:color w:val="auto"/>
        </w:rPr>
        <w:t>Although our Nominating and Governance Committee does not have a formal policy with regard to diversity of board members, pursuant to our Corporate Governance Guidelines, our board of directors seeks members from diverse professional and personal backgrounds who combine a broad spectrum of experience and expertise with a reputation for integrity. This assessment includes an individual’s independence, as well as consideration of diversity, age, skills and experience in the context of the needs of the board of directors. Our Nominating and Governance Committee reviews and makes recommendations regarding the composition of our board of directors in order</w:t>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8" w:name="page29"/>
    <w:bookmarkEnd w:id="28"/>
    <w:p>
      <w:pPr>
        <w:spacing w:after="0" w:line="58" w:lineRule="exact"/>
        <w:rPr>
          <w:sz w:val="20"/>
          <w:szCs w:val="20"/>
          <w:color w:val="auto"/>
        </w:rPr>
      </w:pPr>
    </w:p>
    <w:p>
      <w:pPr>
        <w:jc w:val="both"/>
        <w:ind w:left="160" w:right="59"/>
        <w:spacing w:after="0" w:line="238" w:lineRule="auto"/>
        <w:rPr>
          <w:sz w:val="20"/>
          <w:szCs w:val="20"/>
          <w:color w:val="auto"/>
        </w:rPr>
      </w:pPr>
      <w:r>
        <w:rPr>
          <w:rFonts w:ascii="Arial" w:cs="Arial" w:eastAsia="Arial" w:hAnsi="Arial"/>
          <w:sz w:val="17"/>
          <w:szCs w:val="17"/>
          <w:color w:val="auto"/>
        </w:rPr>
        <w:t>to ensure that the board has an appropriate breadth of expertise and its membership consists of persons with sufficiently diverse and independent skill sets and backgrounds. The Nominating and Governance Committee also oversees our director onboarding and training program, which provides new directors with training regarding the Company’s policies and procedures and specific requirements that may be needed based on the director’s committee memberships. Our Nominating and Governance Committee annually reviews and assesses the adequacy of the Nominating and Governance Committee charter and its own performance.</w:t>
      </w:r>
    </w:p>
    <w:p>
      <w:pPr>
        <w:spacing w:after="0" w:line="119"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The members of our Nominating and Governance Committee are appointed by our board of directors. Our board of directors has determined that all of the members of the Nominating and Governance Committee meet the independence requirements of the Nasdaq Stock Market and federal securities laws.</w:t>
      </w:r>
    </w:p>
    <w:p>
      <w:pPr>
        <w:sectPr>
          <w:pgSz w:w="11900" w:h="16838" w:orient="portrait"/>
          <w:cols w:equalWidth="0" w:num="1">
            <w:col w:w="9019"/>
          </w:cols>
          <w:pgMar w:left="1440" w:top="1440" w:right="1440" w:bottom="1440" w:gutter="0" w:footer="0" w:header="0"/>
        </w:sectPr>
      </w:pPr>
    </w:p>
    <w:p>
      <w:pPr>
        <w:spacing w:after="0" w:line="10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Compensation Committee.</w:t>
      </w:r>
    </w:p>
    <w:p>
      <w:pPr>
        <w:spacing w:after="0" w:line="158" w:lineRule="exact"/>
        <w:rPr>
          <w:sz w:val="20"/>
          <w:szCs w:val="20"/>
          <w:color w:val="auto"/>
        </w:rPr>
      </w:pPr>
    </w:p>
    <w:p>
      <w:pPr>
        <w:ind w:left="160"/>
        <w:spacing w:after="0" w:line="243" w:lineRule="auto"/>
        <w:rPr>
          <w:sz w:val="20"/>
          <w:szCs w:val="20"/>
          <w:color w:val="auto"/>
        </w:rPr>
      </w:pPr>
      <w:r>
        <w:rPr>
          <w:rFonts w:ascii="Arial" w:cs="Arial" w:eastAsia="Arial" w:hAnsi="Arial"/>
          <w:sz w:val="17"/>
          <w:szCs w:val="17"/>
          <w:color w:val="auto"/>
        </w:rPr>
        <w:t>Our Compensation Committee reviews and recommends policies relating to compensation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Compensation Committee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-134620</wp:posOffset>
            </wp:positionV>
            <wp:extent cx="2653665" cy="317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53665" cy="31750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4460" w:space="300"/>
            <w:col w:w="4259"/>
          </w:cols>
          <w:pgMar w:left="1440" w:top="1440" w:right="1440" w:bottom="1440" w:gutter="0" w:footer="0" w:header="0"/>
          <w:type w:val="continuous"/>
        </w:sectPr>
      </w:pPr>
    </w:p>
    <w:p>
      <w:pPr>
        <w:spacing w:after="0" w:line="13" w:lineRule="exact"/>
        <w:rPr>
          <w:sz w:val="20"/>
          <w:szCs w:val="20"/>
          <w:color w:val="auto"/>
        </w:rPr>
      </w:pPr>
    </w:p>
    <w:p>
      <w:pPr>
        <w:jc w:val="both"/>
        <w:ind w:left="160"/>
        <w:spacing w:after="0" w:line="225" w:lineRule="auto"/>
        <w:rPr>
          <w:sz w:val="20"/>
          <w:szCs w:val="20"/>
          <w:color w:val="auto"/>
        </w:rPr>
      </w:pPr>
      <w:r>
        <w:rPr>
          <w:rFonts w:ascii="Arial" w:cs="Arial" w:eastAsia="Arial" w:hAnsi="Arial"/>
          <w:sz w:val="17"/>
          <w:szCs w:val="17"/>
          <w:color w:val="auto"/>
        </w:rPr>
        <w:t>benefits of our directors, officers and employees and is responsible for approving the compensation of our Vice Chairman and CEO and other executive officers. Our Compensation Committee also 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Anne Minto, Chair</w:t>
      </w:r>
    </w:p>
    <w:p>
      <w:pPr>
        <w:spacing w:after="0" w:line="145" w:lineRule="exact"/>
        <w:rPr>
          <w:sz w:val="20"/>
          <w:szCs w:val="20"/>
          <w:color w:val="auto"/>
        </w:rPr>
      </w:pPr>
    </w:p>
    <w:p>
      <w:pPr>
        <w:ind w:right="420"/>
        <w:spacing w:after="0" w:line="239" w:lineRule="auto"/>
        <w:rPr>
          <w:sz w:val="20"/>
          <w:szCs w:val="20"/>
          <w:color w:val="auto"/>
        </w:rPr>
      </w:pPr>
      <w:r>
        <w:rPr>
          <w:rFonts w:ascii="Arial" w:cs="Arial" w:eastAsia="Arial" w:hAnsi="Arial"/>
          <w:sz w:val="17"/>
          <w:szCs w:val="17"/>
          <w:color w:val="auto"/>
        </w:rPr>
        <w:t>Deborah Kerr Som Mittal Clyde Ostler Garen Staglin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FFFFFF"/>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23495</wp:posOffset>
            </wp:positionV>
            <wp:extent cx="2653665" cy="13677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53665" cy="1367790"/>
                    </a:xfrm>
                    <a:prstGeom prst="rect">
                      <a:avLst/>
                    </a:prstGeom>
                    <a:noFill/>
                  </pic:spPr>
                </pic:pic>
              </a:graphicData>
            </a:graphic>
          </wp:anchor>
        </w:drawing>
      </w:r>
    </w:p>
    <w:p>
      <w:pPr>
        <w:spacing w:after="0" w:line="70" w:lineRule="exact"/>
        <w:rPr>
          <w:sz w:val="20"/>
          <w:szCs w:val="20"/>
          <w:color w:val="auto"/>
        </w:rPr>
      </w:pPr>
    </w:p>
    <w:p>
      <w:pPr>
        <w:ind w:left="340" w:right="259" w:hanging="335"/>
        <w:spacing w:after="0" w:line="255" w:lineRule="auto"/>
        <w:tabs>
          <w:tab w:leader="none" w:pos="340" w:val="left"/>
        </w:tabs>
        <w:numPr>
          <w:ilvl w:val="0"/>
          <w:numId w:val="46"/>
        </w:numPr>
        <w:rPr>
          <w:rFonts w:ascii="Arial" w:cs="Arial" w:eastAsia="Arial" w:hAnsi="Arial"/>
          <w:sz w:val="15"/>
          <w:szCs w:val="15"/>
          <w:color w:val="DD924E"/>
        </w:rPr>
      </w:pPr>
      <w:r>
        <w:rPr>
          <w:rFonts w:ascii="Arial" w:cs="Arial" w:eastAsia="Arial" w:hAnsi="Arial"/>
          <w:sz w:val="15"/>
          <w:szCs w:val="15"/>
          <w:color w:val="auto"/>
        </w:rPr>
        <w:t>Reviewing and recommending compensation and benefits of directors, officers and employees.</w:t>
      </w:r>
    </w:p>
    <w:p>
      <w:pPr>
        <w:spacing w:after="0" w:line="113" w:lineRule="exact"/>
        <w:rPr>
          <w:rFonts w:ascii="Arial" w:cs="Arial" w:eastAsia="Arial" w:hAnsi="Arial"/>
          <w:sz w:val="15"/>
          <w:szCs w:val="15"/>
          <w:color w:val="DD924E"/>
        </w:rPr>
      </w:pPr>
    </w:p>
    <w:p>
      <w:pPr>
        <w:ind w:left="340" w:right="559" w:hanging="335"/>
        <w:spacing w:after="0" w:line="255" w:lineRule="auto"/>
        <w:tabs>
          <w:tab w:leader="none" w:pos="340" w:val="left"/>
        </w:tabs>
        <w:numPr>
          <w:ilvl w:val="0"/>
          <w:numId w:val="46"/>
        </w:numPr>
        <w:rPr>
          <w:rFonts w:ascii="Arial" w:cs="Arial" w:eastAsia="Arial" w:hAnsi="Arial"/>
          <w:sz w:val="15"/>
          <w:szCs w:val="15"/>
          <w:color w:val="DD924E"/>
        </w:rPr>
      </w:pPr>
      <w:r>
        <w:rPr>
          <w:rFonts w:ascii="Arial" w:cs="Arial" w:eastAsia="Arial" w:hAnsi="Arial"/>
          <w:sz w:val="15"/>
          <w:szCs w:val="15"/>
          <w:color w:val="auto"/>
        </w:rPr>
        <w:t>Overall compensation risk management, including recommending incentive compensation plans.</w:t>
      </w:r>
    </w:p>
    <w:p>
      <w:pPr>
        <w:spacing w:after="0" w:line="125" w:lineRule="exact"/>
        <w:rPr>
          <w:rFonts w:ascii="Arial" w:cs="Arial" w:eastAsia="Arial" w:hAnsi="Arial"/>
          <w:sz w:val="15"/>
          <w:szCs w:val="15"/>
          <w:color w:val="DD924E"/>
        </w:rPr>
      </w:pPr>
    </w:p>
    <w:p>
      <w:pPr>
        <w:ind w:left="340" w:right="319" w:hanging="335"/>
        <w:spacing w:after="0" w:line="267" w:lineRule="auto"/>
        <w:tabs>
          <w:tab w:leader="none" w:pos="340" w:val="left"/>
        </w:tabs>
        <w:numPr>
          <w:ilvl w:val="0"/>
          <w:numId w:val="46"/>
        </w:numPr>
        <w:rPr>
          <w:rFonts w:ascii="Arial" w:cs="Arial" w:eastAsia="Arial" w:hAnsi="Arial"/>
          <w:sz w:val="15"/>
          <w:szCs w:val="15"/>
          <w:color w:val="DD924E"/>
        </w:rPr>
      </w:pPr>
      <w:r>
        <w:rPr>
          <w:rFonts w:ascii="Arial" w:cs="Arial" w:eastAsia="Arial" w:hAnsi="Arial"/>
          <w:sz w:val="15"/>
          <w:szCs w:val="15"/>
          <w:color w:val="auto"/>
        </w:rPr>
        <w:t>Retention of advisors or other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88900</wp:posOffset>
            </wp:positionV>
            <wp:extent cx="2646045" cy="3581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46045" cy="358140"/>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3">
            <w:col w:w="4460" w:space="300"/>
            <w:col w:w="1460" w:space="120"/>
            <w:col w:w="2679"/>
          </w:cols>
          <w:pgMar w:left="1440" w:top="1440" w:right="1440" w:bottom="1440" w:gutter="0" w:footer="0" w:header="0"/>
          <w:type w:val="continuous"/>
        </w:sectPr>
      </w:pPr>
    </w:p>
    <w:p>
      <w:pPr>
        <w:spacing w:after="0" w:line="228" w:lineRule="exact"/>
        <w:rPr>
          <w:sz w:val="20"/>
          <w:szCs w:val="20"/>
          <w:color w:val="auto"/>
        </w:rPr>
      </w:pPr>
    </w:p>
    <w:p>
      <w:pPr>
        <w:jc w:val="both"/>
        <w:ind w:left="160" w:right="884"/>
        <w:spacing w:after="0" w:line="236" w:lineRule="auto"/>
        <w:rPr>
          <w:sz w:val="20"/>
          <w:szCs w:val="20"/>
          <w:color w:val="auto"/>
        </w:rPr>
      </w:pPr>
      <w:r>
        <w:rPr>
          <w:rFonts w:ascii="Arial" w:cs="Arial" w:eastAsia="Arial" w:hAnsi="Arial"/>
          <w:sz w:val="17"/>
          <w:szCs w:val="17"/>
          <w:color w:val="auto"/>
        </w:rPr>
        <w:t>Our Compensation Committee charter also permits the committee to retain advisors, consultants or other professionals to assist the Compensation Committee to evaluate director, Vice Chairman and CEO or other senior executive compensation and to carry out its duties. For 2017, our Compensation Committee retained the services of Frederick W. Cook &amp; Co., Inc. (“FW Cook”), a qualified and independent compensation</w:t>
      </w:r>
    </w:p>
    <w:p>
      <w:pPr>
        <w:spacing w:after="0" w:line="20" w:lineRule="exact"/>
        <w:rPr>
          <w:sz w:val="20"/>
          <w:szCs w:val="20"/>
          <w:color w:val="auto"/>
        </w:rPr>
      </w:pPr>
      <w:r>
        <w:rPr>
          <w:sz w:val="20"/>
          <w:szCs w:val="20"/>
          <w:color w:val="auto"/>
        </w:rPr>
        <w:br w:type="column"/>
      </w:r>
    </w:p>
    <w:p>
      <w:pPr>
        <w:ind w:left="316" w:hanging="316"/>
        <w:spacing w:after="0" w:line="217" w:lineRule="auto"/>
        <w:tabs>
          <w:tab w:leader="none" w:pos="316" w:val="left"/>
        </w:tabs>
        <w:numPr>
          <w:ilvl w:val="0"/>
          <w:numId w:val="47"/>
        </w:numPr>
        <w:rPr>
          <w:rFonts w:ascii="Arial" w:cs="Arial" w:eastAsia="Arial" w:hAnsi="Arial"/>
          <w:sz w:val="38"/>
          <w:szCs w:val="38"/>
          <w:b w:val="1"/>
          <w:bCs w:val="1"/>
          <w:color w:val="518DC8"/>
        </w:rPr>
      </w:pPr>
      <w:r>
        <w:rPr>
          <w:rFonts w:ascii="Arial" w:cs="Arial" w:eastAsia="Arial" w:hAnsi="Arial"/>
          <w:sz w:val="17"/>
          <w:szCs w:val="17"/>
          <w:b w:val="1"/>
          <w:bCs w:val="1"/>
          <w:color w:val="518DC8"/>
        </w:rPr>
        <w:t>Committee Meetings in 2017</w:t>
      </w:r>
    </w:p>
    <w:p>
      <w:pPr>
        <w:spacing w:after="0" w:line="1372" w:lineRule="exact"/>
        <w:rPr>
          <w:sz w:val="20"/>
          <w:szCs w:val="20"/>
          <w:color w:val="auto"/>
        </w:rPr>
      </w:pPr>
    </w:p>
    <w:p>
      <w:pPr>
        <w:sectPr>
          <w:pgSz w:w="11900" w:h="16838" w:orient="portrait"/>
          <w:cols w:equalWidth="0" w:num="2">
            <w:col w:w="5344" w:space="720"/>
            <w:col w:w="2955"/>
          </w:cols>
          <w:pgMar w:left="1440" w:top="1440" w:right="1440" w:bottom="1440" w:gutter="0" w:footer="0" w:header="0"/>
          <w:type w:val="continuous"/>
        </w:sectPr>
      </w:pPr>
    </w:p>
    <w:p>
      <w:pPr>
        <w:jc w:val="both"/>
        <w:ind w:left="160" w:right="59"/>
        <w:spacing w:after="0" w:line="238" w:lineRule="auto"/>
        <w:rPr>
          <w:sz w:val="20"/>
          <w:szCs w:val="20"/>
          <w:color w:val="auto"/>
        </w:rPr>
      </w:pPr>
      <w:r>
        <w:rPr>
          <w:rFonts w:ascii="Arial" w:cs="Arial" w:eastAsia="Arial" w:hAnsi="Arial"/>
          <w:sz w:val="17"/>
          <w:szCs w:val="17"/>
          <w:color w:val="auto"/>
        </w:rPr>
        <w:t>consultant, to aid the Compensation Committee in performing its review of executive compensation including executive compensation benchmarking and peer group analysis. Our Compensation Committee annually reviews and assesses the adequacy of the Compensation Committee charter and its own performance. Additional information regarding our Compensation Committee’s processes and procedures for considering executive compensation are addressed in the Compensation Discussion and Analysis below. A copy of our Compensation Committee charter can be found on our website at www.exlservice.com.</w:t>
      </w:r>
    </w:p>
    <w:p>
      <w:pPr>
        <w:spacing w:after="0" w:line="132"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The members of our Compensation Committee are appointed by our board of directors. All new members of our Compensation Committee must be recommended by our Nominating and Governance Committee. Our board of directors has determined that all members of the Compensation Committee meet the independence requirements of the Nasdaq Stock Market and federal securities laws for compensation committee membership.</w:t>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9" w:name="page30"/>
    <w:bookmarkEnd w:id="29"/>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Risk Oversight</w:t>
      </w:r>
    </w:p>
    <w:p>
      <w:pPr>
        <w:spacing w:after="0" w:line="149"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Our board of directors provides risk oversight. Our management assists the board in identifying strategic and operating risks that could affect the achievement of our business goals and objectives, assessing the likelihood and potential impact of these risks and proposing courses of action to mitigate and/or respond to these risks. These risks are reviewed and discussed periodically with the full board of directors as part of the business and operating review.</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280"/>
        <w:spacing w:after="0"/>
        <w:rPr>
          <w:sz w:val="20"/>
          <w:szCs w:val="20"/>
          <w:color w:val="auto"/>
        </w:rPr>
      </w:pPr>
      <w:r>
        <w:rPr>
          <w:rFonts w:ascii="Arial" w:cs="Arial" w:eastAsia="Arial" w:hAnsi="Arial"/>
          <w:sz w:val="17"/>
          <w:szCs w:val="17"/>
          <w:b w:val="1"/>
          <w:bCs w:val="1"/>
          <w:color w:val="FFFFFF"/>
        </w:rPr>
        <w:t>Key Risk Oversight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-159385</wp:posOffset>
            </wp:positionV>
            <wp:extent cx="3475990" cy="1212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75990" cy="1212850"/>
                    </a:xfrm>
                    <a:prstGeom prst="rect">
                      <a:avLst/>
                    </a:prstGeom>
                    <a:noFill/>
                  </pic:spPr>
                </pic:pic>
              </a:graphicData>
            </a:graphic>
          </wp:anchor>
        </w:drawing>
      </w:r>
    </w:p>
    <w:p>
      <w:pPr>
        <w:spacing w:after="0" w:line="115" w:lineRule="exact"/>
        <w:rPr>
          <w:sz w:val="20"/>
          <w:szCs w:val="20"/>
          <w:color w:val="auto"/>
        </w:rPr>
      </w:pPr>
    </w:p>
    <w:p>
      <w:pPr>
        <w:ind w:left="900" w:hanging="341"/>
        <w:spacing w:after="0"/>
        <w:tabs>
          <w:tab w:leader="none" w:pos="900" w:val="left"/>
        </w:tabs>
        <w:numPr>
          <w:ilvl w:val="0"/>
          <w:numId w:val="48"/>
        </w:numPr>
        <w:rPr>
          <w:rFonts w:ascii="Arial" w:cs="Arial" w:eastAsia="Arial" w:hAnsi="Arial"/>
          <w:sz w:val="15"/>
          <w:szCs w:val="15"/>
          <w:color w:val="DD924E"/>
        </w:rPr>
      </w:pPr>
      <w:r>
        <w:rPr>
          <w:rFonts w:ascii="Arial" w:cs="Arial" w:eastAsia="Arial" w:hAnsi="Arial"/>
          <w:sz w:val="15"/>
          <w:szCs w:val="15"/>
          <w:color w:val="auto"/>
        </w:rPr>
        <w:t>Board provides risk oversight.</w:t>
      </w:r>
    </w:p>
    <w:p>
      <w:pPr>
        <w:spacing w:after="0" w:line="148" w:lineRule="exact"/>
        <w:rPr>
          <w:rFonts w:ascii="Arial" w:cs="Arial" w:eastAsia="Arial" w:hAnsi="Arial"/>
          <w:sz w:val="15"/>
          <w:szCs w:val="15"/>
          <w:color w:val="DD924E"/>
        </w:rPr>
      </w:pPr>
    </w:p>
    <w:p>
      <w:pPr>
        <w:ind w:left="900" w:hanging="341"/>
        <w:spacing w:after="0"/>
        <w:tabs>
          <w:tab w:leader="none" w:pos="900" w:val="left"/>
        </w:tabs>
        <w:numPr>
          <w:ilvl w:val="0"/>
          <w:numId w:val="48"/>
        </w:numPr>
        <w:rPr>
          <w:rFonts w:ascii="Arial" w:cs="Arial" w:eastAsia="Arial" w:hAnsi="Arial"/>
          <w:sz w:val="15"/>
          <w:szCs w:val="15"/>
          <w:color w:val="DD924E"/>
        </w:rPr>
      </w:pPr>
      <w:r>
        <w:rPr>
          <w:rFonts w:ascii="Arial" w:cs="Arial" w:eastAsia="Arial" w:hAnsi="Arial"/>
          <w:sz w:val="15"/>
          <w:szCs w:val="15"/>
          <w:color w:val="auto"/>
        </w:rPr>
        <w:t>Management is responsible for day-to-day risks.</w:t>
      </w:r>
    </w:p>
    <w:p>
      <w:pPr>
        <w:spacing w:after="0" w:line="148" w:lineRule="exact"/>
        <w:rPr>
          <w:rFonts w:ascii="Arial" w:cs="Arial" w:eastAsia="Arial" w:hAnsi="Arial"/>
          <w:sz w:val="15"/>
          <w:szCs w:val="15"/>
          <w:color w:val="DD924E"/>
        </w:rPr>
      </w:pPr>
    </w:p>
    <w:p>
      <w:pPr>
        <w:ind w:left="900" w:right="280" w:hanging="341"/>
        <w:spacing w:after="0" w:line="267" w:lineRule="auto"/>
        <w:tabs>
          <w:tab w:leader="none" w:pos="900" w:val="left"/>
        </w:tabs>
        <w:numPr>
          <w:ilvl w:val="0"/>
          <w:numId w:val="48"/>
        </w:numPr>
        <w:rPr>
          <w:rFonts w:ascii="Arial" w:cs="Arial" w:eastAsia="Arial" w:hAnsi="Arial"/>
          <w:sz w:val="15"/>
          <w:szCs w:val="15"/>
          <w:color w:val="DD924E"/>
        </w:rPr>
      </w:pPr>
      <w:r>
        <w:rPr>
          <w:rFonts w:ascii="Arial" w:cs="Arial" w:eastAsia="Arial" w:hAnsi="Arial"/>
          <w:sz w:val="15"/>
          <w:szCs w:val="15"/>
          <w:color w:val="auto"/>
        </w:rPr>
        <w:t>Audit Committee oversees risk management and cyber security risks.</w:t>
      </w:r>
    </w:p>
    <w:p>
      <w:pPr>
        <w:spacing w:after="0" w:line="103" w:lineRule="exact"/>
        <w:rPr>
          <w:rFonts w:ascii="Arial" w:cs="Arial" w:eastAsia="Arial" w:hAnsi="Arial"/>
          <w:sz w:val="15"/>
          <w:szCs w:val="15"/>
          <w:color w:val="DD924E"/>
        </w:rPr>
      </w:pPr>
    </w:p>
    <w:p>
      <w:pPr>
        <w:ind w:left="900" w:hanging="341"/>
        <w:spacing w:after="0" w:line="267" w:lineRule="auto"/>
        <w:tabs>
          <w:tab w:leader="none" w:pos="900" w:val="left"/>
        </w:tabs>
        <w:numPr>
          <w:ilvl w:val="0"/>
          <w:numId w:val="48"/>
        </w:numPr>
        <w:rPr>
          <w:rFonts w:ascii="Arial" w:cs="Arial" w:eastAsia="Arial" w:hAnsi="Arial"/>
          <w:sz w:val="15"/>
          <w:szCs w:val="15"/>
          <w:color w:val="DD924E"/>
        </w:rPr>
      </w:pPr>
      <w:r>
        <w:rPr>
          <w:rFonts w:ascii="Arial" w:cs="Arial" w:eastAsia="Arial" w:hAnsi="Arial"/>
          <w:sz w:val="15"/>
          <w:szCs w:val="15"/>
          <w:color w:val="auto"/>
        </w:rPr>
        <w:t>We have implemented Risk Appetite Guidelines with qualitative and quantitative thresholds.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Our management is responsible for management of our day-to-day risks, and, because we are exposed to financial risks in multiple areas of our business, day-to-day risk management activities and processes are performed by multiple members of our senior and other management. Our board of directors primarily relies on the Audit Committee for oversight of our risk management and cyber security risk. The Audit Committee regularly reviews and discusses with management our major financial risk and cyber security exposures and the steps management has taken to monitor, control and manage such exposures, including our risk assessment and risk management guidelines and policies. In addition, our management maintains, as part of our</w:t>
      </w:r>
    </w:p>
    <w:p>
      <w:pPr>
        <w:spacing w:after="0" w:line="2" w:lineRule="exact"/>
        <w:rPr>
          <w:sz w:val="20"/>
          <w:szCs w:val="20"/>
          <w:color w:val="auto"/>
        </w:rPr>
      </w:pPr>
    </w:p>
    <w:p>
      <w:pPr>
        <w:sectPr>
          <w:pgSz w:w="11900" w:h="16838" w:orient="portrait"/>
          <w:cols w:equalWidth="0" w:num="2">
            <w:col w:w="5500" w:space="380"/>
            <w:col w:w="3139"/>
          </w:cols>
          <w:pgMar w:left="1440" w:top="1440" w:right="1440" w:bottom="1440" w:gutter="0" w:footer="0" w:header="0"/>
          <w:type w:val="continuous"/>
        </w:sectPr>
      </w:pPr>
    </w:p>
    <w:p>
      <w:pPr>
        <w:jc w:val="both"/>
        <w:ind w:left="160" w:right="59"/>
        <w:spacing w:after="0" w:line="239" w:lineRule="auto"/>
        <w:rPr>
          <w:sz w:val="20"/>
          <w:szCs w:val="20"/>
          <w:color w:val="auto"/>
        </w:rPr>
      </w:pPr>
      <w:r>
        <w:rPr>
          <w:rFonts w:ascii="Arial" w:cs="Arial" w:eastAsia="Arial" w:hAnsi="Arial"/>
          <w:sz w:val="17"/>
          <w:szCs w:val="17"/>
          <w:color w:val="auto"/>
        </w:rPr>
        <w:t>disclosure controls and procedures, a separate disclosure committee that, as part of its review of our quarterly and annual reports, helps facilitate understanding by the Audit Committee and our full board of directors of new or changing risks affecting us. Once a year, the full board receives a report from management on the Company’s readiness and capability to prevent, detect and respond to a cyber-attack.</w:t>
      </w:r>
    </w:p>
    <w:p>
      <w:pPr>
        <w:spacing w:after="0" w:line="132"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In addition, we have implemented our Risk Appetite Guidelines that describe certain categories of risk and qualitative and quantitative thresholds considered by the Company to be consistent with its strategic objectives. These guidelines are designed to serve as a reference in assessing and implementing strategy, and to be actionable by management such that they are meaningful from an operational perspective.</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Compensation Committee Interlocks and Insider Participation</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Ms. Kerr, Ms. Minto, Mr. Mittal, Mr. Ostler and Mr. Staglin are the members of our Compensation Committee.</w:t>
      </w:r>
    </w:p>
    <w:p>
      <w:pPr>
        <w:spacing w:after="0" w:line="138"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During 2017, none of our executive officers served as a member of the board of directors or compensation committee of any entity that has one or more executive officers who serve on our board of directors or Compensation Committee.</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Other Directorships</w:t>
      </w:r>
    </w:p>
    <w:p>
      <w:pPr>
        <w:spacing w:after="0" w:line="162" w:lineRule="exact"/>
        <w:rPr>
          <w:sz w:val="20"/>
          <w:szCs w:val="20"/>
          <w:color w:val="auto"/>
        </w:rPr>
      </w:pPr>
    </w:p>
    <w:p>
      <w:pPr>
        <w:jc w:val="both"/>
        <w:ind w:left="160" w:right="59"/>
        <w:spacing w:after="0" w:line="247" w:lineRule="auto"/>
        <w:rPr>
          <w:sz w:val="20"/>
          <w:szCs w:val="20"/>
          <w:color w:val="auto"/>
        </w:rPr>
      </w:pPr>
      <w:r>
        <w:rPr>
          <w:rFonts w:ascii="Arial" w:cs="Arial" w:eastAsia="Arial" w:hAnsi="Arial"/>
          <w:sz w:val="17"/>
          <w:szCs w:val="17"/>
          <w:color w:val="auto"/>
        </w:rPr>
        <w:t>The Board maintains a practice whereby our directors disclose to the Board any offers to be a director of any other organization, which is then evaluated by the Board for potential business and other conflicts.</w:t>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0" w:name="page31"/>
    <w:bookmarkEnd w:id="30"/>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Code of Conduct and Ethics; Corporate Governance Guidelines</w:t>
      </w:r>
    </w:p>
    <w:p>
      <w:pPr>
        <w:spacing w:after="0" w:line="136"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Our board of directors has adopted a Code of Conduct and Ethics that is applicable to our directors, officers and employees and which outlines the high ethical standards that we support and details how our directors, officers and employees should conduct themselves when dealing with fellow employees, clients, suppliers, competitors and the general public. Our Code of Conduct and Ethics is reviewed annually by the Audit Committee. A copy of our Code of Conduct and Ethics can be found on our website at www.exlservice.com.</w:t>
      </w:r>
    </w:p>
    <w:p>
      <w:pPr>
        <w:spacing w:after="0" w:line="104"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Our board of directors has also adopted a set of Corporate Governance Guidelines to assist our board of directors in the exercise of its responsibilities. The Corporate Governance Guidelines reflect the commitment of our board of directors to monitor the effectiveness of policy and decision -making, both at the board and senior management levels, and to enhance stockholder value over the long term. A copy of our Corporate Governance Guidelines can be found on our website at www.exlservice.com.</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Communications with the Board</w:t>
      </w:r>
    </w:p>
    <w:p>
      <w:pPr>
        <w:spacing w:after="0" w:line="136" w:lineRule="exact"/>
        <w:rPr>
          <w:sz w:val="20"/>
          <w:szCs w:val="20"/>
          <w:color w:val="auto"/>
        </w:rPr>
      </w:pPr>
    </w:p>
    <w:p>
      <w:pPr>
        <w:jc w:val="both"/>
        <w:ind w:left="160" w:right="59"/>
        <w:spacing w:after="0" w:line="247" w:lineRule="auto"/>
        <w:rPr>
          <w:sz w:val="20"/>
          <w:szCs w:val="20"/>
          <w:color w:val="auto"/>
        </w:rPr>
      </w:pPr>
      <w:r>
        <w:rPr>
          <w:rFonts w:ascii="Arial" w:cs="Arial" w:eastAsia="Arial" w:hAnsi="Arial"/>
          <w:sz w:val="17"/>
          <w:szCs w:val="17"/>
          <w:color w:val="auto"/>
        </w:rPr>
        <w:t>Stockholders interested in contacting our board of directors, our Chairman or any individual director are invited to do so by writing to:</w:t>
      </w:r>
    </w:p>
    <w:p>
      <w:pPr>
        <w:spacing w:after="0" w:line="9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Board of Directors of ExlService Holdings, Inc.</w:t>
      </w:r>
    </w:p>
    <w:p>
      <w:pPr>
        <w:ind w:left="840"/>
        <w:spacing w:after="0" w:line="236" w:lineRule="auto"/>
        <w:rPr>
          <w:sz w:val="20"/>
          <w:szCs w:val="20"/>
          <w:color w:val="auto"/>
        </w:rPr>
      </w:pPr>
      <w:r>
        <w:rPr>
          <w:rFonts w:ascii="Arial" w:cs="Arial" w:eastAsia="Arial" w:hAnsi="Arial"/>
          <w:sz w:val="17"/>
          <w:szCs w:val="17"/>
          <w:color w:val="auto"/>
        </w:rPr>
        <w:t>c/o Corporate Secretary</w:t>
      </w:r>
    </w:p>
    <w:p>
      <w:pPr>
        <w:ind w:left="840"/>
        <w:spacing w:after="0" w:line="227" w:lineRule="auto"/>
        <w:rPr>
          <w:sz w:val="20"/>
          <w:szCs w:val="20"/>
          <w:color w:val="auto"/>
        </w:rPr>
      </w:pPr>
      <w:r>
        <w:rPr>
          <w:rFonts w:ascii="Arial" w:cs="Arial" w:eastAsia="Arial" w:hAnsi="Arial"/>
          <w:sz w:val="17"/>
          <w:szCs w:val="17"/>
          <w:color w:val="auto"/>
        </w:rPr>
        <w:t>ExlService Holdings, Inc.</w:t>
      </w:r>
    </w:p>
    <w:p>
      <w:pPr>
        <w:ind w:left="840"/>
        <w:spacing w:after="0" w:line="181" w:lineRule="auto"/>
        <w:rPr>
          <w:sz w:val="20"/>
          <w:szCs w:val="20"/>
          <w:color w:val="auto"/>
        </w:rPr>
      </w:pPr>
      <w:r>
        <w:rPr>
          <w:rFonts w:ascii="Arial" w:cs="Arial" w:eastAsia="Arial" w:hAnsi="Arial"/>
          <w:sz w:val="15"/>
          <w:szCs w:val="15"/>
          <w:color w:val="auto"/>
        </w:rPr>
        <w:t>280 Park Avenue, 38</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Floor</w:t>
      </w:r>
    </w:p>
    <w:p>
      <w:pPr>
        <w:ind w:left="840"/>
        <w:spacing w:after="0"/>
        <w:rPr>
          <w:sz w:val="20"/>
          <w:szCs w:val="20"/>
          <w:color w:val="auto"/>
        </w:rPr>
      </w:pPr>
      <w:r>
        <w:rPr>
          <w:rFonts w:ascii="Arial" w:cs="Arial" w:eastAsia="Arial" w:hAnsi="Arial"/>
          <w:sz w:val="17"/>
          <w:szCs w:val="17"/>
          <w:color w:val="auto"/>
        </w:rPr>
        <w:t>New York, New York 10017</w:t>
      </w:r>
    </w:p>
    <w:p>
      <w:pPr>
        <w:spacing w:after="0" w:line="125"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All other stockholder communications addressed to our board of directors will be referred to our Chairman and tracked by our Corporate Secretary. Stockholder communications specifically addressed to a particular director will be referred to that director.</w:t>
      </w:r>
    </w:p>
    <w:p>
      <w:pPr>
        <w:spacing w:after="0" w:line="103"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10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Audit Committee of the Board of Directors</w:t>
      </w:r>
    </w:p>
    <w:p>
      <w:pPr>
        <w:ind w:left="840"/>
        <w:spacing w:after="0" w:line="226" w:lineRule="auto"/>
        <w:rPr>
          <w:sz w:val="20"/>
          <w:szCs w:val="20"/>
          <w:color w:val="auto"/>
        </w:rPr>
      </w:pPr>
      <w:r>
        <w:rPr>
          <w:rFonts w:ascii="Arial" w:cs="Arial" w:eastAsia="Arial" w:hAnsi="Arial"/>
          <w:sz w:val="17"/>
          <w:szCs w:val="17"/>
          <w:color w:val="auto"/>
        </w:rPr>
        <w:t>ExlService Holdings, Inc.</w:t>
      </w:r>
    </w:p>
    <w:p>
      <w:pPr>
        <w:ind w:left="840"/>
        <w:spacing w:after="0" w:line="181" w:lineRule="auto"/>
        <w:rPr>
          <w:sz w:val="20"/>
          <w:szCs w:val="20"/>
          <w:color w:val="auto"/>
        </w:rPr>
      </w:pPr>
      <w:r>
        <w:rPr>
          <w:rFonts w:ascii="Arial" w:cs="Arial" w:eastAsia="Arial" w:hAnsi="Arial"/>
          <w:sz w:val="15"/>
          <w:szCs w:val="15"/>
          <w:color w:val="auto"/>
        </w:rPr>
        <w:t>280 Park Avenue, 38</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Floor</w:t>
      </w:r>
    </w:p>
    <w:p>
      <w:pPr>
        <w:ind w:left="840"/>
        <w:spacing w:after="0" w:line="237" w:lineRule="auto"/>
        <w:rPr>
          <w:sz w:val="20"/>
          <w:szCs w:val="20"/>
          <w:color w:val="auto"/>
        </w:rPr>
      </w:pPr>
      <w:r>
        <w:rPr>
          <w:rFonts w:ascii="Arial" w:cs="Arial" w:eastAsia="Arial" w:hAnsi="Arial"/>
          <w:sz w:val="17"/>
          <w:szCs w:val="17"/>
          <w:color w:val="auto"/>
        </w:rPr>
        <w:t>New York, New York 10017</w:t>
      </w:r>
    </w:p>
    <w:p>
      <w:pPr>
        <w:ind w:left="840"/>
        <w:spacing w:after="0"/>
        <w:rPr>
          <w:sz w:val="20"/>
          <w:szCs w:val="20"/>
          <w:color w:val="auto"/>
        </w:rPr>
      </w:pPr>
      <w:r>
        <w:rPr>
          <w:rFonts w:ascii="Arial" w:cs="Arial" w:eastAsia="Arial" w:hAnsi="Arial"/>
          <w:sz w:val="17"/>
          <w:szCs w:val="17"/>
          <w:color w:val="auto"/>
        </w:rPr>
        <w:t>Attn: General Counsel</w:t>
      </w:r>
    </w:p>
    <w:p>
      <w:pPr>
        <w:spacing w:after="0" w:line="125"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periodic summary reports of all such communications for our Audit Committee.</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Section 16(a) Beneficial Ownership Reporting Compliance</w:t>
      </w:r>
    </w:p>
    <w:p>
      <w:pPr>
        <w:spacing w:after="0" w:line="136" w:lineRule="exact"/>
        <w:rPr>
          <w:sz w:val="20"/>
          <w:szCs w:val="20"/>
          <w:color w:val="auto"/>
        </w:rPr>
      </w:pPr>
    </w:p>
    <w:p>
      <w:pPr>
        <w:jc w:val="both"/>
        <w:ind w:left="160" w:right="59"/>
        <w:spacing w:after="0" w:line="238" w:lineRule="auto"/>
        <w:rPr>
          <w:sz w:val="20"/>
          <w:szCs w:val="20"/>
          <w:color w:val="auto"/>
        </w:rPr>
      </w:pPr>
      <w:r>
        <w:rPr>
          <w:rFonts w:ascii="Arial" w:cs="Arial" w:eastAsia="Arial" w:hAnsi="Arial"/>
          <w:sz w:val="17"/>
          <w:szCs w:val="17"/>
          <w:color w:val="auto"/>
        </w:rPr>
        <w:t>Section 16(a) of the Exchange Act requires our executive officers and directors, and persons who own more than 10% of a registered class of our equity securities, to file reports of ownership on Forms 3, 4 and 5 with the SEC. Officers and directors are required to furnish us with copies of all Forms 3, 4 and 5 they file. Based solely on a review of the reports furnished to us, or written representations from reporting persons that all reportable transaction were reported, the Company’s officers, directors and greater than ten percent owners timely filed all reports they were required to file under Section 16(a) with respect to transactions during fiscal year 2017.</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1" w:name="page32"/>
    <w:bookmarkEnd w:id="31"/>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23"/>
          <w:szCs w:val="23"/>
          <w:b w:val="1"/>
          <w:bCs w:val="1"/>
          <w:color w:val="DD924E"/>
        </w:rPr>
        <w:t>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110490</wp:posOffset>
            </wp:positionV>
            <wp:extent cx="5593080" cy="58286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93080" cy="582866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192"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1380" w:type="dxa"/>
            <w:vAlign w:val="bottom"/>
            <w:tcBorders>
              <w:bottom w:val="single" w:sz="8" w:color="auto"/>
            </w:tcBorders>
          </w:tcPr>
          <w:p>
            <w:pPr>
              <w:ind w:left="460"/>
              <w:spacing w:after="0"/>
              <w:rPr>
                <w:sz w:val="20"/>
                <w:szCs w:val="20"/>
                <w:color w:val="auto"/>
              </w:rPr>
            </w:pPr>
            <w:r>
              <w:rPr>
                <w:rFonts w:ascii="Arial" w:cs="Arial" w:eastAsia="Arial" w:hAnsi="Arial"/>
                <w:sz w:val="17"/>
                <w:szCs w:val="17"/>
                <w:b w:val="1"/>
                <w:bCs w:val="1"/>
                <w:color w:val="FFFFFF"/>
              </w:rPr>
              <w:t>Name</w:t>
            </w:r>
          </w:p>
        </w:tc>
        <w:tc>
          <w:tcPr>
            <w:tcW w:w="180" w:type="dxa"/>
            <w:vAlign w:val="bottom"/>
          </w:tcPr>
          <w:p>
            <w:pPr>
              <w:spacing w:after="0"/>
              <w:rPr>
                <w:sz w:val="19"/>
                <w:szCs w:val="19"/>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FFFFFF"/>
              </w:rPr>
              <w:t>Position</w:t>
            </w:r>
          </w:p>
        </w:tc>
      </w:tr>
      <w:tr>
        <w:trPr>
          <w:trHeight w:val="221"/>
        </w:trPr>
        <w:tc>
          <w:tcPr>
            <w:tcW w:w="1380" w:type="dxa"/>
            <w:vAlign w:val="bottom"/>
          </w:tcPr>
          <w:p>
            <w:pPr>
              <w:spacing w:after="0"/>
              <w:rPr>
                <w:sz w:val="20"/>
                <w:szCs w:val="20"/>
                <w:color w:val="auto"/>
              </w:rPr>
            </w:pPr>
            <w:r>
              <w:rPr>
                <w:rFonts w:ascii="Arial" w:cs="Arial" w:eastAsia="Arial" w:hAnsi="Arial"/>
                <w:sz w:val="15"/>
                <w:szCs w:val="15"/>
                <w:b w:val="1"/>
                <w:bCs w:val="1"/>
                <w:color w:val="auto"/>
              </w:rPr>
              <w:t>Rohit Kapoor</w:t>
            </w:r>
          </w:p>
        </w:tc>
        <w:tc>
          <w:tcPr>
            <w:tcW w:w="1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Vice Chairman and</w:t>
            </w:r>
          </w:p>
        </w:tc>
      </w:tr>
      <w:tr>
        <w:trPr>
          <w:trHeight w:val="203"/>
        </w:trPr>
        <w:tc>
          <w:tcPr>
            <w:tcW w:w="1380" w:type="dxa"/>
            <w:vAlign w:val="bottom"/>
          </w:tcPr>
          <w:p>
            <w:pPr>
              <w:spacing w:after="0"/>
              <w:rPr>
                <w:sz w:val="20"/>
                <w:szCs w:val="20"/>
                <w:color w:val="auto"/>
              </w:rPr>
            </w:pPr>
            <w:r>
              <w:rPr>
                <w:rFonts w:ascii="Arial" w:cs="Arial" w:eastAsia="Arial" w:hAnsi="Arial"/>
                <w:sz w:val="15"/>
                <w:szCs w:val="15"/>
                <w:b w:val="1"/>
                <w:bCs w:val="1"/>
                <w:color w:val="auto"/>
              </w:rPr>
              <w:t>(age 53)</w:t>
            </w:r>
          </w:p>
        </w:tc>
        <w:tc>
          <w:tcPr>
            <w:tcW w:w="18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CEO</w:t>
            </w:r>
          </w:p>
        </w:tc>
      </w:tr>
      <w:tr>
        <w:trPr>
          <w:trHeight w:val="233"/>
        </w:trPr>
        <w:tc>
          <w:tcPr>
            <w:tcW w:w="1380" w:type="dxa"/>
            <w:vAlign w:val="bottom"/>
          </w:tcPr>
          <w:p>
            <w:pPr>
              <w:spacing w:after="0"/>
              <w:rPr>
                <w:sz w:val="20"/>
                <w:szCs w:val="20"/>
                <w:color w:val="auto"/>
              </w:rPr>
            </w:pPr>
            <w:r>
              <w:rPr>
                <w:rFonts w:ascii="Arial" w:cs="Arial" w:eastAsia="Arial" w:hAnsi="Arial"/>
                <w:sz w:val="15"/>
                <w:szCs w:val="15"/>
                <w:b w:val="1"/>
                <w:bCs w:val="1"/>
                <w:color w:val="auto"/>
              </w:rPr>
              <w:t>Pavan Bagai</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President and Chief</w:t>
            </w:r>
          </w:p>
        </w:tc>
      </w:tr>
      <w:tr>
        <w:trPr>
          <w:trHeight w:val="203"/>
        </w:trPr>
        <w:tc>
          <w:tcPr>
            <w:tcW w:w="1380" w:type="dxa"/>
            <w:vAlign w:val="bottom"/>
          </w:tcPr>
          <w:p>
            <w:pPr>
              <w:spacing w:after="0"/>
              <w:rPr>
                <w:sz w:val="20"/>
                <w:szCs w:val="20"/>
                <w:color w:val="auto"/>
              </w:rPr>
            </w:pPr>
            <w:r>
              <w:rPr>
                <w:rFonts w:ascii="Arial" w:cs="Arial" w:eastAsia="Arial" w:hAnsi="Arial"/>
                <w:sz w:val="15"/>
                <w:szCs w:val="15"/>
                <w:b w:val="1"/>
                <w:bCs w:val="1"/>
                <w:color w:val="auto"/>
              </w:rPr>
              <w:t>(age 56)</w:t>
            </w:r>
          </w:p>
        </w:tc>
        <w:tc>
          <w:tcPr>
            <w:tcW w:w="18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
        <w:spacing w:after="0"/>
        <w:tabs>
          <w:tab w:leader="none" w:pos="1800" w:val="left"/>
        </w:tabs>
        <w:rPr>
          <w:sz w:val="20"/>
          <w:szCs w:val="20"/>
          <w:color w:val="auto"/>
        </w:rPr>
      </w:pPr>
      <w:r>
        <w:rPr>
          <w:rFonts w:ascii="Arial" w:cs="Arial" w:eastAsia="Arial" w:hAnsi="Arial"/>
          <w:sz w:val="15"/>
          <w:szCs w:val="15"/>
          <w:b w:val="1"/>
          <w:bCs w:val="1"/>
          <w:color w:val="auto"/>
        </w:rPr>
        <w:t>Vikas Bhalla</w:t>
      </w:r>
      <w:r>
        <w:rPr>
          <w:sz w:val="20"/>
          <w:szCs w:val="20"/>
          <w:color w:val="auto"/>
        </w:rPr>
        <w:tab/>
      </w:r>
      <w:r>
        <w:rPr>
          <w:rFonts w:ascii="Arial" w:cs="Arial" w:eastAsia="Arial" w:hAnsi="Arial"/>
          <w:sz w:val="15"/>
          <w:szCs w:val="15"/>
          <w:color w:val="auto"/>
        </w:rPr>
        <w:t>Executive Vice</w:t>
      </w:r>
    </w:p>
    <w:p>
      <w:pPr>
        <w:spacing w:after="0" w:line="25" w:lineRule="exact"/>
        <w:rPr>
          <w:sz w:val="20"/>
          <w:szCs w:val="20"/>
          <w:color w:val="auto"/>
        </w:rPr>
      </w:pPr>
    </w:p>
    <w:p>
      <w:pPr>
        <w:ind w:left="260"/>
        <w:spacing w:after="0"/>
        <w:tabs>
          <w:tab w:leader="none" w:pos="1800" w:val="left"/>
        </w:tabs>
        <w:rPr>
          <w:sz w:val="20"/>
          <w:szCs w:val="20"/>
          <w:color w:val="auto"/>
        </w:rPr>
      </w:pPr>
      <w:r>
        <w:rPr>
          <w:rFonts w:ascii="Arial" w:cs="Arial" w:eastAsia="Arial" w:hAnsi="Arial"/>
          <w:sz w:val="15"/>
          <w:szCs w:val="15"/>
          <w:b w:val="1"/>
          <w:bCs w:val="1"/>
          <w:color w:val="auto"/>
        </w:rPr>
        <w:t>(age 46)</w:t>
      </w:r>
      <w:r>
        <w:rPr>
          <w:sz w:val="20"/>
          <w:szCs w:val="20"/>
          <w:color w:val="auto"/>
        </w:rPr>
        <w:tab/>
      </w:r>
      <w:r>
        <w:rPr>
          <w:rFonts w:ascii="Arial" w:cs="Arial" w:eastAsia="Arial" w:hAnsi="Arial"/>
          <w:sz w:val="15"/>
          <w:szCs w:val="15"/>
          <w:color w:val="auto"/>
        </w:rPr>
        <w:t>President and Head</w:t>
      </w:r>
    </w:p>
    <w:p>
      <w:pPr>
        <w:spacing w:after="0" w:line="7"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of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0"/>
        <w:spacing w:after="0"/>
        <w:tabs>
          <w:tab w:leader="none" w:pos="1800" w:val="left"/>
        </w:tabs>
        <w:rPr>
          <w:sz w:val="20"/>
          <w:szCs w:val="20"/>
          <w:color w:val="auto"/>
        </w:rPr>
      </w:pPr>
      <w:r>
        <w:rPr>
          <w:rFonts w:ascii="Arial" w:cs="Arial" w:eastAsia="Arial" w:hAnsi="Arial"/>
          <w:sz w:val="15"/>
          <w:szCs w:val="15"/>
          <w:b w:val="1"/>
          <w:bCs w:val="1"/>
          <w:color w:val="auto"/>
        </w:rPr>
        <w:t>Vishal Chhibbar</w:t>
      </w:r>
      <w:r>
        <w:rPr>
          <w:sz w:val="20"/>
          <w:szCs w:val="20"/>
          <w:color w:val="auto"/>
        </w:rPr>
        <w:tab/>
      </w:r>
      <w:r>
        <w:rPr>
          <w:rFonts w:ascii="Arial" w:cs="Arial" w:eastAsia="Arial" w:hAnsi="Arial"/>
          <w:sz w:val="15"/>
          <w:szCs w:val="15"/>
          <w:color w:val="auto"/>
        </w:rPr>
        <w:t>Executive Vice</w:t>
      </w:r>
    </w:p>
    <w:p>
      <w:pPr>
        <w:spacing w:after="0" w:line="25" w:lineRule="exact"/>
        <w:rPr>
          <w:sz w:val="20"/>
          <w:szCs w:val="20"/>
          <w:color w:val="auto"/>
        </w:rPr>
      </w:pPr>
    </w:p>
    <w:p>
      <w:pPr>
        <w:ind w:left="260"/>
        <w:spacing w:after="0"/>
        <w:tabs>
          <w:tab w:leader="none" w:pos="1800" w:val="left"/>
        </w:tabs>
        <w:rPr>
          <w:sz w:val="20"/>
          <w:szCs w:val="20"/>
          <w:color w:val="auto"/>
        </w:rPr>
      </w:pPr>
      <w:r>
        <w:rPr>
          <w:rFonts w:ascii="Arial" w:cs="Arial" w:eastAsia="Arial" w:hAnsi="Arial"/>
          <w:sz w:val="15"/>
          <w:szCs w:val="15"/>
          <w:b w:val="1"/>
          <w:bCs w:val="1"/>
          <w:color w:val="auto"/>
        </w:rPr>
        <w:t>(age 50)</w:t>
      </w:r>
      <w:r>
        <w:rPr>
          <w:sz w:val="20"/>
          <w:szCs w:val="20"/>
          <w:color w:val="auto"/>
        </w:rPr>
        <w:tab/>
      </w:r>
      <w:r>
        <w:rPr>
          <w:rFonts w:ascii="Arial" w:cs="Arial" w:eastAsia="Arial" w:hAnsi="Arial"/>
          <w:sz w:val="15"/>
          <w:szCs w:val="15"/>
          <w:color w:val="auto"/>
        </w:rPr>
        <w:t>President and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spacing w:after="0"/>
        <w:tabs>
          <w:tab w:leader="none" w:pos="1800" w:val="left"/>
        </w:tabs>
        <w:rPr>
          <w:sz w:val="20"/>
          <w:szCs w:val="20"/>
          <w:color w:val="auto"/>
        </w:rPr>
      </w:pPr>
      <w:r>
        <w:rPr>
          <w:rFonts w:ascii="Arial" w:cs="Arial" w:eastAsia="Arial" w:hAnsi="Arial"/>
          <w:sz w:val="15"/>
          <w:szCs w:val="15"/>
          <w:b w:val="1"/>
          <w:bCs w:val="1"/>
          <w:color w:val="auto"/>
        </w:rPr>
        <w:t>Rembert de Villa</w:t>
      </w:r>
      <w:r>
        <w:rPr>
          <w:sz w:val="20"/>
          <w:szCs w:val="20"/>
          <w:color w:val="auto"/>
        </w:rPr>
        <w:tab/>
      </w:r>
      <w:r>
        <w:rPr>
          <w:rFonts w:ascii="Arial" w:cs="Arial" w:eastAsia="Arial" w:hAnsi="Arial"/>
          <w:sz w:val="15"/>
          <w:szCs w:val="15"/>
          <w:color w:val="auto"/>
        </w:rPr>
        <w:t>Executive Vice</w:t>
      </w:r>
    </w:p>
    <w:p>
      <w:pPr>
        <w:spacing w:after="0" w:line="25" w:lineRule="exact"/>
        <w:rPr>
          <w:sz w:val="20"/>
          <w:szCs w:val="20"/>
          <w:color w:val="auto"/>
        </w:rPr>
      </w:pPr>
    </w:p>
    <w:p>
      <w:pPr>
        <w:ind w:left="260"/>
        <w:spacing w:after="0"/>
        <w:tabs>
          <w:tab w:leader="none" w:pos="1800" w:val="left"/>
        </w:tabs>
        <w:rPr>
          <w:sz w:val="20"/>
          <w:szCs w:val="20"/>
          <w:color w:val="auto"/>
        </w:rPr>
      </w:pPr>
      <w:r>
        <w:rPr>
          <w:rFonts w:ascii="Arial" w:cs="Arial" w:eastAsia="Arial" w:hAnsi="Arial"/>
          <w:sz w:val="15"/>
          <w:szCs w:val="15"/>
          <w:b w:val="1"/>
          <w:bCs w:val="1"/>
          <w:color w:val="auto"/>
        </w:rPr>
        <w:t>(age 61)</w:t>
      </w:r>
      <w:r>
        <w:rPr>
          <w:sz w:val="20"/>
          <w:szCs w:val="20"/>
          <w:color w:val="auto"/>
        </w:rPr>
        <w:tab/>
      </w:r>
      <w:r>
        <w:rPr>
          <w:rFonts w:ascii="Arial" w:cs="Arial" w:eastAsia="Arial" w:hAnsi="Arial"/>
          <w:sz w:val="15"/>
          <w:szCs w:val="15"/>
          <w:color w:val="auto"/>
        </w:rPr>
        <w:t>President, Head of</w:t>
      </w:r>
    </w:p>
    <w:p>
      <w:pPr>
        <w:spacing w:after="0" w:line="7"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Healthcare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FFFFFF"/>
        </w:rPr>
        <w:t>Biographical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See section entitled “Our Board of Directors” above.</w:t>
      </w:r>
    </w:p>
    <w:p>
      <w:pPr>
        <w:spacing w:after="0" w:line="240" w:lineRule="exact"/>
        <w:rPr>
          <w:sz w:val="20"/>
          <w:szCs w:val="20"/>
          <w:color w:val="auto"/>
        </w:rPr>
      </w:pPr>
    </w:p>
    <w:p>
      <w:pPr>
        <w:jc w:val="both"/>
        <w:ind w:right="159"/>
        <w:spacing w:after="0" w:line="237" w:lineRule="auto"/>
        <w:rPr>
          <w:sz w:val="20"/>
          <w:szCs w:val="20"/>
          <w:color w:val="auto"/>
        </w:rPr>
      </w:pPr>
      <w:r>
        <w:rPr>
          <w:rFonts w:ascii="Arial" w:cs="Arial" w:eastAsia="Arial" w:hAnsi="Arial"/>
          <w:sz w:val="17"/>
          <w:szCs w:val="17"/>
          <w:color w:val="auto"/>
        </w:rPr>
        <w:t>Mr. Bagai has served as our President and Chief Operating Officer since April 2012, as our Chief Operating Officer from May 2008 to March 2012 and as Vice President, Head of Outsourcing Services of EXL India from June 2006 until April 2008. He previously served as Vice President, Research and Analytics of EXL India from December 2004 to May 2006, as Vice President, Operations of EXL India from November 2003 to November 2004 and as Vice President, Strategic Businesses of EXL India from July 2002 to November 2003. Prior to joining us, Mr. Bagai served in various capacities in several business areas across markets in Europe and Asia, including India, at Bank of America beginning in 1985.</w:t>
      </w:r>
    </w:p>
    <w:p>
      <w:pPr>
        <w:spacing w:after="0" w:line="70" w:lineRule="exact"/>
        <w:rPr>
          <w:sz w:val="20"/>
          <w:szCs w:val="20"/>
          <w:color w:val="auto"/>
        </w:rPr>
      </w:pPr>
    </w:p>
    <w:p>
      <w:pPr>
        <w:jc w:val="both"/>
        <w:ind w:right="159"/>
        <w:spacing w:after="0" w:line="237" w:lineRule="auto"/>
        <w:rPr>
          <w:sz w:val="20"/>
          <w:szCs w:val="20"/>
          <w:color w:val="auto"/>
        </w:rPr>
      </w:pPr>
      <w:r>
        <w:rPr>
          <w:rFonts w:ascii="Arial" w:cs="Arial" w:eastAsia="Arial" w:hAnsi="Arial"/>
          <w:sz w:val="17"/>
          <w:szCs w:val="17"/>
          <w:color w:val="auto"/>
        </w:rPr>
        <w:t>Mr. Bhalla has served as our Executive Vice President and Head of Insurance since January 2014, and as our Head of Outsourcing since November 2009. He previously served as Vice President, Operations of EXL India from June 2006 to October 2009 and as Vice President, Migrations, Quality and Process Excellence of EXL India from April 2002 to June 2006 and as Director, Quality Initiatives of EXL India from May 2001 to March 2002. From May 1998 to May 2001, Mr. Bhalla served in various capacities at General Electric, including as the Quality Leader and E-Business Leader for GE Plastics India.</w:t>
      </w:r>
    </w:p>
    <w:p>
      <w:pPr>
        <w:spacing w:after="0" w:line="70" w:lineRule="exact"/>
        <w:rPr>
          <w:sz w:val="20"/>
          <w:szCs w:val="20"/>
          <w:color w:val="auto"/>
        </w:rPr>
      </w:pPr>
    </w:p>
    <w:p>
      <w:pPr>
        <w:jc w:val="both"/>
        <w:ind w:right="159"/>
        <w:spacing w:after="0" w:line="237" w:lineRule="auto"/>
        <w:rPr>
          <w:sz w:val="20"/>
          <w:szCs w:val="20"/>
          <w:color w:val="auto"/>
        </w:rPr>
      </w:pPr>
      <w:r>
        <w:rPr>
          <w:rFonts w:ascii="Arial" w:cs="Arial" w:eastAsia="Arial" w:hAnsi="Arial"/>
          <w:sz w:val="17"/>
          <w:szCs w:val="17"/>
          <w:color w:val="auto"/>
        </w:rPr>
        <w:t>Mr. Chhibbar has served as our Executive Vice President and CFO since April 2012 and as our CFO since June 2009. He has over 25 years of professional experience in finance. Prior to joining us, Mr. Chhibbar was with GE Capital in various leadership roles. Since 2005, Mr. Chhibbar has served as the Regional Head, Group Financial Planning for Strategy and Treasury for GE Capital, Australia and New Zealand. In 2004 and 2005, Mr. Chhibbar was Chief Financial Officer for GE Capital, South Korea. From 1998 to 2004, Mr. Chhibbar was the Chief Financial Officer for GE Capital, Indonesia and Malaysia. Mr. Chhibbar is a Chartered Accountant and an Associate Member of CPA, Australia.</w:t>
      </w:r>
    </w:p>
    <w:p>
      <w:pPr>
        <w:spacing w:after="0" w:line="69" w:lineRule="exact"/>
        <w:rPr>
          <w:sz w:val="20"/>
          <w:szCs w:val="20"/>
          <w:color w:val="auto"/>
        </w:rPr>
      </w:pPr>
    </w:p>
    <w:p>
      <w:pPr>
        <w:jc w:val="both"/>
        <w:ind w:right="159"/>
        <w:spacing w:after="0" w:line="237" w:lineRule="auto"/>
        <w:rPr>
          <w:sz w:val="20"/>
          <w:szCs w:val="20"/>
          <w:color w:val="auto"/>
        </w:rPr>
      </w:pPr>
      <w:r>
        <w:rPr>
          <w:rFonts w:ascii="Arial" w:cs="Arial" w:eastAsia="Arial" w:hAnsi="Arial"/>
          <w:sz w:val="17"/>
          <w:szCs w:val="17"/>
          <w:color w:val="auto"/>
        </w:rPr>
        <w:t>Mr. de Villa has served as our Executive Vice President, Head of Healthcare since January 2014 and also as our Chief Strategy Officer from April 2012 to January 2014. He previously served as our Global Head of Client Management and Chief Strategy Officer from September 2010 to April 2012 and as our Managing Principal and Head of Transformation Services from April 2008 to August 2010. Prior to joining us, Mr. de Villa served as Global Practice Leader, Strategic Services at MasterCard Advisors from December 2005 through April 2008 and as Vice President and Financial Services Practice Leader for North America at Capgemini Ernst &amp; Young from March 2003 to December 2005. Prior to his time at Capgemini Ernst &amp; Young, Mr. de Villa was a Partner at A.T. Kearney’s Global Financial Institutions Group.</w:t>
      </w:r>
    </w:p>
    <w:p>
      <w:pPr>
        <w:spacing w:after="0" w:line="200" w:lineRule="exact"/>
        <w:rPr>
          <w:sz w:val="20"/>
          <w:szCs w:val="20"/>
          <w:color w:val="auto"/>
        </w:rPr>
      </w:pPr>
    </w:p>
    <w:p>
      <w:pPr>
        <w:sectPr>
          <w:pgSz w:w="11900" w:h="16838" w:orient="portrait"/>
          <w:cols w:equalWidth="0" w:num="2">
            <w:col w:w="3220" w:space="180"/>
            <w:col w:w="56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2" w:name="page33"/>
    <w:bookmarkEnd w:id="32"/>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1017270</wp:posOffset>
            </wp:positionH>
            <wp:positionV relativeFrom="page">
              <wp:posOffset>951865</wp:posOffset>
            </wp:positionV>
            <wp:extent cx="5593080" cy="4379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93080" cy="4379595"/>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231"/>
        </w:trPr>
        <w:tc>
          <w:tcPr>
            <w:tcW w:w="100" w:type="dxa"/>
            <w:vAlign w:val="bottom"/>
            <w:shd w:val="clear" w:color="auto" w:fill="DD924E"/>
          </w:tcPr>
          <w:p>
            <w:pPr>
              <w:spacing w:after="0"/>
              <w:rPr>
                <w:sz w:val="20"/>
                <w:szCs w:val="20"/>
                <w:color w:val="auto"/>
              </w:rPr>
            </w:pPr>
          </w:p>
        </w:tc>
        <w:tc>
          <w:tcPr>
            <w:tcW w:w="1380" w:type="dxa"/>
            <w:vAlign w:val="bottom"/>
            <w:shd w:val="clear" w:color="auto" w:fill="DD924E"/>
          </w:tcPr>
          <w:p>
            <w:pPr>
              <w:ind w:left="460"/>
              <w:spacing w:after="0"/>
              <w:rPr>
                <w:sz w:val="20"/>
                <w:szCs w:val="20"/>
                <w:color w:val="auto"/>
              </w:rPr>
            </w:pPr>
            <w:r>
              <w:rPr>
                <w:rFonts w:ascii="Arial" w:cs="Arial" w:eastAsia="Arial" w:hAnsi="Arial"/>
                <w:sz w:val="17"/>
                <w:szCs w:val="17"/>
                <w:b w:val="1"/>
                <w:bCs w:val="1"/>
                <w:color w:val="FFFFFF"/>
              </w:rPr>
              <w:t>Name</w:t>
            </w:r>
          </w:p>
        </w:tc>
        <w:tc>
          <w:tcPr>
            <w:tcW w:w="180" w:type="dxa"/>
            <w:vAlign w:val="bottom"/>
            <w:shd w:val="clear" w:color="auto" w:fill="DD924E"/>
          </w:tcPr>
          <w:p>
            <w:pPr>
              <w:spacing w:after="0"/>
              <w:rPr>
                <w:sz w:val="20"/>
                <w:szCs w:val="20"/>
                <w:color w:val="auto"/>
              </w:rPr>
            </w:pPr>
          </w:p>
        </w:tc>
        <w:tc>
          <w:tcPr>
            <w:tcW w:w="1400" w:type="dxa"/>
            <w:vAlign w:val="bottom"/>
            <w:shd w:val="clear" w:color="auto" w:fill="DD924E"/>
          </w:tcPr>
          <w:p>
            <w:pPr>
              <w:ind w:left="360"/>
              <w:spacing w:after="0"/>
              <w:rPr>
                <w:sz w:val="20"/>
                <w:szCs w:val="20"/>
                <w:color w:val="auto"/>
              </w:rPr>
            </w:pPr>
            <w:r>
              <w:rPr>
                <w:rFonts w:ascii="Arial" w:cs="Arial" w:eastAsia="Arial" w:hAnsi="Arial"/>
                <w:sz w:val="17"/>
                <w:szCs w:val="17"/>
                <w:b w:val="1"/>
                <w:bCs w:val="1"/>
                <w:color w:val="FFFFFF"/>
              </w:rPr>
              <w:t>Position</w:t>
            </w:r>
          </w:p>
        </w:tc>
        <w:tc>
          <w:tcPr>
            <w:tcW w:w="180" w:type="dxa"/>
            <w:vAlign w:val="bottom"/>
            <w:shd w:val="clear" w:color="auto" w:fill="DD924E"/>
          </w:tcPr>
          <w:p>
            <w:pPr>
              <w:spacing w:after="0"/>
              <w:rPr>
                <w:sz w:val="20"/>
                <w:szCs w:val="20"/>
                <w:color w:val="auto"/>
              </w:rPr>
            </w:pPr>
          </w:p>
        </w:tc>
        <w:tc>
          <w:tcPr>
            <w:tcW w:w="5560" w:type="dxa"/>
            <w:vAlign w:val="bottom"/>
            <w:gridSpan w:val="2"/>
            <w:shd w:val="clear" w:color="auto" w:fill="DD924E"/>
          </w:tcPr>
          <w:p>
            <w:pPr>
              <w:ind w:left="1720"/>
              <w:spacing w:after="0"/>
              <w:rPr>
                <w:sz w:val="20"/>
                <w:szCs w:val="20"/>
                <w:color w:val="auto"/>
              </w:rPr>
            </w:pPr>
            <w:r>
              <w:rPr>
                <w:rFonts w:ascii="Arial" w:cs="Arial" w:eastAsia="Arial" w:hAnsi="Arial"/>
                <w:sz w:val="17"/>
                <w:szCs w:val="17"/>
                <w:b w:val="1"/>
                <w:bCs w:val="1"/>
                <w:color w:val="FFFFFF"/>
              </w:rPr>
              <w:t>Biographical Information</w:t>
            </w:r>
          </w:p>
        </w:tc>
        <w:tc>
          <w:tcPr>
            <w:tcW w:w="0" w:type="dxa"/>
            <w:vAlign w:val="bottom"/>
          </w:tcPr>
          <w:p>
            <w:pPr>
              <w:spacing w:after="0"/>
              <w:rPr>
                <w:sz w:val="1"/>
                <w:szCs w:val="1"/>
                <w:color w:val="auto"/>
              </w:rPr>
            </w:pPr>
          </w:p>
        </w:tc>
      </w:tr>
      <w:tr>
        <w:trPr>
          <w:trHeight w:val="44"/>
        </w:trPr>
        <w:tc>
          <w:tcPr>
            <w:tcW w:w="100" w:type="dxa"/>
            <w:vAlign w:val="bottom"/>
            <w:tcBorders>
              <w:top w:val="single" w:sz="8" w:color="DD924E"/>
              <w:bottom w:val="single" w:sz="8" w:color="DD924E"/>
            </w:tcBorders>
            <w:shd w:val="clear" w:color="auto" w:fill="DD924E"/>
          </w:tcPr>
          <w:p>
            <w:pPr>
              <w:spacing w:after="0"/>
              <w:rPr>
                <w:sz w:val="3"/>
                <w:szCs w:val="3"/>
                <w:color w:val="auto"/>
              </w:rPr>
            </w:pPr>
          </w:p>
        </w:tc>
        <w:tc>
          <w:tcPr>
            <w:tcW w:w="1380" w:type="dxa"/>
            <w:vAlign w:val="bottom"/>
            <w:tcBorders>
              <w:top w:val="single" w:sz="8" w:color="auto"/>
              <w:bottom w:val="single" w:sz="8" w:color="DD924E"/>
            </w:tcBorders>
            <w:shd w:val="clear" w:color="auto" w:fill="DD924E"/>
          </w:tcPr>
          <w:p>
            <w:pPr>
              <w:spacing w:after="0"/>
              <w:rPr>
                <w:sz w:val="3"/>
                <w:szCs w:val="3"/>
                <w:color w:val="auto"/>
              </w:rPr>
            </w:pPr>
          </w:p>
        </w:tc>
        <w:tc>
          <w:tcPr>
            <w:tcW w:w="180" w:type="dxa"/>
            <w:vAlign w:val="bottom"/>
            <w:tcBorders>
              <w:top w:val="single" w:sz="8" w:color="DD924E"/>
              <w:bottom w:val="single" w:sz="8" w:color="DD924E"/>
            </w:tcBorders>
            <w:shd w:val="clear" w:color="auto" w:fill="DD924E"/>
          </w:tcPr>
          <w:p>
            <w:pPr>
              <w:spacing w:after="0"/>
              <w:rPr>
                <w:sz w:val="3"/>
                <w:szCs w:val="3"/>
                <w:color w:val="auto"/>
              </w:rPr>
            </w:pPr>
          </w:p>
        </w:tc>
        <w:tc>
          <w:tcPr>
            <w:tcW w:w="1400" w:type="dxa"/>
            <w:vAlign w:val="bottom"/>
            <w:tcBorders>
              <w:top w:val="single" w:sz="8" w:color="auto"/>
              <w:bottom w:val="single" w:sz="8" w:color="DD924E"/>
            </w:tcBorders>
            <w:shd w:val="clear" w:color="auto" w:fill="DD924E"/>
          </w:tcPr>
          <w:p>
            <w:pPr>
              <w:spacing w:after="0"/>
              <w:rPr>
                <w:sz w:val="3"/>
                <w:szCs w:val="3"/>
                <w:color w:val="auto"/>
              </w:rPr>
            </w:pPr>
          </w:p>
        </w:tc>
        <w:tc>
          <w:tcPr>
            <w:tcW w:w="180" w:type="dxa"/>
            <w:vAlign w:val="bottom"/>
            <w:tcBorders>
              <w:top w:val="single" w:sz="8" w:color="DD924E"/>
              <w:bottom w:val="single" w:sz="8" w:color="DD924E"/>
            </w:tcBorders>
            <w:shd w:val="clear" w:color="auto" w:fill="DD924E"/>
          </w:tcPr>
          <w:p>
            <w:pPr>
              <w:spacing w:after="0"/>
              <w:rPr>
                <w:sz w:val="3"/>
                <w:szCs w:val="3"/>
                <w:color w:val="auto"/>
              </w:rPr>
            </w:pPr>
          </w:p>
        </w:tc>
        <w:tc>
          <w:tcPr>
            <w:tcW w:w="5460" w:type="dxa"/>
            <w:vAlign w:val="bottom"/>
            <w:tcBorders>
              <w:top w:val="single" w:sz="8" w:color="auto"/>
              <w:bottom w:val="single" w:sz="8" w:color="DD924E"/>
            </w:tcBorders>
            <w:shd w:val="clear" w:color="auto" w:fill="DD924E"/>
          </w:tcPr>
          <w:p>
            <w:pPr>
              <w:spacing w:after="0"/>
              <w:rPr>
                <w:sz w:val="3"/>
                <w:szCs w:val="3"/>
                <w:color w:val="auto"/>
              </w:rPr>
            </w:pPr>
          </w:p>
        </w:tc>
        <w:tc>
          <w:tcPr>
            <w:tcW w:w="100" w:type="dxa"/>
            <w:vAlign w:val="bottom"/>
            <w:tcBorders>
              <w:top w:val="single" w:sz="8" w:color="DD924E"/>
              <w:bottom w:val="single" w:sz="8" w:color="DD924E"/>
            </w:tcBorders>
            <w:shd w:val="clear" w:color="auto" w:fill="DD924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380" w:type="dxa"/>
            <w:vAlign w:val="bottom"/>
          </w:tcPr>
          <w:p>
            <w:pPr>
              <w:spacing w:after="0"/>
              <w:rPr>
                <w:sz w:val="20"/>
                <w:szCs w:val="20"/>
                <w:color w:val="auto"/>
              </w:rPr>
            </w:pPr>
            <w:r>
              <w:rPr>
                <w:rFonts w:ascii="Arial" w:cs="Arial" w:eastAsia="Arial" w:hAnsi="Arial"/>
                <w:sz w:val="15"/>
                <w:szCs w:val="15"/>
                <w:b w:val="1"/>
                <w:bCs w:val="1"/>
                <w:color w:val="auto"/>
              </w:rPr>
              <w:t>Nalin Miglani</w:t>
            </w:r>
          </w:p>
        </w:tc>
        <w:tc>
          <w:tcPr>
            <w:tcW w:w="18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Executive Vice</w:t>
            </w:r>
          </w:p>
        </w:tc>
        <w:tc>
          <w:tcPr>
            <w:tcW w:w="180" w:type="dxa"/>
            <w:vAlign w:val="bottom"/>
          </w:tcPr>
          <w:p>
            <w:pPr>
              <w:spacing w:after="0"/>
              <w:rPr>
                <w:sz w:val="15"/>
                <w:szCs w:val="15"/>
                <w:color w:val="auto"/>
              </w:rPr>
            </w:pPr>
          </w:p>
        </w:tc>
        <w:tc>
          <w:tcPr>
            <w:tcW w:w="5560" w:type="dxa"/>
            <w:vAlign w:val="bottom"/>
            <w:gridSpan w:val="2"/>
          </w:tcPr>
          <w:p>
            <w:pPr>
              <w:spacing w:after="0" w:line="182" w:lineRule="exact"/>
              <w:rPr>
                <w:sz w:val="20"/>
                <w:szCs w:val="20"/>
                <w:color w:val="auto"/>
              </w:rPr>
            </w:pPr>
            <w:r>
              <w:rPr>
                <w:rFonts w:ascii="Arial" w:cs="Arial" w:eastAsia="Arial" w:hAnsi="Arial"/>
                <w:sz w:val="17"/>
                <w:szCs w:val="17"/>
                <w:color w:val="auto"/>
              </w:rPr>
              <w:t>Mr. Miglani has served as our Executive Vice President, Chief Human</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5"/>
                <w:szCs w:val="15"/>
                <w:b w:val="1"/>
                <w:bCs w:val="1"/>
                <w:color w:val="auto"/>
              </w:rPr>
              <w:t>(age 57)</w:t>
            </w:r>
          </w:p>
        </w:tc>
        <w:tc>
          <w:tcPr>
            <w:tcW w:w="18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President and Chief</w:t>
            </w:r>
          </w:p>
        </w:tc>
        <w:tc>
          <w:tcPr>
            <w:tcW w:w="18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7"/>
                <w:szCs w:val="17"/>
                <w:color w:val="auto"/>
              </w:rPr>
              <w:t>Resource Officer since December 2014. Mr. Miglani is responsible for</w:t>
            </w: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Human Resource</w:t>
            </w:r>
          </w:p>
        </w:tc>
        <w:tc>
          <w:tcPr>
            <w:tcW w:w="180" w:type="dxa"/>
            <w:vAlign w:val="bottom"/>
          </w:tcPr>
          <w:p>
            <w:pPr>
              <w:spacing w:after="0"/>
              <w:rPr>
                <w:sz w:val="15"/>
                <w:szCs w:val="15"/>
                <w:color w:val="auto"/>
              </w:rPr>
            </w:pPr>
          </w:p>
        </w:tc>
        <w:tc>
          <w:tcPr>
            <w:tcW w:w="5560" w:type="dxa"/>
            <w:vAlign w:val="bottom"/>
            <w:gridSpan w:val="2"/>
          </w:tcPr>
          <w:p>
            <w:pPr>
              <w:spacing w:after="0" w:line="180" w:lineRule="exact"/>
              <w:rPr>
                <w:sz w:val="20"/>
                <w:szCs w:val="20"/>
                <w:color w:val="auto"/>
              </w:rPr>
            </w:pPr>
            <w:r>
              <w:rPr>
                <w:rFonts w:ascii="Arial" w:cs="Arial" w:eastAsia="Arial" w:hAnsi="Arial"/>
                <w:sz w:val="17"/>
                <w:szCs w:val="17"/>
                <w:color w:val="auto"/>
              </w:rPr>
              <w:t>the global human resources function at the Company. Prior to joining the</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Officer</w:t>
            </w:r>
          </w:p>
        </w:tc>
        <w:tc>
          <w:tcPr>
            <w:tcW w:w="18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7"/>
                <w:szCs w:val="17"/>
                <w:color w:val="auto"/>
              </w:rPr>
              <w:t>Company, he was the Chief HR and Corporate Development Officer for</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560" w:type="dxa"/>
            <w:vAlign w:val="bottom"/>
            <w:gridSpan w:val="2"/>
          </w:tcPr>
          <w:p>
            <w:pPr>
              <w:spacing w:after="0" w:line="193" w:lineRule="exact"/>
              <w:rPr>
                <w:sz w:val="20"/>
                <w:szCs w:val="20"/>
                <w:color w:val="auto"/>
              </w:rPr>
            </w:pPr>
            <w:r>
              <w:rPr>
                <w:rFonts w:ascii="Arial" w:cs="Arial" w:eastAsia="Arial" w:hAnsi="Arial"/>
                <w:sz w:val="17"/>
                <w:szCs w:val="17"/>
                <w:color w:val="auto"/>
              </w:rPr>
              <w:t>Nutreco,  based  in  Amsterdam,  Netherlands,  from  March  2013  to</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560" w:type="dxa"/>
            <w:vAlign w:val="bottom"/>
            <w:gridSpan w:val="2"/>
          </w:tcPr>
          <w:p>
            <w:pPr>
              <w:spacing w:after="0" w:line="193" w:lineRule="exact"/>
              <w:rPr>
                <w:sz w:val="20"/>
                <w:szCs w:val="20"/>
                <w:color w:val="auto"/>
              </w:rPr>
            </w:pPr>
            <w:r>
              <w:rPr>
                <w:rFonts w:ascii="Arial" w:cs="Arial" w:eastAsia="Arial" w:hAnsi="Arial"/>
                <w:sz w:val="17"/>
                <w:szCs w:val="17"/>
                <w:color w:val="auto"/>
              </w:rPr>
              <w:t>November  2014.  Mr.  Miglani  also  served  as  the  Chief  HR  and</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560" w:type="dxa"/>
            <w:vAlign w:val="bottom"/>
            <w:gridSpan w:val="2"/>
          </w:tcPr>
          <w:p>
            <w:pPr>
              <w:spacing w:after="0" w:line="193" w:lineRule="exact"/>
              <w:rPr>
                <w:sz w:val="20"/>
                <w:szCs w:val="20"/>
                <w:color w:val="auto"/>
              </w:rPr>
            </w:pPr>
            <w:r>
              <w:rPr>
                <w:rFonts w:ascii="Arial" w:cs="Arial" w:eastAsia="Arial" w:hAnsi="Arial"/>
                <w:sz w:val="17"/>
                <w:szCs w:val="17"/>
                <w:color w:val="auto"/>
              </w:rPr>
              <w:t>Communications Officer for Tata Global Beverages Company, London,</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560" w:type="dxa"/>
            <w:vAlign w:val="bottom"/>
            <w:gridSpan w:val="2"/>
          </w:tcPr>
          <w:p>
            <w:pPr>
              <w:spacing w:after="0" w:line="193" w:lineRule="exact"/>
              <w:rPr>
                <w:sz w:val="20"/>
                <w:szCs w:val="20"/>
                <w:color w:val="auto"/>
              </w:rPr>
            </w:pPr>
            <w:r>
              <w:rPr>
                <w:rFonts w:ascii="Arial" w:cs="Arial" w:eastAsia="Arial" w:hAnsi="Arial"/>
                <w:sz w:val="17"/>
                <w:szCs w:val="17"/>
                <w:color w:val="auto"/>
              </w:rPr>
              <w:t>UK, from June 2008 to February 2013. In addition, Mr. Miglani held</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560" w:type="dxa"/>
            <w:vAlign w:val="bottom"/>
            <w:gridSpan w:val="2"/>
          </w:tcPr>
          <w:p>
            <w:pPr>
              <w:spacing w:after="0" w:line="193" w:lineRule="exact"/>
              <w:rPr>
                <w:sz w:val="20"/>
                <w:szCs w:val="20"/>
                <w:color w:val="auto"/>
              </w:rPr>
            </w:pPr>
            <w:r>
              <w:rPr>
                <w:rFonts w:ascii="Arial" w:cs="Arial" w:eastAsia="Arial" w:hAnsi="Arial"/>
                <w:sz w:val="17"/>
                <w:szCs w:val="17"/>
                <w:color w:val="auto"/>
              </w:rPr>
              <w:t>various global and regional HR leadership roles around the world during</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7"/>
                <w:szCs w:val="17"/>
                <w:color w:val="auto"/>
              </w:rPr>
              <w:t>his career at The Coca-Cola Company and British American Tobacco.</w:t>
            </w: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5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shd w:val="clear" w:color="auto" w:fill="FBF4ED"/>
          </w:tcPr>
          <w:p>
            <w:pPr>
              <w:spacing w:after="0"/>
              <w:rPr>
                <w:sz w:val="16"/>
                <w:szCs w:val="16"/>
                <w:color w:val="auto"/>
              </w:rPr>
            </w:pPr>
          </w:p>
        </w:tc>
        <w:tc>
          <w:tcPr>
            <w:tcW w:w="1380" w:type="dxa"/>
            <w:vAlign w:val="bottom"/>
            <w:shd w:val="clear" w:color="auto" w:fill="FBF4ED"/>
          </w:tcPr>
          <w:p>
            <w:pPr>
              <w:spacing w:after="0"/>
              <w:rPr>
                <w:sz w:val="20"/>
                <w:szCs w:val="20"/>
                <w:color w:val="auto"/>
              </w:rPr>
            </w:pPr>
            <w:r>
              <w:rPr>
                <w:rFonts w:ascii="Arial" w:cs="Arial" w:eastAsia="Arial" w:hAnsi="Arial"/>
                <w:sz w:val="15"/>
                <w:szCs w:val="15"/>
                <w:b w:val="1"/>
                <w:bCs w:val="1"/>
                <w:color w:val="auto"/>
              </w:rPr>
              <w:t>Nancy Saltzman</w:t>
            </w:r>
          </w:p>
        </w:tc>
        <w:tc>
          <w:tcPr>
            <w:tcW w:w="180" w:type="dxa"/>
            <w:vAlign w:val="bottom"/>
            <w:shd w:val="clear" w:color="auto" w:fill="FBF4ED"/>
          </w:tcPr>
          <w:p>
            <w:pPr>
              <w:spacing w:after="0"/>
              <w:rPr>
                <w:sz w:val="16"/>
                <w:szCs w:val="16"/>
                <w:color w:val="auto"/>
              </w:rPr>
            </w:pPr>
          </w:p>
        </w:tc>
        <w:tc>
          <w:tcPr>
            <w:tcW w:w="1400" w:type="dxa"/>
            <w:vAlign w:val="bottom"/>
            <w:shd w:val="clear" w:color="auto" w:fill="FBF4ED"/>
          </w:tcPr>
          <w:p>
            <w:pPr>
              <w:spacing w:after="0"/>
              <w:rPr>
                <w:sz w:val="20"/>
                <w:szCs w:val="20"/>
                <w:color w:val="auto"/>
              </w:rPr>
            </w:pPr>
            <w:r>
              <w:rPr>
                <w:rFonts w:ascii="Arial" w:cs="Arial" w:eastAsia="Arial" w:hAnsi="Arial"/>
                <w:sz w:val="15"/>
                <w:szCs w:val="15"/>
                <w:color w:val="auto"/>
              </w:rPr>
              <w:t>Executive Vice</w:t>
            </w:r>
          </w:p>
        </w:tc>
        <w:tc>
          <w:tcPr>
            <w:tcW w:w="180" w:type="dxa"/>
            <w:vAlign w:val="bottom"/>
            <w:shd w:val="clear" w:color="auto" w:fill="FBF4ED"/>
          </w:tcPr>
          <w:p>
            <w:pPr>
              <w:spacing w:after="0"/>
              <w:rPr>
                <w:sz w:val="16"/>
                <w:szCs w:val="16"/>
                <w:color w:val="auto"/>
              </w:rPr>
            </w:pPr>
          </w:p>
        </w:tc>
        <w:tc>
          <w:tcPr>
            <w:tcW w:w="5560" w:type="dxa"/>
            <w:vAlign w:val="bottom"/>
            <w:gridSpan w:val="2"/>
            <w:shd w:val="clear" w:color="auto" w:fill="FBF4ED"/>
          </w:tcPr>
          <w:p>
            <w:pPr>
              <w:spacing w:after="0" w:line="189" w:lineRule="exact"/>
              <w:rPr>
                <w:sz w:val="20"/>
                <w:szCs w:val="20"/>
                <w:color w:val="auto"/>
              </w:rPr>
            </w:pPr>
            <w:r>
              <w:rPr>
                <w:rFonts w:ascii="Arial" w:cs="Arial" w:eastAsia="Arial" w:hAnsi="Arial"/>
                <w:sz w:val="17"/>
                <w:szCs w:val="17"/>
                <w:color w:val="auto"/>
              </w:rPr>
              <w:t>Ms. Saltzman has served as our Executive Vice President and General</w:t>
            </w:r>
          </w:p>
        </w:tc>
        <w:tc>
          <w:tcPr>
            <w:tcW w:w="0" w:type="dxa"/>
            <w:vAlign w:val="bottom"/>
          </w:tcPr>
          <w:p>
            <w:pPr>
              <w:spacing w:after="0"/>
              <w:rPr>
                <w:sz w:val="1"/>
                <w:szCs w:val="1"/>
                <w:color w:val="auto"/>
              </w:rPr>
            </w:pPr>
          </w:p>
        </w:tc>
      </w:tr>
      <w:tr>
        <w:trPr>
          <w:trHeight w:val="197"/>
        </w:trPr>
        <w:tc>
          <w:tcPr>
            <w:tcW w:w="100" w:type="dxa"/>
            <w:vAlign w:val="bottom"/>
            <w:shd w:val="clear" w:color="auto" w:fill="FBF4ED"/>
          </w:tcPr>
          <w:p>
            <w:pPr>
              <w:spacing w:after="0"/>
              <w:rPr>
                <w:sz w:val="17"/>
                <w:szCs w:val="17"/>
                <w:color w:val="auto"/>
              </w:rPr>
            </w:pPr>
          </w:p>
        </w:tc>
        <w:tc>
          <w:tcPr>
            <w:tcW w:w="1380" w:type="dxa"/>
            <w:vAlign w:val="bottom"/>
            <w:shd w:val="clear" w:color="auto" w:fill="FBF4ED"/>
          </w:tcPr>
          <w:p>
            <w:pPr>
              <w:spacing w:after="0"/>
              <w:rPr>
                <w:sz w:val="20"/>
                <w:szCs w:val="20"/>
                <w:color w:val="auto"/>
              </w:rPr>
            </w:pPr>
            <w:r>
              <w:rPr>
                <w:rFonts w:ascii="Arial" w:cs="Arial" w:eastAsia="Arial" w:hAnsi="Arial"/>
                <w:sz w:val="15"/>
                <w:szCs w:val="15"/>
                <w:b w:val="1"/>
                <w:bCs w:val="1"/>
                <w:color w:val="auto"/>
              </w:rPr>
              <w:t>(age 52)</w:t>
            </w:r>
          </w:p>
        </w:tc>
        <w:tc>
          <w:tcPr>
            <w:tcW w:w="180" w:type="dxa"/>
            <w:vAlign w:val="bottom"/>
            <w:shd w:val="clear" w:color="auto" w:fill="FBF4ED"/>
          </w:tcPr>
          <w:p>
            <w:pPr>
              <w:spacing w:after="0"/>
              <w:rPr>
                <w:sz w:val="17"/>
                <w:szCs w:val="17"/>
                <w:color w:val="auto"/>
              </w:rPr>
            </w:pPr>
          </w:p>
        </w:tc>
        <w:tc>
          <w:tcPr>
            <w:tcW w:w="1400" w:type="dxa"/>
            <w:vAlign w:val="bottom"/>
            <w:shd w:val="clear" w:color="auto" w:fill="FBF4ED"/>
          </w:tcPr>
          <w:p>
            <w:pPr>
              <w:spacing w:after="0"/>
              <w:rPr>
                <w:sz w:val="20"/>
                <w:szCs w:val="20"/>
                <w:color w:val="auto"/>
              </w:rPr>
            </w:pPr>
            <w:r>
              <w:rPr>
                <w:rFonts w:ascii="Arial" w:cs="Arial" w:eastAsia="Arial" w:hAnsi="Arial"/>
                <w:sz w:val="15"/>
                <w:szCs w:val="15"/>
                <w:color w:val="auto"/>
              </w:rPr>
              <w:t>President, General</w:t>
            </w:r>
          </w:p>
        </w:tc>
        <w:tc>
          <w:tcPr>
            <w:tcW w:w="180" w:type="dxa"/>
            <w:vAlign w:val="bottom"/>
            <w:shd w:val="clear" w:color="auto" w:fill="FBF4ED"/>
          </w:tcPr>
          <w:p>
            <w:pPr>
              <w:spacing w:after="0"/>
              <w:rPr>
                <w:sz w:val="17"/>
                <w:szCs w:val="17"/>
                <w:color w:val="auto"/>
              </w:rPr>
            </w:pPr>
          </w:p>
        </w:tc>
        <w:tc>
          <w:tcPr>
            <w:tcW w:w="5560" w:type="dxa"/>
            <w:vAlign w:val="bottom"/>
            <w:gridSpan w:val="2"/>
            <w:shd w:val="clear" w:color="auto" w:fill="FBF4ED"/>
          </w:tcPr>
          <w:p>
            <w:pPr>
              <w:spacing w:after="0"/>
              <w:rPr>
                <w:sz w:val="20"/>
                <w:szCs w:val="20"/>
                <w:color w:val="auto"/>
              </w:rPr>
            </w:pPr>
            <w:r>
              <w:rPr>
                <w:rFonts w:ascii="Arial" w:cs="Arial" w:eastAsia="Arial" w:hAnsi="Arial"/>
                <w:sz w:val="17"/>
                <w:szCs w:val="17"/>
                <w:color w:val="auto"/>
              </w:rPr>
              <w:t>Counsel since April 2014. Ms. Saltzman also serves as Corporate</w:t>
            </w:r>
          </w:p>
        </w:tc>
        <w:tc>
          <w:tcPr>
            <w:tcW w:w="0" w:type="dxa"/>
            <w:vAlign w:val="bottom"/>
          </w:tcPr>
          <w:p>
            <w:pPr>
              <w:spacing w:after="0"/>
              <w:rPr>
                <w:sz w:val="1"/>
                <w:szCs w:val="1"/>
                <w:color w:val="auto"/>
              </w:rPr>
            </w:pPr>
          </w:p>
        </w:tc>
      </w:tr>
      <w:tr>
        <w:trPr>
          <w:trHeight w:val="179"/>
        </w:trPr>
        <w:tc>
          <w:tcPr>
            <w:tcW w:w="100" w:type="dxa"/>
            <w:vAlign w:val="bottom"/>
            <w:shd w:val="clear" w:color="auto" w:fill="FBF4ED"/>
          </w:tcPr>
          <w:p>
            <w:pPr>
              <w:spacing w:after="0"/>
              <w:rPr>
                <w:sz w:val="15"/>
                <w:szCs w:val="15"/>
                <w:color w:val="auto"/>
              </w:rPr>
            </w:pPr>
          </w:p>
        </w:tc>
        <w:tc>
          <w:tcPr>
            <w:tcW w:w="1380" w:type="dxa"/>
            <w:vAlign w:val="bottom"/>
            <w:shd w:val="clear" w:color="auto" w:fill="FBF4ED"/>
          </w:tcPr>
          <w:p>
            <w:pPr>
              <w:spacing w:after="0"/>
              <w:rPr>
                <w:sz w:val="15"/>
                <w:szCs w:val="15"/>
                <w:color w:val="auto"/>
              </w:rPr>
            </w:pPr>
          </w:p>
        </w:tc>
        <w:tc>
          <w:tcPr>
            <w:tcW w:w="180" w:type="dxa"/>
            <w:vAlign w:val="bottom"/>
            <w:shd w:val="clear" w:color="auto" w:fill="FBF4ED"/>
          </w:tcPr>
          <w:p>
            <w:pPr>
              <w:spacing w:after="0"/>
              <w:rPr>
                <w:sz w:val="15"/>
                <w:szCs w:val="15"/>
                <w:color w:val="auto"/>
              </w:rPr>
            </w:pPr>
          </w:p>
        </w:tc>
        <w:tc>
          <w:tcPr>
            <w:tcW w:w="1400" w:type="dxa"/>
            <w:vAlign w:val="bottom"/>
            <w:shd w:val="clear" w:color="auto" w:fill="FBF4ED"/>
          </w:tcPr>
          <w:p>
            <w:pPr>
              <w:spacing w:after="0"/>
              <w:rPr>
                <w:sz w:val="20"/>
                <w:szCs w:val="20"/>
                <w:color w:val="auto"/>
              </w:rPr>
            </w:pPr>
            <w:r>
              <w:rPr>
                <w:rFonts w:ascii="Arial" w:cs="Arial" w:eastAsia="Arial" w:hAnsi="Arial"/>
                <w:sz w:val="15"/>
                <w:szCs w:val="15"/>
                <w:color w:val="auto"/>
              </w:rPr>
              <w:t>Counsel, Chief</w:t>
            </w:r>
          </w:p>
        </w:tc>
        <w:tc>
          <w:tcPr>
            <w:tcW w:w="180" w:type="dxa"/>
            <w:vAlign w:val="bottom"/>
            <w:shd w:val="clear" w:color="auto" w:fill="FBF4ED"/>
          </w:tcPr>
          <w:p>
            <w:pPr>
              <w:spacing w:after="0"/>
              <w:rPr>
                <w:sz w:val="15"/>
                <w:szCs w:val="15"/>
                <w:color w:val="auto"/>
              </w:rPr>
            </w:pPr>
          </w:p>
        </w:tc>
        <w:tc>
          <w:tcPr>
            <w:tcW w:w="5560" w:type="dxa"/>
            <w:vAlign w:val="bottom"/>
            <w:gridSpan w:val="2"/>
            <w:shd w:val="clear" w:color="auto" w:fill="FBF4ED"/>
          </w:tcPr>
          <w:p>
            <w:pPr>
              <w:spacing w:after="0" w:line="180" w:lineRule="exact"/>
              <w:rPr>
                <w:sz w:val="20"/>
                <w:szCs w:val="20"/>
                <w:color w:val="auto"/>
              </w:rPr>
            </w:pPr>
            <w:r>
              <w:rPr>
                <w:rFonts w:ascii="Arial" w:cs="Arial" w:eastAsia="Arial" w:hAnsi="Arial"/>
                <w:sz w:val="17"/>
                <w:szCs w:val="17"/>
                <w:color w:val="auto"/>
              </w:rPr>
              <w:t>Secretary of the Company. In July 2016, Ms. Saltzman was appointed</w:t>
            </w:r>
          </w:p>
        </w:tc>
        <w:tc>
          <w:tcPr>
            <w:tcW w:w="0" w:type="dxa"/>
            <w:vAlign w:val="bottom"/>
          </w:tcPr>
          <w:p>
            <w:pPr>
              <w:spacing w:after="0"/>
              <w:rPr>
                <w:sz w:val="1"/>
                <w:szCs w:val="1"/>
                <w:color w:val="auto"/>
              </w:rPr>
            </w:pPr>
          </w:p>
        </w:tc>
      </w:tr>
      <w:tr>
        <w:trPr>
          <w:trHeight w:val="191"/>
        </w:trPr>
        <w:tc>
          <w:tcPr>
            <w:tcW w:w="100" w:type="dxa"/>
            <w:vAlign w:val="bottom"/>
            <w:shd w:val="clear" w:color="auto" w:fill="FBF4ED"/>
          </w:tcPr>
          <w:p>
            <w:pPr>
              <w:spacing w:after="0"/>
              <w:rPr>
                <w:sz w:val="16"/>
                <w:szCs w:val="16"/>
                <w:color w:val="auto"/>
              </w:rPr>
            </w:pPr>
          </w:p>
        </w:tc>
        <w:tc>
          <w:tcPr>
            <w:tcW w:w="1380" w:type="dxa"/>
            <w:vAlign w:val="bottom"/>
            <w:shd w:val="clear" w:color="auto" w:fill="FBF4ED"/>
          </w:tcPr>
          <w:p>
            <w:pPr>
              <w:spacing w:after="0"/>
              <w:rPr>
                <w:sz w:val="16"/>
                <w:szCs w:val="16"/>
                <w:color w:val="auto"/>
              </w:rPr>
            </w:pPr>
          </w:p>
        </w:tc>
        <w:tc>
          <w:tcPr>
            <w:tcW w:w="180" w:type="dxa"/>
            <w:vAlign w:val="bottom"/>
            <w:shd w:val="clear" w:color="auto" w:fill="FBF4ED"/>
          </w:tcPr>
          <w:p>
            <w:pPr>
              <w:spacing w:after="0"/>
              <w:rPr>
                <w:sz w:val="16"/>
                <w:szCs w:val="16"/>
                <w:color w:val="auto"/>
              </w:rPr>
            </w:pPr>
          </w:p>
        </w:tc>
        <w:tc>
          <w:tcPr>
            <w:tcW w:w="1400" w:type="dxa"/>
            <w:vAlign w:val="bottom"/>
            <w:shd w:val="clear" w:color="auto" w:fill="FBF4ED"/>
          </w:tcPr>
          <w:p>
            <w:pPr>
              <w:spacing w:after="0"/>
              <w:rPr>
                <w:sz w:val="20"/>
                <w:szCs w:val="20"/>
                <w:color w:val="auto"/>
              </w:rPr>
            </w:pPr>
            <w:r>
              <w:rPr>
                <w:rFonts w:ascii="Arial" w:cs="Arial" w:eastAsia="Arial" w:hAnsi="Arial"/>
                <w:sz w:val="15"/>
                <w:szCs w:val="15"/>
                <w:color w:val="auto"/>
              </w:rPr>
              <w:t>Compliance Officer</w:t>
            </w:r>
          </w:p>
        </w:tc>
        <w:tc>
          <w:tcPr>
            <w:tcW w:w="180" w:type="dxa"/>
            <w:vAlign w:val="bottom"/>
            <w:shd w:val="clear" w:color="auto" w:fill="FBF4ED"/>
          </w:tcPr>
          <w:p>
            <w:pPr>
              <w:spacing w:after="0"/>
              <w:rPr>
                <w:sz w:val="16"/>
                <w:szCs w:val="16"/>
                <w:color w:val="auto"/>
              </w:rPr>
            </w:pPr>
          </w:p>
        </w:tc>
        <w:tc>
          <w:tcPr>
            <w:tcW w:w="5560" w:type="dxa"/>
            <w:vAlign w:val="bottom"/>
            <w:gridSpan w:val="2"/>
            <w:shd w:val="clear" w:color="auto" w:fill="FBF4ED"/>
          </w:tcPr>
          <w:p>
            <w:pPr>
              <w:spacing w:after="0" w:line="190" w:lineRule="exact"/>
              <w:rPr>
                <w:sz w:val="20"/>
                <w:szCs w:val="20"/>
                <w:color w:val="auto"/>
              </w:rPr>
            </w:pPr>
            <w:r>
              <w:rPr>
                <w:rFonts w:ascii="Arial" w:cs="Arial" w:eastAsia="Arial" w:hAnsi="Arial"/>
                <w:sz w:val="17"/>
                <w:szCs w:val="17"/>
                <w:color w:val="auto"/>
              </w:rPr>
              <w:t>as the Company’s Chief Compliance Officer. Prior to joining us, Ms.</w:t>
            </w:r>
          </w:p>
        </w:tc>
        <w:tc>
          <w:tcPr>
            <w:tcW w:w="0" w:type="dxa"/>
            <w:vAlign w:val="bottom"/>
          </w:tcPr>
          <w:p>
            <w:pPr>
              <w:spacing w:after="0"/>
              <w:rPr>
                <w:sz w:val="1"/>
                <w:szCs w:val="1"/>
                <w:color w:val="auto"/>
              </w:rPr>
            </w:pPr>
          </w:p>
        </w:tc>
      </w:tr>
      <w:tr>
        <w:trPr>
          <w:trHeight w:val="168"/>
        </w:trPr>
        <w:tc>
          <w:tcPr>
            <w:tcW w:w="100" w:type="dxa"/>
            <w:vAlign w:val="bottom"/>
            <w:shd w:val="clear" w:color="auto" w:fill="FBF4ED"/>
          </w:tcPr>
          <w:p>
            <w:pPr>
              <w:spacing w:after="0"/>
              <w:rPr>
                <w:sz w:val="14"/>
                <w:szCs w:val="14"/>
                <w:color w:val="auto"/>
              </w:rPr>
            </w:pPr>
          </w:p>
        </w:tc>
        <w:tc>
          <w:tcPr>
            <w:tcW w:w="1380" w:type="dxa"/>
            <w:vAlign w:val="bottom"/>
            <w:shd w:val="clear" w:color="auto" w:fill="FBF4ED"/>
          </w:tcPr>
          <w:p>
            <w:pPr>
              <w:spacing w:after="0"/>
              <w:rPr>
                <w:sz w:val="14"/>
                <w:szCs w:val="14"/>
                <w:color w:val="auto"/>
              </w:rPr>
            </w:pPr>
          </w:p>
        </w:tc>
        <w:tc>
          <w:tcPr>
            <w:tcW w:w="180" w:type="dxa"/>
            <w:vAlign w:val="bottom"/>
            <w:shd w:val="clear" w:color="auto" w:fill="FBF4ED"/>
          </w:tcPr>
          <w:p>
            <w:pPr>
              <w:spacing w:after="0"/>
              <w:rPr>
                <w:sz w:val="14"/>
                <w:szCs w:val="14"/>
                <w:color w:val="auto"/>
              </w:rPr>
            </w:pPr>
          </w:p>
        </w:tc>
        <w:tc>
          <w:tcPr>
            <w:tcW w:w="1400" w:type="dxa"/>
            <w:vAlign w:val="bottom"/>
            <w:shd w:val="clear" w:color="auto" w:fill="FBF4ED"/>
          </w:tcPr>
          <w:p>
            <w:pPr>
              <w:spacing w:after="0" w:line="169" w:lineRule="exact"/>
              <w:rPr>
                <w:sz w:val="20"/>
                <w:szCs w:val="20"/>
                <w:color w:val="auto"/>
              </w:rPr>
            </w:pPr>
            <w:r>
              <w:rPr>
                <w:rFonts w:ascii="Arial" w:cs="Arial" w:eastAsia="Arial" w:hAnsi="Arial"/>
                <w:sz w:val="15"/>
                <w:szCs w:val="15"/>
                <w:color w:val="auto"/>
              </w:rPr>
              <w:t>and Corporate</w:t>
            </w:r>
          </w:p>
        </w:tc>
        <w:tc>
          <w:tcPr>
            <w:tcW w:w="180" w:type="dxa"/>
            <w:vAlign w:val="bottom"/>
            <w:shd w:val="clear" w:color="auto" w:fill="FBF4ED"/>
          </w:tcPr>
          <w:p>
            <w:pPr>
              <w:spacing w:after="0"/>
              <w:rPr>
                <w:sz w:val="14"/>
                <w:szCs w:val="14"/>
                <w:color w:val="auto"/>
              </w:rPr>
            </w:pPr>
          </w:p>
        </w:tc>
        <w:tc>
          <w:tcPr>
            <w:tcW w:w="5560" w:type="dxa"/>
            <w:vAlign w:val="bottom"/>
            <w:gridSpan w:val="2"/>
            <w:vMerge w:val="restart"/>
            <w:shd w:val="clear" w:color="auto" w:fill="FBF4ED"/>
          </w:tcPr>
          <w:p>
            <w:pPr>
              <w:spacing w:after="0"/>
              <w:rPr>
                <w:sz w:val="20"/>
                <w:szCs w:val="20"/>
                <w:color w:val="auto"/>
              </w:rPr>
            </w:pPr>
            <w:r>
              <w:rPr>
                <w:rFonts w:ascii="Arial" w:cs="Arial" w:eastAsia="Arial" w:hAnsi="Arial"/>
                <w:sz w:val="17"/>
                <w:szCs w:val="17"/>
                <w:color w:val="auto"/>
              </w:rPr>
              <w:t>Saltzman was Senior Vice President, General Counsel and Corporate</w:t>
            </w:r>
          </w:p>
        </w:tc>
        <w:tc>
          <w:tcPr>
            <w:tcW w:w="0" w:type="dxa"/>
            <w:vAlign w:val="bottom"/>
          </w:tcPr>
          <w:p>
            <w:pPr>
              <w:spacing w:after="0"/>
              <w:rPr>
                <w:sz w:val="1"/>
                <w:szCs w:val="1"/>
                <w:color w:val="auto"/>
              </w:rPr>
            </w:pPr>
          </w:p>
        </w:tc>
      </w:tr>
      <w:tr>
        <w:trPr>
          <w:trHeight w:val="61"/>
        </w:trPr>
        <w:tc>
          <w:tcPr>
            <w:tcW w:w="100" w:type="dxa"/>
            <w:vAlign w:val="bottom"/>
            <w:shd w:val="clear" w:color="auto" w:fill="FBF4ED"/>
          </w:tcPr>
          <w:p>
            <w:pPr>
              <w:spacing w:after="0"/>
              <w:rPr>
                <w:sz w:val="5"/>
                <w:szCs w:val="5"/>
                <w:color w:val="auto"/>
              </w:rPr>
            </w:pPr>
          </w:p>
        </w:tc>
        <w:tc>
          <w:tcPr>
            <w:tcW w:w="1380" w:type="dxa"/>
            <w:vAlign w:val="bottom"/>
            <w:shd w:val="clear" w:color="auto" w:fill="FBF4ED"/>
          </w:tcPr>
          <w:p>
            <w:pPr>
              <w:spacing w:after="0"/>
              <w:rPr>
                <w:sz w:val="5"/>
                <w:szCs w:val="5"/>
                <w:color w:val="auto"/>
              </w:rPr>
            </w:pPr>
          </w:p>
        </w:tc>
        <w:tc>
          <w:tcPr>
            <w:tcW w:w="180" w:type="dxa"/>
            <w:vAlign w:val="bottom"/>
            <w:shd w:val="clear" w:color="auto" w:fill="FBF4ED"/>
          </w:tcPr>
          <w:p>
            <w:pPr>
              <w:spacing w:after="0"/>
              <w:rPr>
                <w:sz w:val="5"/>
                <w:szCs w:val="5"/>
                <w:color w:val="auto"/>
              </w:rPr>
            </w:pPr>
          </w:p>
        </w:tc>
        <w:tc>
          <w:tcPr>
            <w:tcW w:w="1400" w:type="dxa"/>
            <w:vAlign w:val="bottom"/>
            <w:vMerge w:val="restart"/>
            <w:shd w:val="clear" w:color="auto" w:fill="FBF4ED"/>
          </w:tcPr>
          <w:p>
            <w:pPr>
              <w:spacing w:after="0"/>
              <w:rPr>
                <w:sz w:val="20"/>
                <w:szCs w:val="20"/>
                <w:color w:val="auto"/>
              </w:rPr>
            </w:pPr>
            <w:r>
              <w:rPr>
                <w:rFonts w:ascii="Arial" w:cs="Arial" w:eastAsia="Arial" w:hAnsi="Arial"/>
                <w:sz w:val="15"/>
                <w:szCs w:val="15"/>
                <w:color w:val="auto"/>
              </w:rPr>
              <w:t>Secretary</w:t>
            </w:r>
          </w:p>
        </w:tc>
        <w:tc>
          <w:tcPr>
            <w:tcW w:w="180" w:type="dxa"/>
            <w:vAlign w:val="bottom"/>
            <w:shd w:val="clear" w:color="auto" w:fill="FBF4ED"/>
          </w:tcPr>
          <w:p>
            <w:pPr>
              <w:spacing w:after="0"/>
              <w:rPr>
                <w:sz w:val="5"/>
                <w:szCs w:val="5"/>
                <w:color w:val="auto"/>
              </w:rPr>
            </w:pPr>
          </w:p>
        </w:tc>
        <w:tc>
          <w:tcPr>
            <w:tcW w:w="5560" w:type="dxa"/>
            <w:vAlign w:val="bottom"/>
            <w:gridSpan w:val="2"/>
            <w:vMerge w:val="continue"/>
            <w:shd w:val="clear" w:color="auto" w:fill="FBF4ED"/>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0" w:type="dxa"/>
            <w:vAlign w:val="bottom"/>
            <w:shd w:val="clear" w:color="auto" w:fill="FBF4ED"/>
          </w:tcPr>
          <w:p>
            <w:pPr>
              <w:spacing w:after="0"/>
              <w:rPr>
                <w:sz w:val="10"/>
                <w:szCs w:val="10"/>
                <w:color w:val="auto"/>
              </w:rPr>
            </w:pPr>
          </w:p>
        </w:tc>
        <w:tc>
          <w:tcPr>
            <w:tcW w:w="1380" w:type="dxa"/>
            <w:vAlign w:val="bottom"/>
            <w:shd w:val="clear" w:color="auto" w:fill="FBF4ED"/>
          </w:tcPr>
          <w:p>
            <w:pPr>
              <w:spacing w:after="0"/>
              <w:rPr>
                <w:sz w:val="10"/>
                <w:szCs w:val="10"/>
                <w:color w:val="auto"/>
              </w:rPr>
            </w:pPr>
          </w:p>
        </w:tc>
        <w:tc>
          <w:tcPr>
            <w:tcW w:w="180" w:type="dxa"/>
            <w:vAlign w:val="bottom"/>
            <w:shd w:val="clear" w:color="auto" w:fill="FBF4ED"/>
          </w:tcPr>
          <w:p>
            <w:pPr>
              <w:spacing w:after="0"/>
              <w:rPr>
                <w:sz w:val="10"/>
                <w:szCs w:val="10"/>
                <w:color w:val="auto"/>
              </w:rPr>
            </w:pPr>
          </w:p>
        </w:tc>
        <w:tc>
          <w:tcPr>
            <w:tcW w:w="1400" w:type="dxa"/>
            <w:vAlign w:val="bottom"/>
            <w:vMerge w:val="continue"/>
            <w:shd w:val="clear" w:color="auto" w:fill="FBF4ED"/>
          </w:tcPr>
          <w:p>
            <w:pPr>
              <w:spacing w:after="0"/>
              <w:rPr>
                <w:sz w:val="10"/>
                <w:szCs w:val="10"/>
                <w:color w:val="auto"/>
              </w:rPr>
            </w:pPr>
          </w:p>
        </w:tc>
        <w:tc>
          <w:tcPr>
            <w:tcW w:w="180" w:type="dxa"/>
            <w:vAlign w:val="bottom"/>
            <w:shd w:val="clear" w:color="auto" w:fill="FBF4ED"/>
          </w:tcPr>
          <w:p>
            <w:pPr>
              <w:spacing w:after="0"/>
              <w:rPr>
                <w:sz w:val="10"/>
                <w:szCs w:val="10"/>
                <w:color w:val="auto"/>
              </w:rPr>
            </w:pPr>
          </w:p>
        </w:tc>
        <w:tc>
          <w:tcPr>
            <w:tcW w:w="5560" w:type="dxa"/>
            <w:vAlign w:val="bottom"/>
            <w:gridSpan w:val="2"/>
            <w:vMerge w:val="restart"/>
            <w:shd w:val="clear" w:color="auto" w:fill="FBF4ED"/>
          </w:tcPr>
          <w:p>
            <w:pPr>
              <w:spacing w:after="0" w:line="193" w:lineRule="exact"/>
              <w:rPr>
                <w:sz w:val="20"/>
                <w:szCs w:val="20"/>
                <w:color w:val="auto"/>
              </w:rPr>
            </w:pPr>
            <w:r>
              <w:rPr>
                <w:rFonts w:ascii="Arial" w:cs="Arial" w:eastAsia="Arial" w:hAnsi="Arial"/>
                <w:sz w:val="17"/>
                <w:szCs w:val="17"/>
                <w:color w:val="auto"/>
              </w:rPr>
              <w:t>Secretary for Westcon Group, Inc. from January 2005 to April 2014.</w:t>
            </w:r>
          </w:p>
        </w:tc>
        <w:tc>
          <w:tcPr>
            <w:tcW w:w="0" w:type="dxa"/>
            <w:vAlign w:val="bottom"/>
          </w:tcPr>
          <w:p>
            <w:pPr>
              <w:spacing w:after="0"/>
              <w:rPr>
                <w:sz w:val="1"/>
                <w:szCs w:val="1"/>
                <w:color w:val="auto"/>
              </w:rPr>
            </w:pPr>
          </w:p>
        </w:tc>
      </w:tr>
      <w:tr>
        <w:trPr>
          <w:trHeight w:val="69"/>
        </w:trPr>
        <w:tc>
          <w:tcPr>
            <w:tcW w:w="100" w:type="dxa"/>
            <w:vAlign w:val="bottom"/>
            <w:shd w:val="clear" w:color="auto" w:fill="FBF4ED"/>
          </w:tcPr>
          <w:p>
            <w:pPr>
              <w:spacing w:after="0"/>
              <w:rPr>
                <w:sz w:val="5"/>
                <w:szCs w:val="5"/>
                <w:color w:val="auto"/>
              </w:rPr>
            </w:pPr>
          </w:p>
        </w:tc>
        <w:tc>
          <w:tcPr>
            <w:tcW w:w="1380" w:type="dxa"/>
            <w:vAlign w:val="bottom"/>
            <w:shd w:val="clear" w:color="auto" w:fill="FBF4ED"/>
          </w:tcPr>
          <w:p>
            <w:pPr>
              <w:spacing w:after="0"/>
              <w:rPr>
                <w:sz w:val="5"/>
                <w:szCs w:val="5"/>
                <w:color w:val="auto"/>
              </w:rPr>
            </w:pPr>
          </w:p>
        </w:tc>
        <w:tc>
          <w:tcPr>
            <w:tcW w:w="180" w:type="dxa"/>
            <w:vAlign w:val="bottom"/>
            <w:shd w:val="clear" w:color="auto" w:fill="FBF4ED"/>
          </w:tcPr>
          <w:p>
            <w:pPr>
              <w:spacing w:after="0"/>
              <w:rPr>
                <w:sz w:val="5"/>
                <w:szCs w:val="5"/>
                <w:color w:val="auto"/>
              </w:rPr>
            </w:pPr>
          </w:p>
        </w:tc>
        <w:tc>
          <w:tcPr>
            <w:tcW w:w="1400" w:type="dxa"/>
            <w:vAlign w:val="bottom"/>
            <w:shd w:val="clear" w:color="auto" w:fill="FBF4ED"/>
          </w:tcPr>
          <w:p>
            <w:pPr>
              <w:spacing w:after="0"/>
              <w:rPr>
                <w:sz w:val="5"/>
                <w:szCs w:val="5"/>
                <w:color w:val="auto"/>
              </w:rPr>
            </w:pPr>
          </w:p>
        </w:tc>
        <w:tc>
          <w:tcPr>
            <w:tcW w:w="180" w:type="dxa"/>
            <w:vAlign w:val="bottom"/>
            <w:shd w:val="clear" w:color="auto" w:fill="FBF4ED"/>
          </w:tcPr>
          <w:p>
            <w:pPr>
              <w:spacing w:after="0"/>
              <w:rPr>
                <w:sz w:val="5"/>
                <w:szCs w:val="5"/>
                <w:color w:val="auto"/>
              </w:rPr>
            </w:pPr>
          </w:p>
        </w:tc>
        <w:tc>
          <w:tcPr>
            <w:tcW w:w="5560" w:type="dxa"/>
            <w:vAlign w:val="bottom"/>
            <w:gridSpan w:val="2"/>
            <w:vMerge w:val="continue"/>
            <w:shd w:val="clear" w:color="auto" w:fill="FBF4ED"/>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00" w:type="dxa"/>
            <w:vAlign w:val="bottom"/>
            <w:shd w:val="clear" w:color="auto" w:fill="FBF4ED"/>
          </w:tcPr>
          <w:p>
            <w:pPr>
              <w:spacing w:after="0"/>
              <w:rPr>
                <w:sz w:val="16"/>
                <w:szCs w:val="16"/>
                <w:color w:val="auto"/>
              </w:rPr>
            </w:pPr>
          </w:p>
        </w:tc>
        <w:tc>
          <w:tcPr>
            <w:tcW w:w="1380" w:type="dxa"/>
            <w:vAlign w:val="bottom"/>
            <w:shd w:val="clear" w:color="auto" w:fill="FBF4ED"/>
          </w:tcPr>
          <w:p>
            <w:pPr>
              <w:spacing w:after="0"/>
              <w:rPr>
                <w:sz w:val="16"/>
                <w:szCs w:val="16"/>
                <w:color w:val="auto"/>
              </w:rPr>
            </w:pPr>
          </w:p>
        </w:tc>
        <w:tc>
          <w:tcPr>
            <w:tcW w:w="180" w:type="dxa"/>
            <w:vAlign w:val="bottom"/>
            <w:shd w:val="clear" w:color="auto" w:fill="FBF4ED"/>
          </w:tcPr>
          <w:p>
            <w:pPr>
              <w:spacing w:after="0"/>
              <w:rPr>
                <w:sz w:val="16"/>
                <w:szCs w:val="16"/>
                <w:color w:val="auto"/>
              </w:rPr>
            </w:pPr>
          </w:p>
        </w:tc>
        <w:tc>
          <w:tcPr>
            <w:tcW w:w="1400" w:type="dxa"/>
            <w:vAlign w:val="bottom"/>
            <w:shd w:val="clear" w:color="auto" w:fill="FBF4ED"/>
          </w:tcPr>
          <w:p>
            <w:pPr>
              <w:spacing w:after="0"/>
              <w:rPr>
                <w:sz w:val="16"/>
                <w:szCs w:val="16"/>
                <w:color w:val="auto"/>
              </w:rPr>
            </w:pPr>
          </w:p>
        </w:tc>
        <w:tc>
          <w:tcPr>
            <w:tcW w:w="180" w:type="dxa"/>
            <w:vAlign w:val="bottom"/>
            <w:shd w:val="clear" w:color="auto" w:fill="FBF4ED"/>
          </w:tcPr>
          <w:p>
            <w:pPr>
              <w:spacing w:after="0"/>
              <w:rPr>
                <w:sz w:val="16"/>
                <w:szCs w:val="16"/>
                <w:color w:val="auto"/>
              </w:rPr>
            </w:pPr>
          </w:p>
        </w:tc>
        <w:tc>
          <w:tcPr>
            <w:tcW w:w="5560" w:type="dxa"/>
            <w:vAlign w:val="bottom"/>
            <w:gridSpan w:val="2"/>
            <w:shd w:val="clear" w:color="auto" w:fill="FBF4ED"/>
          </w:tcPr>
          <w:p>
            <w:pPr>
              <w:spacing w:after="0" w:line="193" w:lineRule="exact"/>
              <w:rPr>
                <w:sz w:val="20"/>
                <w:szCs w:val="20"/>
                <w:color w:val="auto"/>
              </w:rPr>
            </w:pPr>
            <w:r>
              <w:rPr>
                <w:rFonts w:ascii="Arial" w:cs="Arial" w:eastAsia="Arial" w:hAnsi="Arial"/>
                <w:sz w:val="17"/>
                <w:szCs w:val="17"/>
                <w:color w:val="auto"/>
              </w:rPr>
              <w:t>Prior to joining Westcon Group, Inc., Ms. Saltzman was a Senior</w:t>
            </w:r>
          </w:p>
        </w:tc>
        <w:tc>
          <w:tcPr>
            <w:tcW w:w="0" w:type="dxa"/>
            <w:vAlign w:val="bottom"/>
          </w:tcPr>
          <w:p>
            <w:pPr>
              <w:spacing w:after="0"/>
              <w:rPr>
                <w:sz w:val="1"/>
                <w:szCs w:val="1"/>
                <w:color w:val="auto"/>
              </w:rPr>
            </w:pPr>
          </w:p>
        </w:tc>
      </w:tr>
      <w:tr>
        <w:trPr>
          <w:trHeight w:val="192"/>
        </w:trPr>
        <w:tc>
          <w:tcPr>
            <w:tcW w:w="100" w:type="dxa"/>
            <w:vAlign w:val="bottom"/>
            <w:shd w:val="clear" w:color="auto" w:fill="FBF4ED"/>
          </w:tcPr>
          <w:p>
            <w:pPr>
              <w:spacing w:after="0"/>
              <w:rPr>
                <w:sz w:val="16"/>
                <w:szCs w:val="16"/>
                <w:color w:val="auto"/>
              </w:rPr>
            </w:pPr>
          </w:p>
        </w:tc>
        <w:tc>
          <w:tcPr>
            <w:tcW w:w="1380" w:type="dxa"/>
            <w:vAlign w:val="bottom"/>
            <w:shd w:val="clear" w:color="auto" w:fill="FBF4ED"/>
          </w:tcPr>
          <w:p>
            <w:pPr>
              <w:spacing w:after="0"/>
              <w:rPr>
                <w:sz w:val="16"/>
                <w:szCs w:val="16"/>
                <w:color w:val="auto"/>
              </w:rPr>
            </w:pPr>
          </w:p>
        </w:tc>
        <w:tc>
          <w:tcPr>
            <w:tcW w:w="180" w:type="dxa"/>
            <w:vAlign w:val="bottom"/>
            <w:shd w:val="clear" w:color="auto" w:fill="FBF4ED"/>
          </w:tcPr>
          <w:p>
            <w:pPr>
              <w:spacing w:after="0"/>
              <w:rPr>
                <w:sz w:val="16"/>
                <w:szCs w:val="16"/>
                <w:color w:val="auto"/>
              </w:rPr>
            </w:pPr>
          </w:p>
        </w:tc>
        <w:tc>
          <w:tcPr>
            <w:tcW w:w="1400" w:type="dxa"/>
            <w:vAlign w:val="bottom"/>
            <w:shd w:val="clear" w:color="auto" w:fill="FBF4ED"/>
          </w:tcPr>
          <w:p>
            <w:pPr>
              <w:spacing w:after="0"/>
              <w:rPr>
                <w:sz w:val="16"/>
                <w:szCs w:val="16"/>
                <w:color w:val="auto"/>
              </w:rPr>
            </w:pPr>
          </w:p>
        </w:tc>
        <w:tc>
          <w:tcPr>
            <w:tcW w:w="180" w:type="dxa"/>
            <w:vAlign w:val="bottom"/>
            <w:shd w:val="clear" w:color="auto" w:fill="FBF4ED"/>
          </w:tcPr>
          <w:p>
            <w:pPr>
              <w:spacing w:after="0"/>
              <w:rPr>
                <w:sz w:val="16"/>
                <w:szCs w:val="16"/>
                <w:color w:val="auto"/>
              </w:rPr>
            </w:pPr>
          </w:p>
        </w:tc>
        <w:tc>
          <w:tcPr>
            <w:tcW w:w="5560" w:type="dxa"/>
            <w:vAlign w:val="bottom"/>
            <w:gridSpan w:val="2"/>
            <w:shd w:val="clear" w:color="auto" w:fill="FBF4ED"/>
          </w:tcPr>
          <w:p>
            <w:pPr>
              <w:spacing w:after="0" w:line="193" w:lineRule="exact"/>
              <w:rPr>
                <w:sz w:val="20"/>
                <w:szCs w:val="20"/>
                <w:color w:val="auto"/>
              </w:rPr>
            </w:pPr>
            <w:r>
              <w:rPr>
                <w:rFonts w:ascii="Arial" w:cs="Arial" w:eastAsia="Arial" w:hAnsi="Arial"/>
                <w:sz w:val="17"/>
                <w:szCs w:val="17"/>
                <w:color w:val="auto"/>
              </w:rPr>
              <w:t>Associate with the law firm of Dewey Ballantine LLP from October 1998</w:t>
            </w:r>
          </w:p>
        </w:tc>
        <w:tc>
          <w:tcPr>
            <w:tcW w:w="0" w:type="dxa"/>
            <w:vAlign w:val="bottom"/>
          </w:tcPr>
          <w:p>
            <w:pPr>
              <w:spacing w:after="0"/>
              <w:rPr>
                <w:sz w:val="1"/>
                <w:szCs w:val="1"/>
                <w:color w:val="auto"/>
              </w:rPr>
            </w:pPr>
          </w:p>
        </w:tc>
      </w:tr>
      <w:tr>
        <w:trPr>
          <w:trHeight w:val="192"/>
        </w:trPr>
        <w:tc>
          <w:tcPr>
            <w:tcW w:w="100" w:type="dxa"/>
            <w:vAlign w:val="bottom"/>
            <w:shd w:val="clear" w:color="auto" w:fill="FBF4ED"/>
          </w:tcPr>
          <w:p>
            <w:pPr>
              <w:spacing w:after="0"/>
              <w:rPr>
                <w:sz w:val="16"/>
                <w:szCs w:val="16"/>
                <w:color w:val="auto"/>
              </w:rPr>
            </w:pPr>
          </w:p>
        </w:tc>
        <w:tc>
          <w:tcPr>
            <w:tcW w:w="1380" w:type="dxa"/>
            <w:vAlign w:val="bottom"/>
            <w:shd w:val="clear" w:color="auto" w:fill="FBF4ED"/>
          </w:tcPr>
          <w:p>
            <w:pPr>
              <w:spacing w:after="0"/>
              <w:rPr>
                <w:sz w:val="16"/>
                <w:szCs w:val="16"/>
                <w:color w:val="auto"/>
              </w:rPr>
            </w:pPr>
          </w:p>
        </w:tc>
        <w:tc>
          <w:tcPr>
            <w:tcW w:w="180" w:type="dxa"/>
            <w:vAlign w:val="bottom"/>
            <w:shd w:val="clear" w:color="auto" w:fill="FBF4ED"/>
          </w:tcPr>
          <w:p>
            <w:pPr>
              <w:spacing w:after="0"/>
              <w:rPr>
                <w:sz w:val="16"/>
                <w:szCs w:val="16"/>
                <w:color w:val="auto"/>
              </w:rPr>
            </w:pPr>
          </w:p>
        </w:tc>
        <w:tc>
          <w:tcPr>
            <w:tcW w:w="1400" w:type="dxa"/>
            <w:vAlign w:val="bottom"/>
            <w:shd w:val="clear" w:color="auto" w:fill="FBF4ED"/>
          </w:tcPr>
          <w:p>
            <w:pPr>
              <w:spacing w:after="0"/>
              <w:rPr>
                <w:sz w:val="16"/>
                <w:szCs w:val="16"/>
                <w:color w:val="auto"/>
              </w:rPr>
            </w:pPr>
          </w:p>
        </w:tc>
        <w:tc>
          <w:tcPr>
            <w:tcW w:w="180" w:type="dxa"/>
            <w:vAlign w:val="bottom"/>
            <w:shd w:val="clear" w:color="auto" w:fill="FBF4ED"/>
          </w:tcPr>
          <w:p>
            <w:pPr>
              <w:spacing w:after="0"/>
              <w:rPr>
                <w:sz w:val="16"/>
                <w:szCs w:val="16"/>
                <w:color w:val="auto"/>
              </w:rPr>
            </w:pPr>
          </w:p>
        </w:tc>
        <w:tc>
          <w:tcPr>
            <w:tcW w:w="5560" w:type="dxa"/>
            <w:vAlign w:val="bottom"/>
            <w:gridSpan w:val="2"/>
            <w:shd w:val="clear" w:color="auto" w:fill="FBF4ED"/>
          </w:tcPr>
          <w:p>
            <w:pPr>
              <w:spacing w:after="0" w:line="193" w:lineRule="exact"/>
              <w:rPr>
                <w:sz w:val="20"/>
                <w:szCs w:val="20"/>
                <w:color w:val="auto"/>
              </w:rPr>
            </w:pPr>
            <w:r>
              <w:rPr>
                <w:rFonts w:ascii="Arial" w:cs="Arial" w:eastAsia="Arial" w:hAnsi="Arial"/>
                <w:sz w:val="17"/>
                <w:szCs w:val="17"/>
                <w:color w:val="auto"/>
              </w:rPr>
              <w:t>to April 2000, the Associate General Counsel and Vice President</w:t>
            </w:r>
          </w:p>
        </w:tc>
        <w:tc>
          <w:tcPr>
            <w:tcW w:w="0" w:type="dxa"/>
            <w:vAlign w:val="bottom"/>
          </w:tcPr>
          <w:p>
            <w:pPr>
              <w:spacing w:after="0"/>
              <w:rPr>
                <w:sz w:val="1"/>
                <w:szCs w:val="1"/>
                <w:color w:val="auto"/>
              </w:rPr>
            </w:pPr>
          </w:p>
        </w:tc>
      </w:tr>
      <w:tr>
        <w:trPr>
          <w:trHeight w:val="192"/>
        </w:trPr>
        <w:tc>
          <w:tcPr>
            <w:tcW w:w="100" w:type="dxa"/>
            <w:vAlign w:val="bottom"/>
            <w:shd w:val="clear" w:color="auto" w:fill="FBF4ED"/>
          </w:tcPr>
          <w:p>
            <w:pPr>
              <w:spacing w:after="0"/>
              <w:rPr>
                <w:sz w:val="16"/>
                <w:szCs w:val="16"/>
                <w:color w:val="auto"/>
              </w:rPr>
            </w:pPr>
          </w:p>
        </w:tc>
        <w:tc>
          <w:tcPr>
            <w:tcW w:w="1380" w:type="dxa"/>
            <w:vAlign w:val="bottom"/>
            <w:shd w:val="clear" w:color="auto" w:fill="FBF4ED"/>
          </w:tcPr>
          <w:p>
            <w:pPr>
              <w:spacing w:after="0"/>
              <w:rPr>
                <w:sz w:val="16"/>
                <w:szCs w:val="16"/>
                <w:color w:val="auto"/>
              </w:rPr>
            </w:pPr>
          </w:p>
        </w:tc>
        <w:tc>
          <w:tcPr>
            <w:tcW w:w="180" w:type="dxa"/>
            <w:vAlign w:val="bottom"/>
            <w:shd w:val="clear" w:color="auto" w:fill="FBF4ED"/>
          </w:tcPr>
          <w:p>
            <w:pPr>
              <w:spacing w:after="0"/>
              <w:rPr>
                <w:sz w:val="16"/>
                <w:szCs w:val="16"/>
                <w:color w:val="auto"/>
              </w:rPr>
            </w:pPr>
          </w:p>
        </w:tc>
        <w:tc>
          <w:tcPr>
            <w:tcW w:w="1400" w:type="dxa"/>
            <w:vAlign w:val="bottom"/>
            <w:shd w:val="clear" w:color="auto" w:fill="FBF4ED"/>
          </w:tcPr>
          <w:p>
            <w:pPr>
              <w:spacing w:after="0"/>
              <w:rPr>
                <w:sz w:val="16"/>
                <w:szCs w:val="16"/>
                <w:color w:val="auto"/>
              </w:rPr>
            </w:pPr>
          </w:p>
        </w:tc>
        <w:tc>
          <w:tcPr>
            <w:tcW w:w="180" w:type="dxa"/>
            <w:vAlign w:val="bottom"/>
            <w:shd w:val="clear" w:color="auto" w:fill="FBF4ED"/>
          </w:tcPr>
          <w:p>
            <w:pPr>
              <w:spacing w:after="0"/>
              <w:rPr>
                <w:sz w:val="16"/>
                <w:szCs w:val="16"/>
                <w:color w:val="auto"/>
              </w:rPr>
            </w:pPr>
          </w:p>
        </w:tc>
        <w:tc>
          <w:tcPr>
            <w:tcW w:w="5560" w:type="dxa"/>
            <w:vAlign w:val="bottom"/>
            <w:gridSpan w:val="2"/>
            <w:shd w:val="clear" w:color="auto" w:fill="FBF4ED"/>
          </w:tcPr>
          <w:p>
            <w:pPr>
              <w:spacing w:after="0" w:line="193" w:lineRule="exact"/>
              <w:rPr>
                <w:sz w:val="20"/>
                <w:szCs w:val="20"/>
                <w:color w:val="auto"/>
              </w:rPr>
            </w:pPr>
            <w:r>
              <w:rPr>
                <w:rFonts w:ascii="Arial" w:cs="Arial" w:eastAsia="Arial" w:hAnsi="Arial"/>
                <w:sz w:val="17"/>
                <w:szCs w:val="17"/>
                <w:color w:val="auto"/>
              </w:rPr>
              <w:t>Investor Relations at Chartwell Re Corporation from October 1995 to</w:t>
            </w:r>
          </w:p>
        </w:tc>
        <w:tc>
          <w:tcPr>
            <w:tcW w:w="0" w:type="dxa"/>
            <w:vAlign w:val="bottom"/>
          </w:tcPr>
          <w:p>
            <w:pPr>
              <w:spacing w:after="0"/>
              <w:rPr>
                <w:sz w:val="1"/>
                <w:szCs w:val="1"/>
                <w:color w:val="auto"/>
              </w:rPr>
            </w:pPr>
          </w:p>
        </w:tc>
      </w:tr>
      <w:tr>
        <w:trPr>
          <w:trHeight w:val="192"/>
        </w:trPr>
        <w:tc>
          <w:tcPr>
            <w:tcW w:w="100" w:type="dxa"/>
            <w:vAlign w:val="bottom"/>
            <w:shd w:val="clear" w:color="auto" w:fill="FBF4ED"/>
          </w:tcPr>
          <w:p>
            <w:pPr>
              <w:spacing w:after="0"/>
              <w:rPr>
                <w:sz w:val="16"/>
                <w:szCs w:val="16"/>
                <w:color w:val="auto"/>
              </w:rPr>
            </w:pPr>
          </w:p>
        </w:tc>
        <w:tc>
          <w:tcPr>
            <w:tcW w:w="1380" w:type="dxa"/>
            <w:vAlign w:val="bottom"/>
            <w:shd w:val="clear" w:color="auto" w:fill="FBF4ED"/>
          </w:tcPr>
          <w:p>
            <w:pPr>
              <w:spacing w:after="0"/>
              <w:rPr>
                <w:sz w:val="16"/>
                <w:szCs w:val="16"/>
                <w:color w:val="auto"/>
              </w:rPr>
            </w:pPr>
          </w:p>
        </w:tc>
        <w:tc>
          <w:tcPr>
            <w:tcW w:w="180" w:type="dxa"/>
            <w:vAlign w:val="bottom"/>
            <w:shd w:val="clear" w:color="auto" w:fill="FBF4ED"/>
          </w:tcPr>
          <w:p>
            <w:pPr>
              <w:spacing w:after="0"/>
              <w:rPr>
                <w:sz w:val="16"/>
                <w:szCs w:val="16"/>
                <w:color w:val="auto"/>
              </w:rPr>
            </w:pPr>
          </w:p>
        </w:tc>
        <w:tc>
          <w:tcPr>
            <w:tcW w:w="1400" w:type="dxa"/>
            <w:vAlign w:val="bottom"/>
            <w:shd w:val="clear" w:color="auto" w:fill="FBF4ED"/>
          </w:tcPr>
          <w:p>
            <w:pPr>
              <w:spacing w:after="0"/>
              <w:rPr>
                <w:sz w:val="16"/>
                <w:szCs w:val="16"/>
                <w:color w:val="auto"/>
              </w:rPr>
            </w:pPr>
          </w:p>
        </w:tc>
        <w:tc>
          <w:tcPr>
            <w:tcW w:w="180" w:type="dxa"/>
            <w:vAlign w:val="bottom"/>
            <w:shd w:val="clear" w:color="auto" w:fill="FBF4ED"/>
          </w:tcPr>
          <w:p>
            <w:pPr>
              <w:spacing w:after="0"/>
              <w:rPr>
                <w:sz w:val="16"/>
                <w:szCs w:val="16"/>
                <w:color w:val="auto"/>
              </w:rPr>
            </w:pPr>
          </w:p>
        </w:tc>
        <w:tc>
          <w:tcPr>
            <w:tcW w:w="5560" w:type="dxa"/>
            <w:vAlign w:val="bottom"/>
            <w:gridSpan w:val="2"/>
            <w:shd w:val="clear" w:color="auto" w:fill="FBF4ED"/>
          </w:tcPr>
          <w:p>
            <w:pPr>
              <w:spacing w:after="0" w:line="193" w:lineRule="exact"/>
              <w:rPr>
                <w:sz w:val="20"/>
                <w:szCs w:val="20"/>
                <w:color w:val="auto"/>
              </w:rPr>
            </w:pPr>
            <w:r>
              <w:rPr>
                <w:rFonts w:ascii="Arial" w:cs="Arial" w:eastAsia="Arial" w:hAnsi="Arial"/>
                <w:sz w:val="17"/>
                <w:szCs w:val="17"/>
                <w:color w:val="auto"/>
              </w:rPr>
              <w:t>October 1998 and prior to that an Associate with the law firm of Dewey</w:t>
            </w:r>
          </w:p>
        </w:tc>
        <w:tc>
          <w:tcPr>
            <w:tcW w:w="0" w:type="dxa"/>
            <w:vAlign w:val="bottom"/>
          </w:tcPr>
          <w:p>
            <w:pPr>
              <w:spacing w:after="0"/>
              <w:rPr>
                <w:sz w:val="1"/>
                <w:szCs w:val="1"/>
                <w:color w:val="auto"/>
              </w:rPr>
            </w:pPr>
          </w:p>
        </w:tc>
      </w:tr>
      <w:tr>
        <w:trPr>
          <w:trHeight w:val="205"/>
        </w:trPr>
        <w:tc>
          <w:tcPr>
            <w:tcW w:w="100" w:type="dxa"/>
            <w:vAlign w:val="bottom"/>
            <w:shd w:val="clear" w:color="auto" w:fill="FBF4ED"/>
          </w:tcPr>
          <w:p>
            <w:pPr>
              <w:spacing w:after="0"/>
              <w:rPr>
                <w:sz w:val="17"/>
                <w:szCs w:val="17"/>
                <w:color w:val="auto"/>
              </w:rPr>
            </w:pPr>
          </w:p>
        </w:tc>
        <w:tc>
          <w:tcPr>
            <w:tcW w:w="1380" w:type="dxa"/>
            <w:vAlign w:val="bottom"/>
            <w:shd w:val="clear" w:color="auto" w:fill="FBF4ED"/>
          </w:tcPr>
          <w:p>
            <w:pPr>
              <w:spacing w:after="0"/>
              <w:rPr>
                <w:sz w:val="17"/>
                <w:szCs w:val="17"/>
                <w:color w:val="auto"/>
              </w:rPr>
            </w:pPr>
          </w:p>
        </w:tc>
        <w:tc>
          <w:tcPr>
            <w:tcW w:w="180" w:type="dxa"/>
            <w:vAlign w:val="bottom"/>
            <w:shd w:val="clear" w:color="auto" w:fill="FBF4ED"/>
          </w:tcPr>
          <w:p>
            <w:pPr>
              <w:spacing w:after="0"/>
              <w:rPr>
                <w:sz w:val="17"/>
                <w:szCs w:val="17"/>
                <w:color w:val="auto"/>
              </w:rPr>
            </w:pPr>
          </w:p>
        </w:tc>
        <w:tc>
          <w:tcPr>
            <w:tcW w:w="1400" w:type="dxa"/>
            <w:vAlign w:val="bottom"/>
            <w:shd w:val="clear" w:color="auto" w:fill="FBF4ED"/>
          </w:tcPr>
          <w:p>
            <w:pPr>
              <w:spacing w:after="0"/>
              <w:rPr>
                <w:sz w:val="17"/>
                <w:szCs w:val="17"/>
                <w:color w:val="auto"/>
              </w:rPr>
            </w:pPr>
          </w:p>
        </w:tc>
        <w:tc>
          <w:tcPr>
            <w:tcW w:w="180" w:type="dxa"/>
            <w:vAlign w:val="bottom"/>
            <w:shd w:val="clear" w:color="auto" w:fill="FBF4ED"/>
          </w:tcPr>
          <w:p>
            <w:pPr>
              <w:spacing w:after="0"/>
              <w:rPr>
                <w:sz w:val="17"/>
                <w:szCs w:val="17"/>
                <w:color w:val="auto"/>
              </w:rPr>
            </w:pPr>
          </w:p>
        </w:tc>
        <w:tc>
          <w:tcPr>
            <w:tcW w:w="5560" w:type="dxa"/>
            <w:vAlign w:val="bottom"/>
            <w:gridSpan w:val="2"/>
            <w:shd w:val="clear" w:color="auto" w:fill="FBF4ED"/>
          </w:tcPr>
          <w:p>
            <w:pPr>
              <w:spacing w:after="0"/>
              <w:rPr>
                <w:sz w:val="20"/>
                <w:szCs w:val="20"/>
                <w:color w:val="auto"/>
              </w:rPr>
            </w:pPr>
            <w:r>
              <w:rPr>
                <w:rFonts w:ascii="Arial" w:cs="Arial" w:eastAsia="Arial" w:hAnsi="Arial"/>
                <w:sz w:val="17"/>
                <w:szCs w:val="17"/>
                <w:color w:val="auto"/>
              </w:rPr>
              <w:t>Ballantine LLP from September 1992 to October 1995.</w:t>
            </w:r>
          </w:p>
        </w:tc>
        <w:tc>
          <w:tcPr>
            <w:tcW w:w="0" w:type="dxa"/>
            <w:vAlign w:val="bottom"/>
          </w:tcPr>
          <w:p>
            <w:pPr>
              <w:spacing w:after="0"/>
              <w:rPr>
                <w:sz w:val="1"/>
                <w:szCs w:val="1"/>
                <w:color w:val="auto"/>
              </w:rPr>
            </w:pPr>
          </w:p>
        </w:tc>
      </w:tr>
      <w:tr>
        <w:trPr>
          <w:trHeight w:val="40"/>
        </w:trPr>
        <w:tc>
          <w:tcPr>
            <w:tcW w:w="100" w:type="dxa"/>
            <w:vAlign w:val="bottom"/>
            <w:shd w:val="clear" w:color="auto" w:fill="FBF4ED"/>
          </w:tcPr>
          <w:p>
            <w:pPr>
              <w:spacing w:after="0"/>
              <w:rPr>
                <w:sz w:val="3"/>
                <w:szCs w:val="3"/>
                <w:color w:val="auto"/>
              </w:rPr>
            </w:pPr>
          </w:p>
        </w:tc>
        <w:tc>
          <w:tcPr>
            <w:tcW w:w="1380" w:type="dxa"/>
            <w:vAlign w:val="bottom"/>
            <w:shd w:val="clear" w:color="auto" w:fill="FBF4ED"/>
          </w:tcPr>
          <w:p>
            <w:pPr>
              <w:spacing w:after="0"/>
              <w:rPr>
                <w:sz w:val="3"/>
                <w:szCs w:val="3"/>
                <w:color w:val="auto"/>
              </w:rPr>
            </w:pPr>
          </w:p>
        </w:tc>
        <w:tc>
          <w:tcPr>
            <w:tcW w:w="180" w:type="dxa"/>
            <w:vAlign w:val="bottom"/>
            <w:shd w:val="clear" w:color="auto" w:fill="FBF4ED"/>
          </w:tcPr>
          <w:p>
            <w:pPr>
              <w:spacing w:after="0"/>
              <w:rPr>
                <w:sz w:val="3"/>
                <w:szCs w:val="3"/>
                <w:color w:val="auto"/>
              </w:rPr>
            </w:pPr>
          </w:p>
        </w:tc>
        <w:tc>
          <w:tcPr>
            <w:tcW w:w="1400" w:type="dxa"/>
            <w:vAlign w:val="bottom"/>
            <w:shd w:val="clear" w:color="auto" w:fill="FBF4ED"/>
          </w:tcPr>
          <w:p>
            <w:pPr>
              <w:spacing w:after="0"/>
              <w:rPr>
                <w:sz w:val="3"/>
                <w:szCs w:val="3"/>
                <w:color w:val="auto"/>
              </w:rPr>
            </w:pPr>
          </w:p>
        </w:tc>
        <w:tc>
          <w:tcPr>
            <w:tcW w:w="180" w:type="dxa"/>
            <w:vAlign w:val="bottom"/>
            <w:shd w:val="clear" w:color="auto" w:fill="FBF4ED"/>
          </w:tcPr>
          <w:p>
            <w:pPr>
              <w:spacing w:after="0"/>
              <w:rPr>
                <w:sz w:val="3"/>
                <w:szCs w:val="3"/>
                <w:color w:val="auto"/>
              </w:rPr>
            </w:pPr>
          </w:p>
        </w:tc>
        <w:tc>
          <w:tcPr>
            <w:tcW w:w="5460" w:type="dxa"/>
            <w:vAlign w:val="bottom"/>
            <w:shd w:val="clear" w:color="auto" w:fill="FBF4ED"/>
          </w:tcPr>
          <w:p>
            <w:pPr>
              <w:spacing w:after="0"/>
              <w:rPr>
                <w:sz w:val="3"/>
                <w:szCs w:val="3"/>
                <w:color w:val="auto"/>
              </w:rPr>
            </w:pPr>
          </w:p>
        </w:tc>
        <w:tc>
          <w:tcPr>
            <w:tcW w:w="100" w:type="dxa"/>
            <w:vAlign w:val="bottom"/>
            <w:shd w:val="clear" w:color="auto" w:fill="FBF4ED"/>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9019"/>
          </w:cols>
          <w:pgMar w:left="1440" w:top="1440" w:right="1440" w:bottom="1440" w:gutter="0" w:footer="0" w:header="0"/>
        </w:sectPr>
      </w:pPr>
    </w:p>
    <w:p>
      <w:pPr>
        <w:ind w:left="260"/>
        <w:spacing w:after="0"/>
        <w:tabs>
          <w:tab w:leader="none" w:pos="1800" w:val="left"/>
        </w:tabs>
        <w:rPr>
          <w:sz w:val="20"/>
          <w:szCs w:val="20"/>
          <w:color w:val="auto"/>
        </w:rPr>
      </w:pPr>
      <w:r>
        <w:rPr>
          <w:rFonts w:ascii="Arial" w:cs="Arial" w:eastAsia="Arial" w:hAnsi="Arial"/>
          <w:sz w:val="15"/>
          <w:szCs w:val="15"/>
          <w:b w:val="1"/>
          <w:bCs w:val="1"/>
          <w:color w:val="auto"/>
        </w:rPr>
        <w:t>Nagaraja Srivatsan</w:t>
      </w:r>
      <w:r>
        <w:rPr>
          <w:sz w:val="20"/>
          <w:szCs w:val="20"/>
          <w:color w:val="auto"/>
        </w:rPr>
        <w:tab/>
      </w:r>
      <w:r>
        <w:rPr>
          <w:rFonts w:ascii="Arial" w:cs="Arial" w:eastAsia="Arial" w:hAnsi="Arial"/>
          <w:sz w:val="15"/>
          <w:szCs w:val="15"/>
          <w:color w:val="auto"/>
        </w:rPr>
        <w:t>Executive Vice</w:t>
      </w:r>
    </w:p>
    <w:p>
      <w:pPr>
        <w:spacing w:after="0" w:line="25" w:lineRule="exact"/>
        <w:rPr>
          <w:sz w:val="20"/>
          <w:szCs w:val="20"/>
          <w:color w:val="auto"/>
        </w:rPr>
      </w:pPr>
    </w:p>
    <w:p>
      <w:pPr>
        <w:ind w:left="260"/>
        <w:spacing w:after="0"/>
        <w:tabs>
          <w:tab w:leader="none" w:pos="1800" w:val="left"/>
        </w:tabs>
        <w:rPr>
          <w:sz w:val="20"/>
          <w:szCs w:val="20"/>
          <w:color w:val="auto"/>
        </w:rPr>
      </w:pPr>
      <w:r>
        <w:rPr>
          <w:rFonts w:ascii="Arial" w:cs="Arial" w:eastAsia="Arial" w:hAnsi="Arial"/>
          <w:sz w:val="15"/>
          <w:szCs w:val="15"/>
          <w:b w:val="1"/>
          <w:bCs w:val="1"/>
          <w:color w:val="auto"/>
        </w:rPr>
        <w:t>(age 51)</w:t>
      </w:r>
      <w:r>
        <w:rPr>
          <w:sz w:val="20"/>
          <w:szCs w:val="20"/>
          <w:color w:val="auto"/>
        </w:rPr>
        <w:tab/>
      </w:r>
      <w:r>
        <w:rPr>
          <w:rFonts w:ascii="Arial" w:cs="Arial" w:eastAsia="Arial" w:hAnsi="Arial"/>
          <w:sz w:val="15"/>
          <w:szCs w:val="15"/>
          <w:color w:val="auto"/>
        </w:rPr>
        <w:t>President and Chief</w:t>
      </w:r>
    </w:p>
    <w:p>
      <w:pPr>
        <w:spacing w:after="0" w:line="7"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Growth Officer</w:t>
      </w:r>
    </w:p>
    <w:p>
      <w:pPr>
        <w:spacing w:after="0" w:line="20" w:lineRule="exact"/>
        <w:rPr>
          <w:sz w:val="20"/>
          <w:szCs w:val="20"/>
          <w:color w:val="auto"/>
        </w:rPr>
      </w:pPr>
      <w:r>
        <w:rPr>
          <w:sz w:val="20"/>
          <w:szCs w:val="20"/>
          <w:color w:val="auto"/>
        </w:rPr>
        <w:br w:type="column"/>
      </w:r>
    </w:p>
    <w:p>
      <w:pPr>
        <w:jc w:val="both"/>
        <w:ind w:right="159"/>
        <w:spacing w:after="0" w:line="237" w:lineRule="auto"/>
        <w:rPr>
          <w:sz w:val="20"/>
          <w:szCs w:val="20"/>
          <w:color w:val="auto"/>
        </w:rPr>
      </w:pPr>
      <w:r>
        <w:rPr>
          <w:rFonts w:ascii="Arial" w:cs="Arial" w:eastAsia="Arial" w:hAnsi="Arial"/>
          <w:sz w:val="17"/>
          <w:szCs w:val="17"/>
          <w:color w:val="auto"/>
        </w:rPr>
        <w:t>Mr. Srivatsan joined the Company as Executive Vice President and Chief Growth Officer in December 2016. Mr. Srivatsan is responsible for overseeing our sales and marketing, consulting, and strategy functions. Previously, he worked at Cognizant Technology Services beginning in 2002, where he served as Senior Vice President and Venture Partner, working with emerging businesses and ventures in the healthcare and life science industry. Mr. Srivatsan was Senior Vice President of Client Solutions at Silverline Technologies from 2001 to 2002, Chief technology Officer and Executive Vice President of Global Delivery at SeraNova from 1998 to 2001, and a Director at SEI Information Technology from 1992 to 1998.</w:t>
      </w:r>
    </w:p>
    <w:p>
      <w:pPr>
        <w:spacing w:after="0" w:line="200" w:lineRule="exact"/>
        <w:rPr>
          <w:sz w:val="20"/>
          <w:szCs w:val="20"/>
          <w:color w:val="auto"/>
        </w:rPr>
      </w:pPr>
    </w:p>
    <w:p>
      <w:pPr>
        <w:sectPr>
          <w:pgSz w:w="11900" w:h="16838" w:orient="portrait"/>
          <w:cols w:equalWidth="0" w:num="2">
            <w:col w:w="3160" w:space="240"/>
            <w:col w:w="56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3" w:name="page34"/>
    <w:bookmarkEnd w:id="33"/>
    <w:p>
      <w:pPr>
        <w:spacing w:after="0" w:line="30" w:lineRule="exact"/>
        <w:rPr>
          <w:sz w:val="20"/>
          <w:szCs w:val="20"/>
          <w:color w:val="auto"/>
        </w:rPr>
      </w:pPr>
    </w:p>
    <w:p>
      <w:pPr>
        <w:ind w:left="2880"/>
        <w:spacing w:after="0"/>
        <w:rPr>
          <w:sz w:val="20"/>
          <w:szCs w:val="20"/>
          <w:color w:val="auto"/>
        </w:rPr>
      </w:pPr>
      <w:r>
        <w:rPr>
          <w:rFonts w:ascii="Arial" w:cs="Arial" w:eastAsia="Arial" w:hAnsi="Arial"/>
          <w:sz w:val="24"/>
          <w:szCs w:val="24"/>
          <w:b w:val="1"/>
          <w:bCs w:val="1"/>
          <w:color w:val="DD924E"/>
        </w:rPr>
        <w:t>EXECUTIVE COMPENSATION</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DD924E"/>
        </w:rPr>
        <w:t>Compensation Discussion and Analysis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Named Executive Officers</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determined in accordance with SEC rules, our “named executive officers” for 2017 are:</w:t>
      </w:r>
    </w:p>
    <w:p>
      <w:pPr>
        <w:spacing w:after="0" w:line="189" w:lineRule="exact"/>
        <w:rPr>
          <w:sz w:val="20"/>
          <w:szCs w:val="20"/>
          <w:color w:val="auto"/>
        </w:rPr>
      </w:pPr>
    </w:p>
    <w:p>
      <w:pPr>
        <w:ind w:left="840" w:hanging="345"/>
        <w:spacing w:after="0"/>
        <w:tabs>
          <w:tab w:leader="none" w:pos="840" w:val="left"/>
        </w:tabs>
        <w:numPr>
          <w:ilvl w:val="0"/>
          <w:numId w:val="49"/>
        </w:numPr>
        <w:rPr>
          <w:rFonts w:ascii="Arial" w:cs="Arial" w:eastAsia="Arial" w:hAnsi="Arial"/>
          <w:sz w:val="17"/>
          <w:szCs w:val="17"/>
          <w:color w:val="DD924E"/>
        </w:rPr>
      </w:pPr>
      <w:r>
        <w:rPr>
          <w:rFonts w:ascii="Arial" w:cs="Arial" w:eastAsia="Arial" w:hAnsi="Arial"/>
          <w:sz w:val="17"/>
          <w:szCs w:val="17"/>
          <w:color w:val="auto"/>
        </w:rPr>
        <w:t>Rohit Kapoor, our Vice Chairman and CEO;</w:t>
      </w:r>
    </w:p>
    <w:p>
      <w:pPr>
        <w:spacing w:after="0" w:line="137" w:lineRule="exact"/>
        <w:rPr>
          <w:rFonts w:ascii="Arial" w:cs="Arial" w:eastAsia="Arial" w:hAnsi="Arial"/>
          <w:sz w:val="17"/>
          <w:szCs w:val="17"/>
          <w:color w:val="DD924E"/>
        </w:rPr>
      </w:pPr>
    </w:p>
    <w:p>
      <w:pPr>
        <w:ind w:left="840" w:hanging="345"/>
        <w:spacing w:after="0"/>
        <w:tabs>
          <w:tab w:leader="none" w:pos="840" w:val="left"/>
        </w:tabs>
        <w:numPr>
          <w:ilvl w:val="0"/>
          <w:numId w:val="49"/>
        </w:numPr>
        <w:rPr>
          <w:rFonts w:ascii="Arial" w:cs="Arial" w:eastAsia="Arial" w:hAnsi="Arial"/>
          <w:sz w:val="17"/>
          <w:szCs w:val="17"/>
          <w:color w:val="DD924E"/>
        </w:rPr>
      </w:pPr>
      <w:r>
        <w:rPr>
          <w:rFonts w:ascii="Arial" w:cs="Arial" w:eastAsia="Arial" w:hAnsi="Arial"/>
          <w:sz w:val="17"/>
          <w:szCs w:val="17"/>
          <w:color w:val="auto"/>
        </w:rPr>
        <w:t>Vishal Chhibbar, our Executive Vice President and CFO;</w:t>
      </w:r>
    </w:p>
    <w:p>
      <w:pPr>
        <w:spacing w:after="0" w:line="125" w:lineRule="exact"/>
        <w:rPr>
          <w:rFonts w:ascii="Arial" w:cs="Arial" w:eastAsia="Arial" w:hAnsi="Arial"/>
          <w:sz w:val="17"/>
          <w:szCs w:val="17"/>
          <w:color w:val="DD924E"/>
        </w:rPr>
      </w:pPr>
    </w:p>
    <w:p>
      <w:pPr>
        <w:ind w:left="840" w:hanging="345"/>
        <w:spacing w:after="0"/>
        <w:tabs>
          <w:tab w:leader="none" w:pos="840" w:val="left"/>
        </w:tabs>
        <w:numPr>
          <w:ilvl w:val="0"/>
          <w:numId w:val="49"/>
        </w:numPr>
        <w:rPr>
          <w:rFonts w:ascii="Arial" w:cs="Arial" w:eastAsia="Arial" w:hAnsi="Arial"/>
          <w:sz w:val="17"/>
          <w:szCs w:val="17"/>
          <w:color w:val="DD924E"/>
        </w:rPr>
      </w:pPr>
      <w:r>
        <w:rPr>
          <w:rFonts w:ascii="Arial" w:cs="Arial" w:eastAsia="Arial" w:hAnsi="Arial"/>
          <w:sz w:val="17"/>
          <w:szCs w:val="17"/>
          <w:color w:val="auto"/>
        </w:rPr>
        <w:t>Pavan Bagai, our President and Chief Operating Officer;</w:t>
      </w:r>
    </w:p>
    <w:p>
      <w:pPr>
        <w:spacing w:after="0" w:line="137" w:lineRule="exact"/>
        <w:rPr>
          <w:rFonts w:ascii="Arial" w:cs="Arial" w:eastAsia="Arial" w:hAnsi="Arial"/>
          <w:sz w:val="17"/>
          <w:szCs w:val="17"/>
          <w:color w:val="DD924E"/>
        </w:rPr>
      </w:pPr>
    </w:p>
    <w:p>
      <w:pPr>
        <w:ind w:left="840" w:hanging="345"/>
        <w:spacing w:after="0"/>
        <w:tabs>
          <w:tab w:leader="none" w:pos="840" w:val="left"/>
        </w:tabs>
        <w:numPr>
          <w:ilvl w:val="0"/>
          <w:numId w:val="49"/>
        </w:numPr>
        <w:rPr>
          <w:rFonts w:ascii="Arial" w:cs="Arial" w:eastAsia="Arial" w:hAnsi="Arial"/>
          <w:sz w:val="17"/>
          <w:szCs w:val="17"/>
          <w:color w:val="DD924E"/>
        </w:rPr>
      </w:pPr>
      <w:r>
        <w:rPr>
          <w:rFonts w:ascii="Arial" w:cs="Arial" w:eastAsia="Arial" w:hAnsi="Arial"/>
          <w:sz w:val="17"/>
          <w:szCs w:val="17"/>
          <w:color w:val="auto"/>
        </w:rPr>
        <w:t>Nagaraja Srivatsan, our Executive Vice President and Chief Growth Officer; and</w:t>
      </w:r>
    </w:p>
    <w:p>
      <w:pPr>
        <w:spacing w:after="0" w:line="137" w:lineRule="exact"/>
        <w:rPr>
          <w:rFonts w:ascii="Arial" w:cs="Arial" w:eastAsia="Arial" w:hAnsi="Arial"/>
          <w:sz w:val="17"/>
          <w:szCs w:val="17"/>
          <w:color w:val="DD924E"/>
        </w:rPr>
      </w:pPr>
    </w:p>
    <w:p>
      <w:pPr>
        <w:ind w:left="840" w:hanging="345"/>
        <w:spacing w:after="0"/>
        <w:tabs>
          <w:tab w:leader="none" w:pos="840" w:val="left"/>
        </w:tabs>
        <w:numPr>
          <w:ilvl w:val="0"/>
          <w:numId w:val="49"/>
        </w:numPr>
        <w:rPr>
          <w:rFonts w:ascii="Arial" w:cs="Arial" w:eastAsia="Arial" w:hAnsi="Arial"/>
          <w:sz w:val="17"/>
          <w:szCs w:val="17"/>
          <w:color w:val="DD924E"/>
        </w:rPr>
      </w:pPr>
      <w:r>
        <w:rPr>
          <w:rFonts w:ascii="Arial" w:cs="Arial" w:eastAsia="Arial" w:hAnsi="Arial"/>
          <w:sz w:val="17"/>
          <w:szCs w:val="17"/>
          <w:color w:val="auto"/>
        </w:rPr>
        <w:t>Nalin Miglani, our Executive Vice President and Chief Human Resources Officer.</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Executive Summary</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2017 Financial Highlights</w:t>
      </w:r>
    </w:p>
    <w:p>
      <w:pPr>
        <w:spacing w:after="0" w:line="145" w:lineRule="exact"/>
        <w:rPr>
          <w:sz w:val="20"/>
          <w:szCs w:val="20"/>
          <w:color w:val="auto"/>
        </w:rPr>
      </w:pPr>
    </w:p>
    <w:p>
      <w:pPr>
        <w:jc w:val="both"/>
        <w:ind w:left="160" w:right="79"/>
        <w:spacing w:after="0" w:line="241" w:lineRule="auto"/>
        <w:rPr>
          <w:sz w:val="20"/>
          <w:szCs w:val="20"/>
          <w:color w:val="auto"/>
        </w:rPr>
      </w:pPr>
      <w:r>
        <w:rPr>
          <w:rFonts w:ascii="Arial" w:cs="Arial" w:eastAsia="Arial" w:hAnsi="Arial"/>
          <w:sz w:val="17"/>
          <w:szCs w:val="17"/>
          <w:color w:val="auto"/>
        </w:rPr>
        <w:t>We improved our annual revenues to $762.3 million in fiscal year 2017 from $686.0 million in fiscal year 2016 (an increase of over 11%) and improved our Adjusted EPS to $2.65 in fiscal year 2017 from $2.33 in fiscal year 2016 (an increase of over 13%).</w:t>
      </w:r>
    </w:p>
    <w:p>
      <w:pPr>
        <w:spacing w:after="0" w:line="129" w:lineRule="exact"/>
        <w:rPr>
          <w:sz w:val="20"/>
          <w:szCs w:val="20"/>
          <w:color w:val="auto"/>
        </w:rPr>
      </w:pPr>
    </w:p>
    <w:p>
      <w:pPr>
        <w:jc w:val="both"/>
        <w:ind w:left="160" w:right="59"/>
        <w:spacing w:after="0" w:line="247" w:lineRule="auto"/>
        <w:rPr>
          <w:sz w:val="20"/>
          <w:szCs w:val="20"/>
          <w:color w:val="auto"/>
        </w:rPr>
      </w:pPr>
      <w:r>
        <w:rPr>
          <w:rFonts w:ascii="Arial" w:cs="Arial" w:eastAsia="Arial" w:hAnsi="Arial"/>
          <w:sz w:val="17"/>
          <w:szCs w:val="17"/>
          <w:color w:val="auto"/>
        </w:rPr>
        <w:t>Our Compensation Committee paid bonuses as a result of our achievement of 98.1% of our revenue target and 101.7% of our Adjusted EPS target as described below.</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Total Stockholder Return</w:t>
      </w:r>
    </w:p>
    <w:p>
      <w:pPr>
        <w:spacing w:after="0" w:line="145"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The graphs below compare our 1-year, 3-year and 5-year total stockholder return (“TSR”) with that of the companies comprising Nasdaq, S&amp;P 500 and our peer group. As shown in the table, our TSR outperformed all but one of our market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82550</wp:posOffset>
            </wp:positionV>
            <wp:extent cx="5584825" cy="1611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8482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40" w:hanging="345"/>
        <w:spacing w:after="0"/>
        <w:tabs>
          <w:tab w:leader="none" w:pos="8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Cumulative growth rate as of December 31, 2017.</w:t>
      </w:r>
    </w:p>
    <w:p>
      <w:pPr>
        <w:ind w:left="840" w:right="59" w:hanging="345"/>
        <w:spacing w:after="0" w:line="236" w:lineRule="auto"/>
        <w:tabs>
          <w:tab w:leader="none" w:pos="8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Peer group TSR data excludes Solera Holdings, which was taken private in March 2016, and Ciber Inc., which filed for bankruptcy in April 2017.</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Acquisitions, Finance and Equity Transactions</w:t>
      </w:r>
    </w:p>
    <w:p>
      <w:pPr>
        <w:spacing w:after="0" w:line="145" w:lineRule="exact"/>
        <w:rPr>
          <w:sz w:val="20"/>
          <w:szCs w:val="20"/>
          <w:color w:val="auto"/>
        </w:rPr>
      </w:pPr>
    </w:p>
    <w:p>
      <w:pPr>
        <w:ind w:left="840" w:right="79" w:hanging="345"/>
        <w:spacing w:after="0" w:line="247" w:lineRule="auto"/>
        <w:tabs>
          <w:tab w:leader="none" w:pos="840" w:val="left"/>
        </w:tabs>
        <w:numPr>
          <w:ilvl w:val="0"/>
          <w:numId w:val="51"/>
        </w:numPr>
        <w:rPr>
          <w:rFonts w:ascii="Arial" w:cs="Arial" w:eastAsia="Arial" w:hAnsi="Arial"/>
          <w:sz w:val="17"/>
          <w:szCs w:val="17"/>
          <w:color w:val="DD924E"/>
        </w:rPr>
      </w:pPr>
      <w:r>
        <w:rPr>
          <w:rFonts w:ascii="Arial" w:cs="Arial" w:eastAsia="Arial" w:hAnsi="Arial"/>
          <w:sz w:val="17"/>
          <w:szCs w:val="17"/>
          <w:color w:val="auto"/>
        </w:rPr>
        <w:t>We completed the acquisition of substantially all the assets of Health Integrated, Inc., a healthcare company that specializes in providing care management on behalf of health plans.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4" w:name="page35"/>
    <w:bookmarkEnd w:id="34"/>
    <w:p>
      <w:pPr>
        <w:spacing w:after="0" w:line="58" w:lineRule="exact"/>
        <w:rPr>
          <w:sz w:val="20"/>
          <w:szCs w:val="20"/>
          <w:color w:val="auto"/>
        </w:rPr>
      </w:pPr>
    </w:p>
    <w:p>
      <w:pPr>
        <w:ind w:left="840" w:right="59" w:hanging="345"/>
        <w:spacing w:after="0" w:line="247" w:lineRule="auto"/>
        <w:tabs>
          <w:tab w:leader="none" w:pos="840" w:val="left"/>
        </w:tabs>
        <w:numPr>
          <w:ilvl w:val="0"/>
          <w:numId w:val="52"/>
        </w:numPr>
        <w:rPr>
          <w:rFonts w:ascii="Arial" w:cs="Arial" w:eastAsia="Arial" w:hAnsi="Arial"/>
          <w:sz w:val="17"/>
          <w:szCs w:val="17"/>
          <w:color w:val="DD924E"/>
        </w:rPr>
      </w:pPr>
      <w:r>
        <w:rPr>
          <w:rFonts w:ascii="Arial" w:cs="Arial" w:eastAsia="Arial" w:hAnsi="Arial"/>
          <w:sz w:val="17"/>
          <w:szCs w:val="17"/>
          <w:color w:val="auto"/>
        </w:rPr>
        <w:t>We acquired a minority stake in Corridor Platform Inc., a proprietary big data risk management platform in analytics.</w:t>
      </w:r>
    </w:p>
    <w:p>
      <w:pPr>
        <w:spacing w:after="0" w:line="110" w:lineRule="exact"/>
        <w:rPr>
          <w:rFonts w:ascii="Arial" w:cs="Arial" w:eastAsia="Arial" w:hAnsi="Arial"/>
          <w:sz w:val="17"/>
          <w:szCs w:val="17"/>
          <w:color w:val="DD924E"/>
        </w:rPr>
      </w:pPr>
    </w:p>
    <w:p>
      <w:pPr>
        <w:jc w:val="both"/>
        <w:ind w:left="840" w:right="59" w:hanging="345"/>
        <w:spacing w:after="0" w:line="241" w:lineRule="auto"/>
        <w:tabs>
          <w:tab w:leader="none" w:pos="840" w:val="left"/>
        </w:tabs>
        <w:numPr>
          <w:ilvl w:val="0"/>
          <w:numId w:val="52"/>
        </w:numPr>
        <w:rPr>
          <w:rFonts w:ascii="Arial" w:cs="Arial" w:eastAsia="Arial" w:hAnsi="Arial"/>
          <w:sz w:val="17"/>
          <w:szCs w:val="17"/>
          <w:color w:val="DD924E"/>
        </w:rPr>
      </w:pPr>
      <w:r>
        <w:rPr>
          <w:rFonts w:ascii="Arial" w:cs="Arial" w:eastAsia="Arial" w:hAnsi="Arial"/>
          <w:sz w:val="17"/>
          <w:szCs w:val="17"/>
          <w:color w:val="auto"/>
        </w:rPr>
        <w:t>We entered into a Credit Agreement with Citibank, N.A., PNC Bank, N.A., JPMorgan Chase Bank, N.A., Bank of America, N.A. and the lenders party thereto providing for a $200.0 million revolving credit facility with an option to increase the commitments under the Credit Agreement by up to $100.0 million.</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Awards and Industry Recognition</w:t>
      </w:r>
    </w:p>
    <w:p>
      <w:pPr>
        <w:spacing w:after="0" w:line="158" w:lineRule="exact"/>
        <w:rPr>
          <w:sz w:val="20"/>
          <w:szCs w:val="20"/>
          <w:color w:val="auto"/>
        </w:rPr>
      </w:pPr>
    </w:p>
    <w:p>
      <w:pPr>
        <w:ind w:left="840" w:right="59" w:hanging="345"/>
        <w:spacing w:after="0" w:line="247" w:lineRule="auto"/>
        <w:tabs>
          <w:tab w:leader="none" w:pos="840" w:val="left"/>
        </w:tabs>
        <w:numPr>
          <w:ilvl w:val="0"/>
          <w:numId w:val="53"/>
        </w:numPr>
        <w:rPr>
          <w:rFonts w:ascii="Arial" w:cs="Arial" w:eastAsia="Arial" w:hAnsi="Arial"/>
          <w:sz w:val="17"/>
          <w:szCs w:val="17"/>
          <w:color w:val="DD924E"/>
        </w:rPr>
      </w:pPr>
      <w:r>
        <w:rPr>
          <w:rFonts w:ascii="Arial" w:cs="Arial" w:eastAsia="Arial" w:hAnsi="Arial"/>
          <w:sz w:val="17"/>
          <w:szCs w:val="17"/>
          <w:color w:val="auto"/>
        </w:rPr>
        <w:t>We continued to receive numerous industry recognitions and awards, pointing to our commitment to innovation and excellence.</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Clients and Operations</w:t>
      </w:r>
    </w:p>
    <w:p>
      <w:pPr>
        <w:spacing w:after="0" w:line="158" w:lineRule="exact"/>
        <w:rPr>
          <w:sz w:val="20"/>
          <w:szCs w:val="20"/>
          <w:color w:val="auto"/>
        </w:rPr>
      </w:pPr>
    </w:p>
    <w:p>
      <w:pPr>
        <w:ind w:left="840" w:hanging="345"/>
        <w:spacing w:after="0"/>
        <w:tabs>
          <w:tab w:leader="none" w:pos="840" w:val="left"/>
        </w:tabs>
        <w:numPr>
          <w:ilvl w:val="0"/>
          <w:numId w:val="54"/>
        </w:numPr>
        <w:rPr>
          <w:rFonts w:ascii="Arial" w:cs="Arial" w:eastAsia="Arial" w:hAnsi="Arial"/>
          <w:sz w:val="17"/>
          <w:szCs w:val="17"/>
          <w:color w:val="DD924E"/>
        </w:rPr>
      </w:pPr>
      <w:r>
        <w:rPr>
          <w:rFonts w:ascii="Arial" w:cs="Arial" w:eastAsia="Arial" w:hAnsi="Arial"/>
          <w:sz w:val="17"/>
          <w:szCs w:val="17"/>
          <w:color w:val="auto"/>
        </w:rPr>
        <w:t>In 2017 we won 42 new clients compared to the 40 new clients we won in 2016.</w:t>
      </w:r>
    </w:p>
    <w:p>
      <w:pPr>
        <w:spacing w:after="0" w:line="137" w:lineRule="exact"/>
        <w:rPr>
          <w:rFonts w:ascii="Arial" w:cs="Arial" w:eastAsia="Arial" w:hAnsi="Arial"/>
          <w:sz w:val="17"/>
          <w:szCs w:val="17"/>
          <w:color w:val="DD924E"/>
        </w:rPr>
      </w:pPr>
    </w:p>
    <w:p>
      <w:pPr>
        <w:jc w:val="both"/>
        <w:ind w:left="840" w:right="59" w:hanging="345"/>
        <w:spacing w:after="0" w:line="241" w:lineRule="auto"/>
        <w:tabs>
          <w:tab w:leader="none" w:pos="840" w:val="left"/>
        </w:tabs>
        <w:numPr>
          <w:ilvl w:val="0"/>
          <w:numId w:val="54"/>
        </w:numPr>
        <w:rPr>
          <w:rFonts w:ascii="Arial" w:cs="Arial" w:eastAsia="Arial" w:hAnsi="Arial"/>
          <w:sz w:val="17"/>
          <w:szCs w:val="17"/>
          <w:color w:val="DD924E"/>
        </w:rPr>
      </w:pPr>
      <w:r>
        <w:rPr>
          <w:rFonts w:ascii="Arial" w:cs="Arial" w:eastAsia="Arial" w:hAnsi="Arial"/>
          <w:sz w:val="17"/>
          <w:szCs w:val="17"/>
          <w:color w:val="auto"/>
        </w:rPr>
        <w:t>We opened a state-of-the-art Digital Experience Center in Jersey City, N.J., which is an experiential laboratory where clients and partners can actively work with technologies such as advance automation, robotics, analytics, machine learning and natural language processing.</w:t>
      </w:r>
    </w:p>
    <w:p>
      <w:pPr>
        <w:spacing w:after="0" w:line="116" w:lineRule="exact"/>
        <w:rPr>
          <w:rFonts w:ascii="Arial" w:cs="Arial" w:eastAsia="Arial" w:hAnsi="Arial"/>
          <w:sz w:val="17"/>
          <w:szCs w:val="17"/>
          <w:color w:val="DD924E"/>
        </w:rPr>
      </w:pPr>
    </w:p>
    <w:p>
      <w:pPr>
        <w:ind w:left="840" w:right="59" w:hanging="345"/>
        <w:spacing w:after="0" w:line="247" w:lineRule="auto"/>
        <w:tabs>
          <w:tab w:leader="none" w:pos="840" w:val="left"/>
        </w:tabs>
        <w:numPr>
          <w:ilvl w:val="0"/>
          <w:numId w:val="54"/>
        </w:numPr>
        <w:rPr>
          <w:rFonts w:ascii="Arial" w:cs="Arial" w:eastAsia="Arial" w:hAnsi="Arial"/>
          <w:sz w:val="17"/>
          <w:szCs w:val="17"/>
          <w:color w:val="DD924E"/>
        </w:rPr>
      </w:pPr>
      <w:r>
        <w:rPr>
          <w:rFonts w:ascii="Arial" w:cs="Arial" w:eastAsia="Arial" w:hAnsi="Arial"/>
          <w:sz w:val="17"/>
          <w:szCs w:val="17"/>
          <w:color w:val="auto"/>
        </w:rPr>
        <w:t>We opened new delivery centers in Chennai and Hyderabad in India and in Richmond, VA, Dallas, TX, Kansas City, MO and Tampa, FL.</w:t>
      </w:r>
    </w:p>
    <w:p>
      <w:pPr>
        <w:spacing w:after="0" w:line="115" w:lineRule="exact"/>
        <w:rPr>
          <w:rFonts w:ascii="Arial" w:cs="Arial" w:eastAsia="Arial" w:hAnsi="Arial"/>
          <w:sz w:val="17"/>
          <w:szCs w:val="17"/>
          <w:color w:val="DD924E"/>
        </w:rPr>
      </w:pPr>
    </w:p>
    <w:p>
      <w:pPr>
        <w:ind w:left="840" w:right="59" w:hanging="345"/>
        <w:spacing w:after="0" w:line="191" w:lineRule="auto"/>
        <w:tabs>
          <w:tab w:leader="none" w:pos="840" w:val="left"/>
        </w:tabs>
        <w:numPr>
          <w:ilvl w:val="0"/>
          <w:numId w:val="54"/>
        </w:numPr>
        <w:rPr>
          <w:rFonts w:ascii="Arial" w:cs="Arial" w:eastAsia="Arial" w:hAnsi="Arial"/>
          <w:sz w:val="17"/>
          <w:szCs w:val="17"/>
          <w:color w:val="DD924E"/>
        </w:rPr>
      </w:pPr>
      <w:r>
        <w:rPr>
          <w:rFonts w:ascii="Arial" w:cs="Arial" w:eastAsia="Arial" w:hAnsi="Arial"/>
          <w:sz w:val="17"/>
          <w:szCs w:val="17"/>
          <w:color w:val="auto"/>
        </w:rPr>
        <w:t>We launched LifePRO</w:t>
      </w:r>
      <w:r>
        <w:rPr>
          <w:rFonts w:ascii="Arial" w:cs="Arial" w:eastAsia="Arial" w:hAnsi="Arial"/>
          <w:sz w:val="27"/>
          <w:szCs w:val="27"/>
          <w:color w:val="auto"/>
          <w:vertAlign w:val="superscript"/>
        </w:rPr>
        <w:t>®</w:t>
      </w:r>
      <w:r>
        <w:rPr>
          <w:rFonts w:ascii="Arial" w:cs="Arial" w:eastAsia="Arial" w:hAnsi="Arial"/>
          <w:sz w:val="17"/>
          <w:szCs w:val="17"/>
          <w:color w:val="auto"/>
        </w:rPr>
        <w:t xml:space="preserve"> Version 19, our administration platform for life, health and annuity insurers with enhanced management of complex annuities.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Summary of Key Compensation Considerations &amp; Decisions in 2017</w:t>
      </w:r>
    </w:p>
    <w:p>
      <w:pPr>
        <w:spacing w:after="0" w:line="145" w:lineRule="exact"/>
        <w:rPr>
          <w:sz w:val="20"/>
          <w:szCs w:val="20"/>
          <w:color w:val="auto"/>
        </w:rPr>
      </w:pPr>
    </w:p>
    <w:p>
      <w:pPr>
        <w:ind w:left="160" w:right="59"/>
        <w:spacing w:after="0" w:line="247" w:lineRule="auto"/>
        <w:rPr>
          <w:sz w:val="20"/>
          <w:szCs w:val="20"/>
          <w:color w:val="auto"/>
        </w:rPr>
      </w:pPr>
      <w:r>
        <w:rPr>
          <w:rFonts w:ascii="Arial" w:cs="Arial" w:eastAsia="Arial" w:hAnsi="Arial"/>
          <w:sz w:val="17"/>
          <w:szCs w:val="17"/>
          <w:color w:val="auto"/>
        </w:rPr>
        <w:t>The following highlights the Compensation Committee’s key considerations and compensation decisions in 2017 and with respect to performance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119380</wp:posOffset>
            </wp:positionV>
            <wp:extent cx="559308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93080" cy="162560"/>
                    </a:xfrm>
                    <a:prstGeom prst="rect">
                      <a:avLst/>
                    </a:prstGeom>
                    <a:noFill/>
                  </pic:spPr>
                </pic:pic>
              </a:graphicData>
            </a:graphic>
          </wp:anchor>
        </w:drawing>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FFFFFF"/>
        </w:rPr>
        <w:t>Considerations and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27305</wp:posOffset>
            </wp:positionV>
            <wp:extent cx="5593080" cy="127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93080" cy="1278255"/>
                    </a:xfrm>
                    <a:prstGeom prst="rect">
                      <a:avLst/>
                    </a:prstGeom>
                    <a:noFill/>
                  </pic:spPr>
                </pic:pic>
              </a:graphicData>
            </a:graphic>
          </wp:anchor>
        </w:drawing>
      </w:r>
    </w:p>
    <w:p>
      <w:pPr>
        <w:spacing w:after="0" w:line="51" w:lineRule="exact"/>
        <w:rPr>
          <w:sz w:val="20"/>
          <w:szCs w:val="20"/>
          <w:color w:val="auto"/>
        </w:rPr>
      </w:pPr>
    </w:p>
    <w:p>
      <w:pPr>
        <w:ind w:left="560" w:right="379" w:hanging="340"/>
        <w:spacing w:after="0" w:line="267" w:lineRule="auto"/>
        <w:tabs>
          <w:tab w:leader="none" w:pos="560" w:val="left"/>
        </w:tabs>
        <w:numPr>
          <w:ilvl w:val="0"/>
          <w:numId w:val="55"/>
        </w:numPr>
        <w:rPr>
          <w:rFonts w:ascii="Arial" w:cs="Arial" w:eastAsia="Arial" w:hAnsi="Arial"/>
          <w:sz w:val="15"/>
          <w:szCs w:val="15"/>
          <w:color w:val="DD924E"/>
        </w:rPr>
      </w:pPr>
      <w:r>
        <w:rPr>
          <w:rFonts w:ascii="Arial" w:cs="Arial" w:eastAsia="Arial" w:hAnsi="Arial"/>
          <w:sz w:val="15"/>
          <w:szCs w:val="15"/>
          <w:u w:val="single" w:color="auto"/>
          <w:color w:val="auto"/>
        </w:rPr>
        <w:t>Say on Pay Approval</w:t>
      </w:r>
      <w:r>
        <w:rPr>
          <w:rFonts w:ascii="Arial" w:cs="Arial" w:eastAsia="Arial" w:hAnsi="Arial"/>
          <w:sz w:val="15"/>
          <w:szCs w:val="15"/>
          <w:color w:val="auto"/>
        </w:rPr>
        <w:t>: 98.4% of our stockholders approved, on a non-binding basis (excluding broker non-votes), of our compensation of our named executive officers.</w:t>
      </w:r>
    </w:p>
    <w:p>
      <w:pPr>
        <w:spacing w:after="0" w:line="52" w:lineRule="exact"/>
        <w:rPr>
          <w:rFonts w:ascii="Arial" w:cs="Arial" w:eastAsia="Arial" w:hAnsi="Arial"/>
          <w:sz w:val="15"/>
          <w:szCs w:val="15"/>
          <w:color w:val="DD924E"/>
        </w:rPr>
      </w:pPr>
    </w:p>
    <w:p>
      <w:pPr>
        <w:ind w:left="560" w:hanging="340"/>
        <w:spacing w:after="0"/>
        <w:tabs>
          <w:tab w:leader="none" w:pos="560" w:val="left"/>
        </w:tabs>
        <w:numPr>
          <w:ilvl w:val="0"/>
          <w:numId w:val="55"/>
        </w:numPr>
        <w:rPr>
          <w:rFonts w:ascii="Arial" w:cs="Arial" w:eastAsia="Arial" w:hAnsi="Arial"/>
          <w:sz w:val="15"/>
          <w:szCs w:val="15"/>
          <w:color w:val="DD924E"/>
        </w:rPr>
      </w:pPr>
      <w:r>
        <w:rPr>
          <w:rFonts w:ascii="Arial" w:cs="Arial" w:eastAsia="Arial" w:hAnsi="Arial"/>
          <w:sz w:val="15"/>
          <w:szCs w:val="15"/>
          <w:u w:val="single" w:color="auto"/>
          <w:color w:val="auto"/>
        </w:rPr>
        <w:t>Base Salaries</w:t>
      </w:r>
      <w:r>
        <w:rPr>
          <w:rFonts w:ascii="Arial" w:cs="Arial" w:eastAsia="Arial" w:hAnsi="Arial"/>
          <w:sz w:val="15"/>
          <w:szCs w:val="15"/>
          <w:color w:val="auto"/>
        </w:rPr>
        <w:t>: We decided to hold base salaries constant in 2017.</w:t>
      </w:r>
    </w:p>
    <w:p>
      <w:pPr>
        <w:spacing w:after="0" w:line="83" w:lineRule="exact"/>
        <w:rPr>
          <w:rFonts w:ascii="Arial" w:cs="Arial" w:eastAsia="Arial" w:hAnsi="Arial"/>
          <w:sz w:val="15"/>
          <w:szCs w:val="15"/>
          <w:color w:val="DD924E"/>
        </w:rPr>
      </w:pPr>
    </w:p>
    <w:p>
      <w:pPr>
        <w:ind w:left="560" w:right="139" w:hanging="340"/>
        <w:spacing w:after="0" w:line="267" w:lineRule="auto"/>
        <w:tabs>
          <w:tab w:leader="none" w:pos="560" w:val="left"/>
        </w:tabs>
        <w:numPr>
          <w:ilvl w:val="0"/>
          <w:numId w:val="55"/>
        </w:numPr>
        <w:rPr>
          <w:rFonts w:ascii="Arial" w:cs="Arial" w:eastAsia="Arial" w:hAnsi="Arial"/>
          <w:sz w:val="15"/>
          <w:szCs w:val="15"/>
          <w:color w:val="DD924E"/>
        </w:rPr>
      </w:pPr>
      <w:r>
        <w:rPr>
          <w:rFonts w:ascii="Arial" w:cs="Arial" w:eastAsia="Arial" w:hAnsi="Arial"/>
          <w:sz w:val="15"/>
          <w:szCs w:val="15"/>
          <w:u w:val="single" w:color="auto"/>
          <w:color w:val="auto"/>
        </w:rPr>
        <w:t>Annual Bonuses</w:t>
      </w:r>
      <w:r>
        <w:rPr>
          <w:rFonts w:ascii="Arial" w:cs="Arial" w:eastAsia="Arial" w:hAnsi="Arial"/>
          <w:sz w:val="15"/>
          <w:szCs w:val="15"/>
          <w:color w:val="auto"/>
        </w:rPr>
        <w:t>: We continued to base annual bonuses on achievement of company (Adjusted EPS &amp; revenue), business unit (total revenues, new client revenues &amp; margin achievement) and personal performance goals.</w:t>
      </w:r>
    </w:p>
    <w:p>
      <w:pPr>
        <w:spacing w:after="0" w:line="52" w:lineRule="exact"/>
        <w:rPr>
          <w:rFonts w:ascii="Arial" w:cs="Arial" w:eastAsia="Arial" w:hAnsi="Arial"/>
          <w:sz w:val="15"/>
          <w:szCs w:val="15"/>
          <w:color w:val="DD924E"/>
        </w:rPr>
      </w:pPr>
    </w:p>
    <w:p>
      <w:pPr>
        <w:ind w:left="560" w:right="399" w:hanging="340"/>
        <w:spacing w:after="0" w:line="267" w:lineRule="auto"/>
        <w:tabs>
          <w:tab w:leader="none" w:pos="560" w:val="left"/>
        </w:tabs>
        <w:numPr>
          <w:ilvl w:val="0"/>
          <w:numId w:val="55"/>
        </w:numPr>
        <w:rPr>
          <w:rFonts w:ascii="Arial" w:cs="Arial" w:eastAsia="Arial" w:hAnsi="Arial"/>
          <w:sz w:val="15"/>
          <w:szCs w:val="15"/>
          <w:color w:val="DD924E"/>
        </w:rPr>
      </w:pPr>
      <w:r>
        <w:rPr>
          <w:rFonts w:ascii="Arial" w:cs="Arial" w:eastAsia="Arial" w:hAnsi="Arial"/>
          <w:sz w:val="15"/>
          <w:szCs w:val="15"/>
          <w:u w:val="single" w:color="auto"/>
          <w:color w:val="auto"/>
        </w:rPr>
        <w:t>Equity Incentives</w:t>
      </w:r>
      <w:r>
        <w:rPr>
          <w:rFonts w:ascii="Arial" w:cs="Arial" w:eastAsia="Arial" w:hAnsi="Arial"/>
          <w:sz w:val="15"/>
          <w:szCs w:val="15"/>
          <w:color w:val="auto"/>
        </w:rPr>
        <w:t>: We continued to grant a mix of time-based and performance-based restricted stock units (revenue &amp; TSR linked performance goals).</w:t>
      </w:r>
    </w:p>
    <w:p>
      <w:pPr>
        <w:spacing w:after="0" w:line="52" w:lineRule="exact"/>
        <w:rPr>
          <w:rFonts w:ascii="Arial" w:cs="Arial" w:eastAsia="Arial" w:hAnsi="Arial"/>
          <w:sz w:val="15"/>
          <w:szCs w:val="15"/>
          <w:color w:val="DD924E"/>
        </w:rPr>
      </w:pPr>
    </w:p>
    <w:p>
      <w:pPr>
        <w:ind w:left="560" w:right="139" w:hanging="340"/>
        <w:spacing w:after="0" w:line="267" w:lineRule="auto"/>
        <w:tabs>
          <w:tab w:leader="none" w:pos="560" w:val="left"/>
        </w:tabs>
        <w:numPr>
          <w:ilvl w:val="0"/>
          <w:numId w:val="55"/>
        </w:numPr>
        <w:rPr>
          <w:rFonts w:ascii="Arial" w:cs="Arial" w:eastAsia="Arial" w:hAnsi="Arial"/>
          <w:sz w:val="15"/>
          <w:szCs w:val="15"/>
          <w:color w:val="DD924E"/>
        </w:rPr>
      </w:pPr>
      <w:r>
        <w:rPr>
          <w:rFonts w:ascii="Arial" w:cs="Arial" w:eastAsia="Arial" w:hAnsi="Arial"/>
          <w:sz w:val="15"/>
          <w:szCs w:val="15"/>
          <w:u w:val="single" w:color="auto"/>
          <w:color w:val="auto"/>
        </w:rPr>
        <w:t>Vice Chairman &amp; CEO’s Continued Services</w:t>
      </w:r>
      <w:r>
        <w:rPr>
          <w:rFonts w:ascii="Arial" w:cs="Arial" w:eastAsia="Arial" w:hAnsi="Arial"/>
          <w:sz w:val="15"/>
          <w:szCs w:val="15"/>
          <w:color w:val="auto"/>
        </w:rPr>
        <w:t>: We secured the services of Mr. Kapoor for 3 additional years by entering into a new employment agreement with him.</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5" w:name="page36"/>
    <w:bookmarkEnd w:id="35"/>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Key Corporate Governance Features</w:t>
      </w:r>
    </w:p>
    <w:p>
      <w:pPr>
        <w:spacing w:after="0" w:line="119" w:lineRule="exact"/>
        <w:rPr>
          <w:sz w:val="20"/>
          <w:szCs w:val="20"/>
          <w:color w:val="auto"/>
        </w:rPr>
      </w:pPr>
    </w:p>
    <w:p>
      <w:pPr>
        <w:jc w:val="both"/>
        <w:ind w:left="160" w:right="79"/>
        <w:spacing w:after="0" w:line="239" w:lineRule="auto"/>
        <w:rPr>
          <w:sz w:val="20"/>
          <w:szCs w:val="20"/>
          <w:color w:val="auto"/>
        </w:rPr>
      </w:pPr>
      <w:r>
        <w:rPr>
          <w:rFonts w:ascii="Arial" w:cs="Arial" w:eastAsia="Arial" w:hAnsi="Arial"/>
          <w:sz w:val="17"/>
          <w:szCs w:val="17"/>
          <w:color w:val="auto"/>
        </w:rPr>
        <w:t>Our compensation programs, practices and policies are reviewed and re-evaluated periodically and are subject to change from time to time. Our executive compensation philosophy is focused on pay for performance and is designed to reflect appropriate governance practices aligned with the needs of our business. Listed below are some of the Company’s more significant practices and policies that were in effect during fiscal 2017, which were adopted to drive performance and to align our executives’ interests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58420</wp:posOffset>
            </wp:positionV>
            <wp:extent cx="5576570" cy="55930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76570" cy="559308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560" w:right="40" w:hanging="340"/>
        <w:spacing w:after="0" w:line="231" w:lineRule="auto"/>
        <w:tabs>
          <w:tab w:leader="none" w:pos="560" w:val="left"/>
        </w:tabs>
        <w:numPr>
          <w:ilvl w:val="0"/>
          <w:numId w:val="56"/>
        </w:numPr>
        <w:rPr>
          <w:rFonts w:ascii="MS PGothic" w:cs="MS PGothic" w:eastAsia="MS PGothic" w:hAnsi="MS PGothic"/>
          <w:sz w:val="24"/>
          <w:szCs w:val="24"/>
          <w:color w:val="auto"/>
        </w:rPr>
      </w:pPr>
      <w:r>
        <w:rPr>
          <w:rFonts w:ascii="Arial" w:cs="Arial" w:eastAsia="Arial" w:hAnsi="Arial"/>
          <w:sz w:val="17"/>
          <w:szCs w:val="17"/>
          <w:color w:val="auto"/>
        </w:rPr>
        <w:t>Align Our Executive Pay with Performance</w:t>
      </w:r>
    </w:p>
    <w:p>
      <w:pPr>
        <w:spacing w:after="0" w:line="200" w:lineRule="exact"/>
        <w:rPr>
          <w:rFonts w:ascii="MS PGothic" w:cs="MS PGothic" w:eastAsia="MS PGothic" w:hAnsi="MS PGothic"/>
          <w:sz w:val="24"/>
          <w:szCs w:val="24"/>
          <w:color w:val="auto"/>
        </w:rPr>
      </w:pPr>
    </w:p>
    <w:p>
      <w:pPr>
        <w:spacing w:after="0" w:line="314" w:lineRule="exact"/>
        <w:rPr>
          <w:rFonts w:ascii="MS PGothic" w:cs="MS PGothic" w:eastAsia="MS PGothic" w:hAnsi="MS PGothic"/>
          <w:sz w:val="24"/>
          <w:szCs w:val="24"/>
          <w:color w:val="auto"/>
        </w:rPr>
      </w:pPr>
    </w:p>
    <w:p>
      <w:pPr>
        <w:ind w:left="560" w:right="240" w:hanging="340"/>
        <w:spacing w:after="0" w:line="233" w:lineRule="auto"/>
        <w:tabs>
          <w:tab w:leader="none" w:pos="560" w:val="left"/>
        </w:tabs>
        <w:numPr>
          <w:ilvl w:val="0"/>
          <w:numId w:val="56"/>
        </w:numPr>
        <w:rPr>
          <w:rFonts w:ascii="MS PGothic" w:cs="MS PGothic" w:eastAsia="MS PGothic" w:hAnsi="MS PGothic"/>
          <w:sz w:val="24"/>
          <w:szCs w:val="24"/>
          <w:color w:val="auto"/>
        </w:rPr>
      </w:pPr>
      <w:r>
        <w:rPr>
          <w:rFonts w:ascii="Arial" w:cs="Arial" w:eastAsia="Arial" w:hAnsi="Arial"/>
          <w:sz w:val="17"/>
          <w:szCs w:val="17"/>
          <w:color w:val="auto"/>
        </w:rPr>
        <w:t>Use Appropriate Peer Groups When Establishing Compensation</w:t>
      </w:r>
    </w:p>
    <w:p>
      <w:pPr>
        <w:spacing w:after="0" w:line="200" w:lineRule="exact"/>
        <w:rPr>
          <w:rFonts w:ascii="MS PGothic" w:cs="MS PGothic" w:eastAsia="MS PGothic" w:hAnsi="MS PGothic"/>
          <w:sz w:val="24"/>
          <w:szCs w:val="24"/>
          <w:color w:val="auto"/>
        </w:rPr>
      </w:pPr>
    </w:p>
    <w:p>
      <w:pPr>
        <w:spacing w:after="0" w:line="200" w:lineRule="exact"/>
        <w:rPr>
          <w:rFonts w:ascii="MS PGothic" w:cs="MS PGothic" w:eastAsia="MS PGothic" w:hAnsi="MS PGothic"/>
          <w:sz w:val="24"/>
          <w:szCs w:val="24"/>
          <w:color w:val="auto"/>
        </w:rPr>
      </w:pPr>
    </w:p>
    <w:p>
      <w:pPr>
        <w:spacing w:after="0" w:line="308" w:lineRule="exact"/>
        <w:rPr>
          <w:rFonts w:ascii="MS PGothic" w:cs="MS PGothic" w:eastAsia="MS PGothic" w:hAnsi="MS PGothic"/>
          <w:sz w:val="24"/>
          <w:szCs w:val="24"/>
          <w:color w:val="auto"/>
        </w:rPr>
      </w:pPr>
    </w:p>
    <w:p>
      <w:pPr>
        <w:ind w:left="560" w:right="380" w:hanging="340"/>
        <w:spacing w:after="0" w:line="233" w:lineRule="auto"/>
        <w:tabs>
          <w:tab w:leader="none" w:pos="560" w:val="left"/>
        </w:tabs>
        <w:numPr>
          <w:ilvl w:val="0"/>
          <w:numId w:val="56"/>
        </w:numPr>
        <w:rPr>
          <w:rFonts w:ascii="MS PGothic" w:cs="MS PGothic" w:eastAsia="MS PGothic" w:hAnsi="MS PGothic"/>
          <w:sz w:val="24"/>
          <w:szCs w:val="24"/>
          <w:color w:val="auto"/>
        </w:rPr>
      </w:pPr>
      <w:r>
        <w:rPr>
          <w:rFonts w:ascii="Arial" w:cs="Arial" w:eastAsia="Arial" w:hAnsi="Arial"/>
          <w:sz w:val="17"/>
          <w:szCs w:val="17"/>
          <w:color w:val="auto"/>
        </w:rPr>
        <w:t>Ensure Equity Compensation Best Practices</w:t>
      </w:r>
    </w:p>
    <w:p>
      <w:pPr>
        <w:spacing w:after="0" w:line="200" w:lineRule="exact"/>
        <w:rPr>
          <w:rFonts w:ascii="MS PGothic" w:cs="MS PGothic" w:eastAsia="MS PGothic" w:hAnsi="MS PGothic"/>
          <w:sz w:val="24"/>
          <w:szCs w:val="24"/>
          <w:color w:val="auto"/>
        </w:rPr>
      </w:pPr>
    </w:p>
    <w:p>
      <w:pPr>
        <w:spacing w:after="0" w:line="313" w:lineRule="exact"/>
        <w:rPr>
          <w:rFonts w:ascii="MS PGothic" w:cs="MS PGothic" w:eastAsia="MS PGothic" w:hAnsi="MS PGothic"/>
          <w:sz w:val="24"/>
          <w:szCs w:val="24"/>
          <w:color w:val="auto"/>
        </w:rPr>
      </w:pPr>
    </w:p>
    <w:p>
      <w:pPr>
        <w:ind w:left="560" w:hanging="340"/>
        <w:spacing w:after="0" w:line="233" w:lineRule="auto"/>
        <w:tabs>
          <w:tab w:leader="none" w:pos="560" w:val="left"/>
        </w:tabs>
        <w:numPr>
          <w:ilvl w:val="0"/>
          <w:numId w:val="56"/>
        </w:numPr>
        <w:rPr>
          <w:rFonts w:ascii="MS PGothic" w:cs="MS PGothic" w:eastAsia="MS PGothic" w:hAnsi="MS PGothic"/>
          <w:sz w:val="24"/>
          <w:szCs w:val="24"/>
          <w:color w:val="auto"/>
        </w:rPr>
      </w:pPr>
      <w:r>
        <w:rPr>
          <w:rFonts w:ascii="Arial" w:cs="Arial" w:eastAsia="Arial" w:hAnsi="Arial"/>
          <w:sz w:val="17"/>
          <w:szCs w:val="17"/>
          <w:color w:val="auto"/>
        </w:rPr>
        <w:t>Maintain an Independent Compensation Committee</w:t>
      </w:r>
    </w:p>
    <w:p>
      <w:pPr>
        <w:spacing w:after="0" w:line="200" w:lineRule="exact"/>
        <w:rPr>
          <w:rFonts w:ascii="MS PGothic" w:cs="MS PGothic" w:eastAsia="MS PGothic" w:hAnsi="MS PGothic"/>
          <w:sz w:val="24"/>
          <w:szCs w:val="24"/>
          <w:color w:val="auto"/>
        </w:rPr>
      </w:pPr>
    </w:p>
    <w:p>
      <w:pPr>
        <w:spacing w:after="0" w:line="275" w:lineRule="exact"/>
        <w:rPr>
          <w:rFonts w:ascii="MS PGothic" w:cs="MS PGothic" w:eastAsia="MS PGothic" w:hAnsi="MS PGothic"/>
          <w:sz w:val="24"/>
          <w:szCs w:val="24"/>
          <w:color w:val="auto"/>
        </w:rPr>
      </w:pPr>
    </w:p>
    <w:p>
      <w:pPr>
        <w:ind w:left="560" w:hanging="340"/>
        <w:spacing w:after="0"/>
        <w:tabs>
          <w:tab w:leader="none" w:pos="560" w:val="left"/>
        </w:tabs>
        <w:numPr>
          <w:ilvl w:val="0"/>
          <w:numId w:val="56"/>
        </w:numPr>
        <w:rPr>
          <w:rFonts w:ascii="MS PGothic" w:cs="MS PGothic" w:eastAsia="MS PGothic" w:hAnsi="MS PGothic"/>
          <w:sz w:val="24"/>
          <w:szCs w:val="24"/>
          <w:color w:val="auto"/>
        </w:rPr>
      </w:pPr>
      <w:r>
        <w:rPr>
          <w:rFonts w:ascii="Arial" w:cs="Arial" w:eastAsia="Arial" w:hAnsi="Arial"/>
          <w:sz w:val="17"/>
          <w:szCs w:val="17"/>
          <w:color w:val="auto"/>
        </w:rPr>
        <w:t>Mitigate Risks</w:t>
      </w:r>
    </w:p>
    <w:p>
      <w:pPr>
        <w:spacing w:after="0" w:line="256" w:lineRule="exact"/>
        <w:rPr>
          <w:rFonts w:ascii="MS PGothic" w:cs="MS PGothic" w:eastAsia="MS PGothic" w:hAnsi="MS PGothic"/>
          <w:sz w:val="24"/>
          <w:szCs w:val="24"/>
          <w:color w:val="auto"/>
        </w:rPr>
      </w:pPr>
    </w:p>
    <w:p>
      <w:pPr>
        <w:ind w:left="560" w:right="300" w:hanging="340"/>
        <w:spacing w:after="0" w:line="231" w:lineRule="auto"/>
        <w:tabs>
          <w:tab w:leader="none" w:pos="560" w:val="left"/>
        </w:tabs>
        <w:numPr>
          <w:ilvl w:val="0"/>
          <w:numId w:val="56"/>
        </w:numPr>
        <w:rPr>
          <w:rFonts w:ascii="MS PGothic" w:cs="MS PGothic" w:eastAsia="MS PGothic" w:hAnsi="MS PGothic"/>
          <w:sz w:val="24"/>
          <w:szCs w:val="24"/>
          <w:color w:val="auto"/>
        </w:rPr>
      </w:pPr>
      <w:r>
        <w:rPr>
          <w:rFonts w:ascii="Arial" w:cs="Arial" w:eastAsia="Arial" w:hAnsi="Arial"/>
          <w:sz w:val="17"/>
          <w:szCs w:val="17"/>
          <w:color w:val="auto"/>
        </w:rPr>
        <w:t>Maintain a Clawback Policy</w:t>
      </w:r>
    </w:p>
    <w:p>
      <w:pPr>
        <w:spacing w:after="0" w:line="200" w:lineRule="exact"/>
        <w:rPr>
          <w:rFonts w:ascii="MS PGothic" w:cs="MS PGothic" w:eastAsia="MS PGothic" w:hAnsi="MS PGothic"/>
          <w:sz w:val="24"/>
          <w:szCs w:val="24"/>
          <w:color w:val="auto"/>
        </w:rPr>
      </w:pPr>
    </w:p>
    <w:p>
      <w:pPr>
        <w:spacing w:after="0" w:line="200" w:lineRule="exact"/>
        <w:rPr>
          <w:rFonts w:ascii="MS PGothic" w:cs="MS PGothic" w:eastAsia="MS PGothic" w:hAnsi="MS PGothic"/>
          <w:sz w:val="24"/>
          <w:szCs w:val="24"/>
          <w:color w:val="auto"/>
        </w:rPr>
      </w:pPr>
    </w:p>
    <w:p>
      <w:pPr>
        <w:spacing w:after="0" w:line="200" w:lineRule="exact"/>
        <w:rPr>
          <w:rFonts w:ascii="MS PGothic" w:cs="MS PGothic" w:eastAsia="MS PGothic" w:hAnsi="MS PGothic"/>
          <w:sz w:val="24"/>
          <w:szCs w:val="24"/>
          <w:color w:val="auto"/>
        </w:rPr>
      </w:pPr>
    </w:p>
    <w:p>
      <w:pPr>
        <w:spacing w:after="0" w:line="209" w:lineRule="exact"/>
        <w:rPr>
          <w:rFonts w:ascii="MS PGothic" w:cs="MS PGothic" w:eastAsia="MS PGothic" w:hAnsi="MS PGothic"/>
          <w:sz w:val="24"/>
          <w:szCs w:val="24"/>
          <w:color w:val="auto"/>
        </w:rPr>
      </w:pPr>
    </w:p>
    <w:p>
      <w:pPr>
        <w:ind w:left="560" w:right="20" w:hanging="340"/>
        <w:spacing w:after="0" w:line="231" w:lineRule="auto"/>
        <w:tabs>
          <w:tab w:leader="none" w:pos="560" w:val="left"/>
        </w:tabs>
        <w:numPr>
          <w:ilvl w:val="0"/>
          <w:numId w:val="56"/>
        </w:numPr>
        <w:rPr>
          <w:rFonts w:ascii="MS PGothic" w:cs="MS PGothic" w:eastAsia="MS PGothic" w:hAnsi="MS PGothic"/>
          <w:sz w:val="24"/>
          <w:szCs w:val="24"/>
          <w:color w:val="auto"/>
        </w:rPr>
      </w:pPr>
      <w:r>
        <w:rPr>
          <w:rFonts w:ascii="Arial" w:cs="Arial" w:eastAsia="Arial" w:hAnsi="Arial"/>
          <w:sz w:val="17"/>
          <w:szCs w:val="17"/>
          <w:color w:val="auto"/>
        </w:rPr>
        <w:t>Maintain a Robust Stock Ownership Policy</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FFFFFF"/>
        </w:rPr>
        <w:t>What We Do</w:t>
      </w:r>
    </w:p>
    <w:p>
      <w:pPr>
        <w:spacing w:after="0" w:line="68" w:lineRule="exact"/>
        <w:rPr>
          <w:sz w:val="20"/>
          <w:szCs w:val="20"/>
          <w:color w:val="auto"/>
        </w:rPr>
      </w:pPr>
    </w:p>
    <w:p>
      <w:pPr>
        <w:jc w:val="both"/>
        <w:ind w:right="199"/>
        <w:spacing w:after="0" w:line="247" w:lineRule="auto"/>
        <w:rPr>
          <w:sz w:val="20"/>
          <w:szCs w:val="20"/>
          <w:color w:val="auto"/>
        </w:rPr>
      </w:pPr>
      <w:r>
        <w:rPr>
          <w:rFonts w:ascii="Arial" w:cs="Arial" w:eastAsia="Arial" w:hAnsi="Arial"/>
          <w:sz w:val="17"/>
          <w:szCs w:val="17"/>
          <w:color w:val="auto"/>
        </w:rPr>
        <w:t>Link a significant portion of each NEO’s total compensation to the achievement of specific performance goals, as described below.</w:t>
      </w:r>
    </w:p>
    <w:p>
      <w:pPr>
        <w:spacing w:after="0" w:line="59" w:lineRule="exact"/>
        <w:rPr>
          <w:sz w:val="20"/>
          <w:szCs w:val="20"/>
          <w:color w:val="auto"/>
        </w:rPr>
      </w:pPr>
    </w:p>
    <w:p>
      <w:pPr>
        <w:jc w:val="both"/>
        <w:ind w:right="199"/>
        <w:spacing w:after="0" w:line="247" w:lineRule="auto"/>
        <w:rPr>
          <w:sz w:val="20"/>
          <w:szCs w:val="20"/>
          <w:color w:val="auto"/>
        </w:rPr>
      </w:pPr>
      <w:r>
        <w:rPr>
          <w:rFonts w:ascii="Arial" w:cs="Arial" w:eastAsia="Arial" w:hAnsi="Arial"/>
          <w:sz w:val="17"/>
          <w:szCs w:val="17"/>
          <w:color w:val="auto"/>
        </w:rPr>
        <w:t>Variable compensation is “at-risk” and rewards performance and contributions to both short- and long-term financial performance.</w:t>
      </w:r>
    </w:p>
    <w:p>
      <w:pPr>
        <w:spacing w:after="0" w:line="72" w:lineRule="exact"/>
        <w:rPr>
          <w:sz w:val="20"/>
          <w:szCs w:val="20"/>
          <w:color w:val="auto"/>
        </w:rPr>
      </w:pPr>
    </w:p>
    <w:p>
      <w:pPr>
        <w:jc w:val="both"/>
        <w:ind w:right="199"/>
        <w:spacing w:after="0" w:line="239" w:lineRule="auto"/>
        <w:rPr>
          <w:sz w:val="20"/>
          <w:szCs w:val="20"/>
          <w:color w:val="auto"/>
        </w:rPr>
      </w:pPr>
      <w:r>
        <w:rPr>
          <w:rFonts w:ascii="Arial" w:cs="Arial" w:eastAsia="Arial" w:hAnsi="Arial"/>
          <w:sz w:val="17"/>
          <w:szCs w:val="17"/>
          <w:color w:val="auto"/>
        </w:rPr>
        <w:t>Established a peer group to help us review market practices and design a competitive compensation program. The criteria for peer group selection include similar market capitalization, scope of operations, potential mobility of talent and industry alignment.</w:t>
      </w:r>
    </w:p>
    <w:p>
      <w:pPr>
        <w:spacing w:after="0" w:line="68" w:lineRule="exact"/>
        <w:rPr>
          <w:sz w:val="20"/>
          <w:szCs w:val="20"/>
          <w:color w:val="auto"/>
        </w:rPr>
      </w:pPr>
    </w:p>
    <w:p>
      <w:pPr>
        <w:jc w:val="both"/>
        <w:ind w:right="199"/>
        <w:spacing w:after="0" w:line="241" w:lineRule="auto"/>
        <w:rPr>
          <w:sz w:val="20"/>
          <w:szCs w:val="20"/>
          <w:color w:val="auto"/>
        </w:rPr>
      </w:pPr>
      <w:r>
        <w:rPr>
          <w:rFonts w:ascii="Arial" w:cs="Arial" w:eastAsia="Arial" w:hAnsi="Arial"/>
          <w:sz w:val="17"/>
          <w:szCs w:val="17"/>
          <w:color w:val="auto"/>
        </w:rPr>
        <w:t>Set compensation of our executive officers at levels we believe are appropriate relative to the compensation paid to similarly situated officers of our peers, giving consideration to market and other factors.</w:t>
      </w:r>
    </w:p>
    <w:p>
      <w:pPr>
        <w:spacing w:after="0" w:line="78" w:lineRule="exact"/>
        <w:rPr>
          <w:sz w:val="20"/>
          <w:szCs w:val="20"/>
          <w:color w:val="auto"/>
        </w:rPr>
      </w:pPr>
    </w:p>
    <w:p>
      <w:pPr>
        <w:jc w:val="both"/>
        <w:ind w:right="199"/>
        <w:spacing w:after="0" w:line="241" w:lineRule="auto"/>
        <w:rPr>
          <w:sz w:val="20"/>
          <w:szCs w:val="20"/>
          <w:color w:val="auto"/>
        </w:rPr>
      </w:pPr>
      <w:r>
        <w:rPr>
          <w:rFonts w:ascii="Arial" w:cs="Arial" w:eastAsia="Arial" w:hAnsi="Arial"/>
          <w:sz w:val="17"/>
          <w:szCs w:val="17"/>
          <w:color w:val="auto"/>
        </w:rPr>
        <w:t>Design equity incentives to encourage our executives to maintain a long-term view of stockholder value creation, to encourage retention &amp; to ensure a portion of the award is based on our performance.</w:t>
      </w:r>
    </w:p>
    <w:p>
      <w:pPr>
        <w:spacing w:after="0" w:line="65" w:lineRule="exact"/>
        <w:rPr>
          <w:sz w:val="20"/>
          <w:szCs w:val="20"/>
          <w:color w:val="auto"/>
        </w:rPr>
      </w:pPr>
    </w:p>
    <w:p>
      <w:pPr>
        <w:jc w:val="both"/>
        <w:ind w:right="199"/>
        <w:spacing w:after="0" w:line="247" w:lineRule="auto"/>
        <w:rPr>
          <w:sz w:val="20"/>
          <w:szCs w:val="20"/>
          <w:color w:val="auto"/>
        </w:rPr>
      </w:pPr>
      <w:r>
        <w:rPr>
          <w:rFonts w:ascii="Arial" w:cs="Arial" w:eastAsia="Arial" w:hAnsi="Arial"/>
          <w:sz w:val="17"/>
          <w:szCs w:val="17"/>
          <w:color w:val="auto"/>
        </w:rPr>
        <w:t>Hold dividends accrued under our equity awards until the recipient vests in the underlying shares or units.</w:t>
      </w:r>
    </w:p>
    <w:p>
      <w:pPr>
        <w:spacing w:after="0" w:line="72" w:lineRule="exact"/>
        <w:rPr>
          <w:sz w:val="20"/>
          <w:szCs w:val="20"/>
          <w:color w:val="auto"/>
        </w:rPr>
      </w:pPr>
    </w:p>
    <w:p>
      <w:pPr>
        <w:jc w:val="both"/>
        <w:ind w:right="199"/>
        <w:spacing w:after="0" w:line="247" w:lineRule="auto"/>
        <w:rPr>
          <w:sz w:val="20"/>
          <w:szCs w:val="20"/>
          <w:color w:val="auto"/>
        </w:rPr>
      </w:pPr>
      <w:r>
        <w:rPr>
          <w:rFonts w:ascii="Arial" w:cs="Arial" w:eastAsia="Arial" w:hAnsi="Arial"/>
          <w:sz w:val="17"/>
          <w:szCs w:val="17"/>
          <w:color w:val="auto"/>
        </w:rPr>
        <w:t>Compensation decisions for our NEOs are approved by an independent Compensation Committee.</w:t>
      </w:r>
    </w:p>
    <w:p>
      <w:pPr>
        <w:spacing w:after="0" w:line="59" w:lineRule="exact"/>
        <w:rPr>
          <w:sz w:val="20"/>
          <w:szCs w:val="20"/>
          <w:color w:val="auto"/>
        </w:rPr>
      </w:pPr>
    </w:p>
    <w:p>
      <w:pPr>
        <w:jc w:val="both"/>
        <w:ind w:right="199"/>
        <w:spacing w:after="0" w:line="241" w:lineRule="auto"/>
        <w:rPr>
          <w:sz w:val="20"/>
          <w:szCs w:val="20"/>
          <w:color w:val="auto"/>
        </w:rPr>
      </w:pPr>
      <w:r>
        <w:rPr>
          <w:rFonts w:ascii="Arial" w:cs="Arial" w:eastAsia="Arial" w:hAnsi="Arial"/>
          <w:sz w:val="17"/>
          <w:szCs w:val="17"/>
          <w:color w:val="auto"/>
        </w:rPr>
        <w:t>Compensation Committee is advised by an independent consultant who reports directly to the Compensation Committee &amp; provides no other services to the Company or management.</w:t>
      </w:r>
    </w:p>
    <w:p>
      <w:pPr>
        <w:spacing w:after="0" w:line="78" w:lineRule="exact"/>
        <w:rPr>
          <w:sz w:val="20"/>
          <w:szCs w:val="20"/>
          <w:color w:val="auto"/>
        </w:rPr>
      </w:pPr>
    </w:p>
    <w:p>
      <w:pPr>
        <w:jc w:val="both"/>
        <w:ind w:right="199"/>
        <w:spacing w:after="0" w:line="247" w:lineRule="auto"/>
        <w:rPr>
          <w:sz w:val="20"/>
          <w:szCs w:val="20"/>
          <w:color w:val="auto"/>
        </w:rPr>
      </w:pPr>
      <w:r>
        <w:rPr>
          <w:rFonts w:ascii="Arial" w:cs="Arial" w:eastAsia="Arial" w:hAnsi="Arial"/>
          <w:sz w:val="17"/>
          <w:szCs w:val="17"/>
          <w:color w:val="auto"/>
        </w:rPr>
        <w:t>Mix and design of our compensation programs serves to mitigate operational, financial, legal, regulatory, strategic &amp; reputational risks.</w:t>
      </w:r>
    </w:p>
    <w:p>
      <w:pPr>
        <w:spacing w:after="0" w:line="59" w:lineRule="exact"/>
        <w:rPr>
          <w:sz w:val="20"/>
          <w:szCs w:val="20"/>
          <w:color w:val="auto"/>
        </w:rPr>
      </w:pPr>
    </w:p>
    <w:p>
      <w:pPr>
        <w:jc w:val="both"/>
        <w:ind w:right="199"/>
        <w:spacing w:after="0" w:line="238" w:lineRule="auto"/>
        <w:rPr>
          <w:sz w:val="20"/>
          <w:szCs w:val="20"/>
          <w:color w:val="auto"/>
        </w:rPr>
      </w:pPr>
      <w:r>
        <w:rPr>
          <w:rFonts w:ascii="Arial" w:cs="Arial" w:eastAsia="Arial" w:hAnsi="Arial"/>
          <w:sz w:val="17"/>
          <w:szCs w:val="17"/>
          <w:color w:val="auto"/>
        </w:rPr>
        <w:t>Maintain a compensation recovery policy that allows the Company to recover compensation (including both cash and/or equity awards) previously paid to one or more officers in the event of a financial restatement caused by noncompliance with reporting requirements that impacts the applicable performance metric if, in the opinion of our Board or Compensation Committee, the identified executive’s misconduct was a material factor causing the restatement.</w:t>
      </w:r>
    </w:p>
    <w:p>
      <w:pPr>
        <w:spacing w:after="0" w:line="68" w:lineRule="exact"/>
        <w:rPr>
          <w:sz w:val="20"/>
          <w:szCs w:val="20"/>
          <w:color w:val="auto"/>
        </w:rPr>
      </w:pPr>
    </w:p>
    <w:p>
      <w:pPr>
        <w:jc w:val="both"/>
        <w:ind w:right="199"/>
        <w:spacing w:after="0" w:line="239" w:lineRule="auto"/>
        <w:rPr>
          <w:sz w:val="20"/>
          <w:szCs w:val="20"/>
          <w:color w:val="auto"/>
        </w:rPr>
      </w:pPr>
      <w:r>
        <w:rPr>
          <w:rFonts w:ascii="Arial" w:cs="Arial" w:eastAsia="Arial" w:hAnsi="Arial"/>
          <w:sz w:val="17"/>
          <w:szCs w:val="17"/>
          <w:color w:val="auto"/>
        </w:rPr>
        <w:t>Maintain a stock ownership policy that requires our CEO to maintain stock ownership equal to at least six times his base salary and that requires the other members of our executive committee to maintain stock ownership of at least two times their respective base salaries. Covered executives have five years from Dec. 2014 (or, if later, their hire date) to attain the required stock ownership levels.</w:t>
      </w:r>
    </w:p>
    <w:p>
      <w:pPr>
        <w:spacing w:after="0" w:line="65" w:lineRule="exact"/>
        <w:rPr>
          <w:sz w:val="20"/>
          <w:szCs w:val="20"/>
          <w:color w:val="auto"/>
        </w:rPr>
      </w:pPr>
    </w:p>
    <w:p>
      <w:pPr>
        <w:jc w:val="both"/>
        <w:ind w:right="199"/>
        <w:spacing w:after="0" w:line="241" w:lineRule="auto"/>
        <w:rPr>
          <w:sz w:val="20"/>
          <w:szCs w:val="20"/>
          <w:color w:val="auto"/>
        </w:rPr>
      </w:pPr>
      <w:r>
        <w:rPr>
          <w:rFonts w:ascii="Arial" w:cs="Arial" w:eastAsia="Arial" w:hAnsi="Arial"/>
          <w:sz w:val="17"/>
          <w:szCs w:val="17"/>
          <w:color w:val="auto"/>
        </w:rPr>
        <w:t>We maintain a similar stock ownership policy for our non-employee directors that requires directors to maintain stock ownership of at least five times their respective annual retainers.</w:t>
      </w:r>
    </w:p>
    <w:p>
      <w:pPr>
        <w:spacing w:after="0" w:line="78" w:lineRule="exact"/>
        <w:rPr>
          <w:sz w:val="20"/>
          <w:szCs w:val="20"/>
          <w:color w:val="auto"/>
        </w:rPr>
      </w:pPr>
    </w:p>
    <w:p>
      <w:pPr>
        <w:jc w:val="both"/>
        <w:ind w:right="199"/>
        <w:spacing w:after="0" w:line="247" w:lineRule="auto"/>
        <w:rPr>
          <w:sz w:val="20"/>
          <w:szCs w:val="20"/>
          <w:color w:val="auto"/>
        </w:rPr>
      </w:pPr>
      <w:r>
        <w:rPr>
          <w:rFonts w:ascii="Arial" w:cs="Arial" w:eastAsia="Arial" w:hAnsi="Arial"/>
          <w:sz w:val="17"/>
          <w:szCs w:val="17"/>
          <w:color w:val="auto"/>
        </w:rPr>
        <w:t>As of December 31, 2017, all covered executives and directors were in compliance with the stock ownership policy.</w:t>
      </w:r>
    </w:p>
    <w:p>
      <w:pPr>
        <w:spacing w:after="0" w:line="200" w:lineRule="exact"/>
        <w:rPr>
          <w:sz w:val="20"/>
          <w:szCs w:val="20"/>
          <w:color w:val="auto"/>
        </w:rPr>
      </w:pPr>
    </w:p>
    <w:p>
      <w:pPr>
        <w:sectPr>
          <w:pgSz w:w="11900" w:h="16838" w:orient="portrait"/>
          <w:cols w:equalWidth="0" w:num="2">
            <w:col w:w="2440" w:space="160"/>
            <w:col w:w="64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6" w:name="page37"/>
    <w:bookmarkEnd w:id="36"/>
    <w:p>
      <w:pPr>
        <w:spacing w:after="0" w:line="193" w:lineRule="auto"/>
        <w:framePr w:w="2160" w:h="232" w:wrap="auto" w:vAnchor="page" w:hAnchor="page" w:x="2240" w:y="11177"/>
        <w:rPr>
          <w:rFonts w:ascii="Arial" w:cs="Arial" w:eastAsia="Arial" w:hAnsi="Arial"/>
          <w:sz w:val="25"/>
          <w:szCs w:val="25"/>
          <w:b w:val="1"/>
          <w:bCs w:val="1"/>
          <w:color w:val="518DC8"/>
        </w:rPr>
      </w:pPr>
      <w:r>
        <w:rPr>
          <w:rFonts w:ascii="Arial" w:cs="Arial" w:eastAsia="Arial" w:hAnsi="Arial"/>
          <w:sz w:val="25"/>
          <w:szCs w:val="25"/>
          <w:b w:val="1"/>
          <w:bCs w:val="1"/>
          <w:color w:val="518DC8"/>
        </w:rPr>
        <w:t>and performance</w:t>
      </w:r>
    </w:p>
    <w:p>
      <w:pPr>
        <w:spacing w:after="0" w:line="192" w:lineRule="auto"/>
        <w:framePr w:w="3780" w:h="231" w:wrap="auto" w:vAnchor="page" w:hAnchor="page" w:x="2240" w:y="10883"/>
        <w:rPr>
          <w:rFonts w:ascii="Arial" w:cs="Arial" w:eastAsia="Arial" w:hAnsi="Arial"/>
          <w:sz w:val="17"/>
          <w:szCs w:val="17"/>
          <w:b w:val="1"/>
          <w:bCs w:val="1"/>
          <w:color w:val="518DC8"/>
        </w:rPr>
      </w:pPr>
      <w:r>
        <w:rPr>
          <w:rFonts w:ascii="Arial" w:cs="Arial" w:eastAsia="Arial" w:hAnsi="Arial"/>
          <w:sz w:val="17"/>
          <w:szCs w:val="17"/>
          <w:b w:val="1"/>
          <w:bCs w:val="1"/>
          <w:color w:val="518DC8"/>
        </w:rPr>
        <w:t xml:space="preserve">Compensation based on </w:t>
      </w:r>
      <w:r>
        <w:rPr>
          <w:rFonts w:ascii="Arial" w:cs="Arial" w:eastAsia="Arial" w:hAnsi="Arial"/>
          <w:sz w:val="25"/>
          <w:szCs w:val="25"/>
          <w:b w:val="1"/>
          <w:bCs w:val="1"/>
          <w:color w:val="518DC8"/>
        </w:rPr>
        <w:t>responsibility</w:t>
      </w:r>
    </w:p>
    <w:p>
      <w:pPr>
        <w:spacing w:after="0" w:line="281" w:lineRule="exact"/>
        <w:rPr>
          <w:rFonts w:ascii="Arial" w:cs="Arial" w:eastAsia="Arial" w:hAnsi="Arial"/>
          <w:sz w:val="17"/>
          <w:szCs w:val="17"/>
          <w:b w:val="1"/>
          <w:bCs w:val="1"/>
          <w:color w:val="518DC8"/>
        </w:rPr>
      </w:pPr>
    </w:p>
    <w:p>
      <w:pPr>
        <w:ind w:left="220"/>
        <w:spacing w:after="0" w:line="201" w:lineRule="exact"/>
        <w:rPr>
          <w:sz w:val="20"/>
          <w:szCs w:val="20"/>
          <w:color w:val="auto"/>
        </w:rPr>
      </w:pPr>
      <w:r>
        <w:rPr>
          <w:rFonts w:ascii="MS PGothic" w:cs="MS PGothic" w:eastAsia="MS PGothic" w:hAnsi="MS PGothic"/>
          <w:sz w:val="20"/>
          <w:szCs w:val="20"/>
          <w:color w:val="auto"/>
        </w:rPr>
        <w:t>✗</w:t>
      </w:r>
    </w:p>
    <w:p>
      <w:pPr>
        <w:spacing w:after="0" w:line="176" w:lineRule="exact"/>
        <w:rPr>
          <w:rFonts w:ascii="Arial" w:cs="Arial" w:eastAsia="Arial" w:hAnsi="Arial"/>
          <w:sz w:val="17"/>
          <w:szCs w:val="17"/>
          <w:b w:val="1"/>
          <w:bCs w:val="1"/>
          <w:color w:val="518DC8"/>
        </w:rPr>
      </w:pPr>
    </w:p>
    <w:p>
      <w:pPr>
        <w:ind w:left="220"/>
        <w:spacing w:after="0" w:line="201" w:lineRule="exact"/>
        <w:rPr>
          <w:sz w:val="20"/>
          <w:szCs w:val="20"/>
          <w:color w:val="auto"/>
        </w:rPr>
      </w:pPr>
      <w:r>
        <w:rPr>
          <w:rFonts w:ascii="MS PGothic" w:cs="MS PGothic" w:eastAsia="MS PGothic" w:hAnsi="MS PGothic"/>
          <w:sz w:val="20"/>
          <w:szCs w:val="20"/>
          <w:color w:val="auto"/>
        </w:rPr>
        <w:t>✗</w:t>
      </w:r>
    </w:p>
    <w:p>
      <w:pPr>
        <w:spacing w:after="0" w:line="334" w:lineRule="exact"/>
        <w:rPr>
          <w:rFonts w:ascii="Arial" w:cs="Arial" w:eastAsia="Arial" w:hAnsi="Arial"/>
          <w:sz w:val="17"/>
          <w:szCs w:val="17"/>
          <w:b w:val="1"/>
          <w:bCs w:val="1"/>
          <w:color w:val="518DC8"/>
        </w:rPr>
      </w:pPr>
    </w:p>
    <w:p>
      <w:pPr>
        <w:ind w:left="220"/>
        <w:spacing w:after="0" w:line="201" w:lineRule="exact"/>
        <w:rPr>
          <w:sz w:val="20"/>
          <w:szCs w:val="20"/>
          <w:color w:val="auto"/>
        </w:rPr>
      </w:pPr>
      <w:r>
        <w:rPr>
          <w:rFonts w:ascii="MS PGothic" w:cs="MS PGothic" w:eastAsia="MS PGothic" w:hAnsi="MS PGothic"/>
          <w:sz w:val="20"/>
          <w:szCs w:val="20"/>
          <w:color w:val="auto"/>
        </w:rPr>
        <w:t>✗</w:t>
      </w: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320" w:lineRule="exact"/>
        <w:rPr>
          <w:rFonts w:ascii="Arial" w:cs="Arial" w:eastAsia="Arial" w:hAnsi="Arial"/>
          <w:sz w:val="17"/>
          <w:szCs w:val="17"/>
          <w:b w:val="1"/>
          <w:bCs w:val="1"/>
          <w:color w:val="518DC8"/>
        </w:rPr>
      </w:pPr>
    </w:p>
    <w:p>
      <w:pPr>
        <w:ind w:left="220"/>
        <w:spacing w:after="0" w:line="201" w:lineRule="exact"/>
        <w:rPr>
          <w:sz w:val="20"/>
          <w:szCs w:val="20"/>
          <w:color w:val="auto"/>
        </w:rPr>
      </w:pPr>
      <w:r>
        <w:rPr>
          <w:rFonts w:ascii="MS PGothic" w:cs="MS PGothic" w:eastAsia="MS PGothic" w:hAnsi="MS PGothic"/>
          <w:sz w:val="20"/>
          <w:szCs w:val="20"/>
          <w:color w:val="auto"/>
        </w:rPr>
        <w:t>✗</w:t>
      </w: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238" w:lineRule="exact"/>
        <w:rPr>
          <w:rFonts w:ascii="Arial" w:cs="Arial" w:eastAsia="Arial" w:hAnsi="Arial"/>
          <w:sz w:val="17"/>
          <w:szCs w:val="17"/>
          <w:b w:val="1"/>
          <w:bCs w:val="1"/>
          <w:color w:val="518DC8"/>
        </w:rPr>
      </w:pPr>
    </w:p>
    <w:p>
      <w:pPr>
        <w:ind w:left="220"/>
        <w:spacing w:after="0" w:line="201" w:lineRule="exact"/>
        <w:rPr>
          <w:sz w:val="20"/>
          <w:szCs w:val="20"/>
          <w:color w:val="auto"/>
        </w:rPr>
      </w:pPr>
      <w:r>
        <w:rPr>
          <w:rFonts w:ascii="MS PGothic" w:cs="MS PGothic" w:eastAsia="MS PGothic" w:hAnsi="MS PGothic"/>
          <w:sz w:val="20"/>
          <w:szCs w:val="20"/>
          <w:color w:val="auto"/>
        </w:rPr>
        <w:t>✗</w:t>
      </w:r>
    </w:p>
    <w:p>
      <w:pPr>
        <w:spacing w:after="0" w:line="20" w:lineRule="exact"/>
        <w:rPr>
          <w:rFonts w:ascii="Arial" w:cs="Arial" w:eastAsia="Arial" w:hAnsi="Arial"/>
          <w:sz w:val="17"/>
          <w:szCs w:val="17"/>
          <w:b w:val="1"/>
          <w:bCs w:val="1"/>
          <w:color w:val="518DC8"/>
        </w:rPr>
      </w:pPr>
      <w:r>
        <w:rPr>
          <w:rFonts w:ascii="Arial" w:cs="Arial" w:eastAsia="Arial" w:hAnsi="Arial"/>
          <w:sz w:val="17"/>
          <w:szCs w:val="17"/>
          <w:b w:val="1"/>
          <w:bCs w:val="1"/>
          <w:color w:val="518DC8"/>
        </w:rPr>
        <w:br w:type="column"/>
      </w:r>
    </w:p>
    <w:p>
      <w:pPr>
        <w:spacing w:after="0" w:line="384" w:lineRule="exact"/>
        <w:rPr>
          <w:rFonts w:ascii="Arial" w:cs="Arial" w:eastAsia="Arial" w:hAnsi="Arial"/>
          <w:sz w:val="17"/>
          <w:szCs w:val="17"/>
          <w:b w:val="1"/>
          <w:bCs w:val="1"/>
          <w:color w:val="518DC8"/>
        </w:rPr>
      </w:pPr>
    </w:p>
    <w:p>
      <w:pPr>
        <w:spacing w:after="0"/>
        <w:rPr>
          <w:sz w:val="20"/>
          <w:szCs w:val="20"/>
          <w:color w:val="auto"/>
        </w:rPr>
      </w:pPr>
      <w:r>
        <w:rPr>
          <w:rFonts w:ascii="Arial" w:cs="Arial" w:eastAsia="Arial" w:hAnsi="Arial"/>
          <w:sz w:val="17"/>
          <w:szCs w:val="17"/>
          <w:color w:val="auto"/>
        </w:rPr>
        <w:t>No Option Repricing</w:t>
      </w:r>
    </w:p>
    <w:p>
      <w:pPr>
        <w:spacing w:after="0" w:line="163" w:lineRule="exact"/>
        <w:rPr>
          <w:rFonts w:ascii="Arial" w:cs="Arial" w:eastAsia="Arial" w:hAnsi="Arial"/>
          <w:sz w:val="17"/>
          <w:szCs w:val="17"/>
          <w:b w:val="1"/>
          <w:bCs w:val="1"/>
          <w:color w:val="518DC8"/>
        </w:rPr>
      </w:pPr>
    </w:p>
    <w:p>
      <w:pPr>
        <w:ind w:right="80"/>
        <w:spacing w:after="0" w:line="278" w:lineRule="auto"/>
        <w:rPr>
          <w:sz w:val="20"/>
          <w:szCs w:val="20"/>
          <w:color w:val="auto"/>
        </w:rPr>
      </w:pPr>
      <w:r>
        <w:rPr>
          <w:rFonts w:ascii="Arial" w:cs="Arial" w:eastAsia="Arial" w:hAnsi="Arial"/>
          <w:sz w:val="17"/>
          <w:szCs w:val="17"/>
          <w:color w:val="auto"/>
        </w:rPr>
        <w:t>No Excessive Overhang or Dilution</w:t>
      </w:r>
    </w:p>
    <w:p>
      <w:pPr>
        <w:spacing w:after="0" w:line="98" w:lineRule="exact"/>
        <w:rPr>
          <w:rFonts w:ascii="Arial" w:cs="Arial" w:eastAsia="Arial" w:hAnsi="Arial"/>
          <w:sz w:val="17"/>
          <w:szCs w:val="17"/>
          <w:b w:val="1"/>
          <w:bCs w:val="1"/>
          <w:color w:val="518DC8"/>
        </w:rPr>
      </w:pPr>
    </w:p>
    <w:p>
      <w:pPr>
        <w:jc w:val="center"/>
        <w:spacing w:after="0"/>
        <w:rPr>
          <w:sz w:val="20"/>
          <w:szCs w:val="20"/>
          <w:color w:val="auto"/>
        </w:rPr>
      </w:pPr>
      <w:r>
        <w:rPr>
          <w:rFonts w:ascii="Arial" w:cs="Arial" w:eastAsia="Arial" w:hAnsi="Arial"/>
          <w:sz w:val="17"/>
          <w:szCs w:val="17"/>
          <w:color w:val="auto"/>
        </w:rPr>
        <w:t>No Excessive Perquisites</w:t>
      </w: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325" w:lineRule="exact"/>
        <w:rPr>
          <w:rFonts w:ascii="Arial" w:cs="Arial" w:eastAsia="Arial" w:hAnsi="Arial"/>
          <w:sz w:val="17"/>
          <w:szCs w:val="17"/>
          <w:b w:val="1"/>
          <w:bCs w:val="1"/>
          <w:color w:val="518DC8"/>
        </w:rPr>
      </w:pPr>
    </w:p>
    <w:p>
      <w:pPr>
        <w:spacing w:after="0"/>
        <w:rPr>
          <w:sz w:val="20"/>
          <w:szCs w:val="20"/>
          <w:color w:val="auto"/>
        </w:rPr>
      </w:pPr>
      <w:r>
        <w:rPr>
          <w:rFonts w:ascii="Arial" w:cs="Arial" w:eastAsia="Arial" w:hAnsi="Arial"/>
          <w:sz w:val="17"/>
          <w:szCs w:val="17"/>
          <w:color w:val="auto"/>
        </w:rPr>
        <w:t>No Tax Gross-Ups</w:t>
      </w: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243" w:lineRule="exact"/>
        <w:rPr>
          <w:rFonts w:ascii="Arial" w:cs="Arial" w:eastAsia="Arial" w:hAnsi="Arial"/>
          <w:sz w:val="17"/>
          <w:szCs w:val="17"/>
          <w:b w:val="1"/>
          <w:bCs w:val="1"/>
          <w:color w:val="518DC8"/>
        </w:rPr>
      </w:pPr>
    </w:p>
    <w:p>
      <w:pPr>
        <w:spacing w:after="0"/>
        <w:rPr>
          <w:sz w:val="20"/>
          <w:szCs w:val="20"/>
          <w:color w:val="auto"/>
        </w:rPr>
      </w:pPr>
      <w:r>
        <w:rPr>
          <w:rFonts w:ascii="Arial" w:cs="Arial" w:eastAsia="Arial" w:hAnsi="Arial"/>
          <w:sz w:val="17"/>
          <w:szCs w:val="17"/>
          <w:color w:val="auto"/>
        </w:rPr>
        <w:t>No Hedging or Pledging</w:t>
      </w:r>
    </w:p>
    <w:p>
      <w:pPr>
        <w:spacing w:after="0" w:line="20" w:lineRule="exact"/>
        <w:rPr>
          <w:rFonts w:ascii="Arial" w:cs="Arial" w:eastAsia="Arial" w:hAnsi="Arial"/>
          <w:sz w:val="17"/>
          <w:szCs w:val="17"/>
          <w:b w:val="1"/>
          <w:bCs w:val="1"/>
          <w:color w:val="518DC8"/>
        </w:rPr>
      </w:pPr>
      <w:r>
        <w:rPr>
          <w:rFonts w:ascii="Arial" w:cs="Arial" w:eastAsia="Arial" w:hAnsi="Arial"/>
          <w:sz w:val="17"/>
          <w:szCs w:val="17"/>
          <w:b w:val="1"/>
          <w:bCs w:val="1"/>
          <w:color w:val="518DC8"/>
        </w:rPr>
        <w:br w:type="column"/>
      </w:r>
    </w:p>
    <w:p>
      <w:pPr>
        <w:spacing w:after="0" w:line="57" w:lineRule="exact"/>
        <w:rPr>
          <w:rFonts w:ascii="Arial" w:cs="Arial" w:eastAsia="Arial" w:hAnsi="Arial"/>
          <w:sz w:val="17"/>
          <w:szCs w:val="17"/>
          <w:b w:val="1"/>
          <w:bCs w:val="1"/>
          <w:color w:val="518DC8"/>
        </w:rPr>
      </w:pPr>
    </w:p>
    <w:p>
      <w:pPr>
        <w:ind w:left="1200"/>
        <w:spacing w:after="0"/>
        <w:rPr>
          <w:sz w:val="20"/>
          <w:szCs w:val="20"/>
          <w:color w:val="auto"/>
        </w:rPr>
      </w:pPr>
      <w:r>
        <w:rPr>
          <w:rFonts w:ascii="Arial" w:cs="Arial" w:eastAsia="Arial" w:hAnsi="Arial"/>
          <w:sz w:val="17"/>
          <w:szCs w:val="17"/>
          <w:b w:val="1"/>
          <w:bCs w:val="1"/>
          <w:color w:val="FFFFFF"/>
        </w:rPr>
        <w:t>What We Don’t Do</w:t>
      </w:r>
    </w:p>
    <w:p>
      <w:pPr>
        <w:spacing w:after="0" w:line="20" w:lineRule="exact"/>
        <w:rPr>
          <w:rFonts w:ascii="Arial" w:cs="Arial" w:eastAsia="Arial" w:hAnsi="Arial"/>
          <w:sz w:val="17"/>
          <w:szCs w:val="17"/>
          <w:b w:val="1"/>
          <w:bCs w:val="1"/>
          <w:color w:val="518DC8"/>
        </w:rPr>
      </w:pPr>
      <w:r>
        <w:rPr>
          <w:rFonts w:ascii="Arial" w:cs="Arial" w:eastAsia="Arial" w:hAnsi="Arial"/>
          <w:sz w:val="17"/>
          <w:szCs w:val="17"/>
          <w:b w:val="1"/>
          <w:bCs w:val="1"/>
          <w:color w:val="518DC8"/>
        </w:rPr>
        <w:drawing>
          <wp:anchor simplePos="0" relativeHeight="251657728" behindDoc="1" locked="0" layoutInCell="0" allowOverlap="1">
            <wp:simplePos x="0" y="0"/>
            <wp:positionH relativeFrom="column">
              <wp:posOffset>-1560195</wp:posOffset>
            </wp:positionH>
            <wp:positionV relativeFrom="paragraph">
              <wp:posOffset>-134620</wp:posOffset>
            </wp:positionV>
            <wp:extent cx="5593080" cy="3191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93080" cy="3191510"/>
                    </a:xfrm>
                    <a:prstGeom prst="rect">
                      <a:avLst/>
                    </a:prstGeom>
                    <a:noFill/>
                  </pic:spPr>
                </pic:pic>
              </a:graphicData>
            </a:graphic>
          </wp:anchor>
        </w:drawing>
      </w:r>
    </w:p>
    <w:p>
      <w:pPr>
        <w:spacing w:after="0" w:line="48" w:lineRule="exact"/>
        <w:rPr>
          <w:rFonts w:ascii="Arial" w:cs="Arial" w:eastAsia="Arial" w:hAnsi="Arial"/>
          <w:sz w:val="17"/>
          <w:szCs w:val="17"/>
          <w:b w:val="1"/>
          <w:bCs w:val="1"/>
          <w:color w:val="518DC8"/>
        </w:rPr>
      </w:pPr>
    </w:p>
    <w:p>
      <w:pPr>
        <w:spacing w:after="0"/>
        <w:rPr>
          <w:sz w:val="20"/>
          <w:szCs w:val="20"/>
          <w:color w:val="auto"/>
        </w:rPr>
      </w:pPr>
      <w:r>
        <w:rPr>
          <w:rFonts w:ascii="Arial" w:cs="Arial" w:eastAsia="Arial" w:hAnsi="Arial"/>
          <w:sz w:val="17"/>
          <w:szCs w:val="17"/>
          <w:color w:val="auto"/>
        </w:rPr>
        <w:t>We prohibit option repricing without stockholder approval.</w:t>
      </w:r>
    </w:p>
    <w:p>
      <w:pPr>
        <w:spacing w:after="0" w:line="163" w:lineRule="exact"/>
        <w:rPr>
          <w:rFonts w:ascii="Arial" w:cs="Arial" w:eastAsia="Arial" w:hAnsi="Arial"/>
          <w:sz w:val="17"/>
          <w:szCs w:val="17"/>
          <w:b w:val="1"/>
          <w:bCs w:val="1"/>
          <w:color w:val="518DC8"/>
        </w:rPr>
      </w:pPr>
    </w:p>
    <w:p>
      <w:pPr>
        <w:spacing w:after="0"/>
        <w:rPr>
          <w:sz w:val="20"/>
          <w:szCs w:val="20"/>
          <w:color w:val="auto"/>
        </w:rPr>
      </w:pPr>
      <w:r>
        <w:rPr>
          <w:rFonts w:ascii="Arial" w:cs="Arial" w:eastAsia="Arial" w:hAnsi="Arial"/>
          <w:sz w:val="17"/>
          <w:szCs w:val="17"/>
          <w:color w:val="auto"/>
        </w:rPr>
        <w:t>We do not have excessive overhang or dilution from equity grants.</w:t>
      </w:r>
    </w:p>
    <w:p>
      <w:pPr>
        <w:spacing w:after="0" w:line="356" w:lineRule="exact"/>
        <w:rPr>
          <w:rFonts w:ascii="Arial" w:cs="Arial" w:eastAsia="Arial" w:hAnsi="Arial"/>
          <w:sz w:val="17"/>
          <w:szCs w:val="17"/>
          <w:b w:val="1"/>
          <w:bCs w:val="1"/>
          <w:color w:val="518DC8"/>
        </w:rPr>
      </w:pPr>
    </w:p>
    <w:p>
      <w:pPr>
        <w:jc w:val="both"/>
        <w:ind w:right="179"/>
        <w:spacing w:after="0" w:line="241" w:lineRule="auto"/>
        <w:rPr>
          <w:sz w:val="20"/>
          <w:szCs w:val="20"/>
          <w:color w:val="auto"/>
        </w:rPr>
      </w:pPr>
      <w:r>
        <w:rPr>
          <w:rFonts w:ascii="Arial" w:cs="Arial" w:eastAsia="Arial" w:hAnsi="Arial"/>
          <w:sz w:val="17"/>
          <w:szCs w:val="17"/>
          <w:color w:val="auto"/>
        </w:rPr>
        <w:t>We provide our named executive officers with only limited perquisites and personal benefits that serve an important business purpose in addition to the regular benefits offered to all employees.</w:t>
      </w:r>
    </w:p>
    <w:p>
      <w:pPr>
        <w:spacing w:after="0" w:line="65" w:lineRule="exact"/>
        <w:rPr>
          <w:rFonts w:ascii="Arial" w:cs="Arial" w:eastAsia="Arial" w:hAnsi="Arial"/>
          <w:sz w:val="17"/>
          <w:szCs w:val="17"/>
          <w:b w:val="1"/>
          <w:bCs w:val="1"/>
          <w:color w:val="518DC8"/>
        </w:rPr>
      </w:pPr>
    </w:p>
    <w:p>
      <w:pPr>
        <w:jc w:val="both"/>
        <w:ind w:right="179"/>
        <w:spacing w:after="0" w:line="241" w:lineRule="auto"/>
        <w:rPr>
          <w:sz w:val="20"/>
          <w:szCs w:val="20"/>
          <w:color w:val="auto"/>
        </w:rPr>
      </w:pPr>
      <w:r>
        <w:rPr>
          <w:rFonts w:ascii="Arial" w:cs="Arial" w:eastAsia="Arial" w:hAnsi="Arial"/>
          <w:sz w:val="17"/>
          <w:szCs w:val="17"/>
          <w:color w:val="auto"/>
        </w:rPr>
        <w:t>We consider the perquisites and personal benefits that we offer to our executives in India to be customary benefits which allow us to remain competitive for top talent.</w:t>
      </w:r>
    </w:p>
    <w:p>
      <w:pPr>
        <w:spacing w:after="0" w:line="78" w:lineRule="exact"/>
        <w:rPr>
          <w:rFonts w:ascii="Arial" w:cs="Arial" w:eastAsia="Arial" w:hAnsi="Arial"/>
          <w:sz w:val="17"/>
          <w:szCs w:val="17"/>
          <w:b w:val="1"/>
          <w:bCs w:val="1"/>
          <w:color w:val="518DC8"/>
        </w:rPr>
      </w:pPr>
    </w:p>
    <w:p>
      <w:pPr>
        <w:jc w:val="both"/>
        <w:ind w:right="179"/>
        <w:spacing w:after="0" w:line="239" w:lineRule="auto"/>
        <w:rPr>
          <w:sz w:val="20"/>
          <w:szCs w:val="20"/>
          <w:color w:val="auto"/>
        </w:rPr>
      </w:pPr>
      <w:r>
        <w:rPr>
          <w:rFonts w:ascii="Arial" w:cs="Arial" w:eastAsia="Arial" w:hAnsi="Arial"/>
          <w:sz w:val="17"/>
          <w:szCs w:val="17"/>
          <w:color w:val="auto"/>
        </w:rPr>
        <w:t>We do not provide “gross-ups” to any of our named executive officers, including gross-ups for any excise taxes imposed with respect to Section 280G (change-in-control payments) or Section 409A (nonqualified deferred compensation) of the U.S. Internal Revenue Code of 1986, as amended (which we refer to as the “Code”).</w:t>
      </w:r>
    </w:p>
    <w:p>
      <w:pPr>
        <w:spacing w:after="0" w:line="65" w:lineRule="exact"/>
        <w:rPr>
          <w:rFonts w:ascii="Arial" w:cs="Arial" w:eastAsia="Arial" w:hAnsi="Arial"/>
          <w:sz w:val="17"/>
          <w:szCs w:val="17"/>
          <w:b w:val="1"/>
          <w:bCs w:val="1"/>
          <w:color w:val="518DC8"/>
        </w:rPr>
      </w:pPr>
    </w:p>
    <w:p>
      <w:pPr>
        <w:jc w:val="both"/>
        <w:ind w:right="179"/>
        <w:spacing w:after="0" w:line="239" w:lineRule="auto"/>
        <w:rPr>
          <w:sz w:val="20"/>
          <w:szCs w:val="20"/>
          <w:color w:val="auto"/>
        </w:rPr>
      </w:pPr>
      <w:r>
        <w:rPr>
          <w:rFonts w:ascii="Arial" w:cs="Arial" w:eastAsia="Arial" w:hAnsi="Arial"/>
          <w:sz w:val="17"/>
          <w:szCs w:val="17"/>
          <w:color w:val="auto"/>
        </w:rPr>
        <w:t>We maintain a policy that prohibits our officers and directors subject to the requirements of Section 16 of the Exchange Act, which includes our executive officers, from engaging in any hedging transactions with respect to Company stock directly or indirectly owned by any of them.</w:t>
      </w:r>
    </w:p>
    <w:p>
      <w:pPr>
        <w:spacing w:after="0" w:line="68" w:lineRule="exact"/>
        <w:rPr>
          <w:rFonts w:ascii="Arial" w:cs="Arial" w:eastAsia="Arial" w:hAnsi="Arial"/>
          <w:sz w:val="17"/>
          <w:szCs w:val="17"/>
          <w:b w:val="1"/>
          <w:bCs w:val="1"/>
          <w:color w:val="518DC8"/>
        </w:rPr>
      </w:pPr>
    </w:p>
    <w:p>
      <w:pPr>
        <w:jc w:val="both"/>
        <w:ind w:right="179"/>
        <w:spacing w:after="0" w:line="241" w:lineRule="auto"/>
        <w:rPr>
          <w:sz w:val="20"/>
          <w:szCs w:val="20"/>
          <w:color w:val="auto"/>
        </w:rPr>
      </w:pPr>
      <w:r>
        <w:rPr>
          <w:rFonts w:ascii="Arial" w:cs="Arial" w:eastAsia="Arial" w:hAnsi="Arial"/>
          <w:sz w:val="17"/>
          <w:szCs w:val="17"/>
          <w:color w:val="auto"/>
        </w:rPr>
        <w:t>In addition, under this policy, Reporting Persons are only permitted to pledge shares of our stock that exceed those required to be owned under our Stock Ownership Policy described above.</w:t>
      </w:r>
    </w:p>
    <w:p>
      <w:pPr>
        <w:spacing w:after="0" w:line="136" w:lineRule="exact"/>
        <w:rPr>
          <w:rFonts w:ascii="Arial" w:cs="Arial" w:eastAsia="Arial" w:hAnsi="Arial"/>
          <w:sz w:val="17"/>
          <w:szCs w:val="17"/>
          <w:b w:val="1"/>
          <w:bCs w:val="1"/>
          <w:color w:val="518DC8"/>
        </w:rPr>
      </w:pPr>
    </w:p>
    <w:p>
      <w:pPr>
        <w:sectPr>
          <w:pgSz w:w="11900" w:h="16838" w:orient="portrait"/>
          <w:cols w:equalWidth="0" w:num="3">
            <w:col w:w="420" w:space="140"/>
            <w:col w:w="1920" w:space="140"/>
            <w:col w:w="6399"/>
          </w:cols>
          <w:pgMar w:left="1440" w:top="1440" w:right="1440" w:bottom="1440" w:gutter="0" w:footer="0" w:header="0"/>
        </w:sectPr>
      </w:pPr>
    </w:p>
    <w:p>
      <w:pPr>
        <w:ind w:left="160"/>
        <w:spacing w:after="0"/>
        <w:rPr>
          <w:sz w:val="20"/>
          <w:szCs w:val="20"/>
          <w:color w:val="auto"/>
        </w:rPr>
      </w:pPr>
      <w:r>
        <w:rPr>
          <w:rFonts w:ascii="Arial" w:cs="Arial" w:eastAsia="Arial" w:hAnsi="Arial"/>
          <w:sz w:val="21"/>
          <w:szCs w:val="21"/>
          <w:b w:val="1"/>
          <w:bCs w:val="1"/>
          <w:color w:val="518DC8"/>
        </w:rPr>
        <w:t>Overview of Compensation Policies and Philosophies</w:t>
      </w:r>
    </w:p>
    <w:p>
      <w:pPr>
        <w:spacing w:after="0" w:line="162" w:lineRule="exact"/>
        <w:rPr>
          <w:rFonts w:ascii="Arial" w:cs="Arial" w:eastAsia="Arial" w:hAnsi="Arial"/>
          <w:sz w:val="17"/>
          <w:szCs w:val="17"/>
          <w:b w:val="1"/>
          <w:bCs w:val="1"/>
          <w:color w:val="518DC8"/>
        </w:rPr>
      </w:pPr>
    </w:p>
    <w:p>
      <w:pPr>
        <w:jc w:val="both"/>
        <w:ind w:left="160" w:right="59"/>
        <w:spacing w:after="0" w:line="238" w:lineRule="auto"/>
        <w:rPr>
          <w:sz w:val="20"/>
          <w:szCs w:val="20"/>
          <w:color w:val="auto"/>
        </w:rPr>
      </w:pPr>
      <w:r>
        <w:rPr>
          <w:rFonts w:ascii="Arial" w:cs="Arial" w:eastAsia="Arial" w:hAnsi="Arial"/>
          <w:sz w:val="17"/>
          <w:szCs w:val="17"/>
          <w:color w:val="auto"/>
        </w:rPr>
        <w:t>We believe that the long-term success of companies that provide outsourcing, transformation and analytics services globally is linked to their ability to recruit, train, motivate and retain employees at every level. There is significant competitive pressure in our industry for qualified managers with a track record of achievement. It is critical that we recruit, train, motivate and retain highly talented individuals at all levels of the organization who are committed to our core values of innovation, collaboration, excellence, integrity and mutual respect. We believe that our executive compensation programs are integral to achieving this end.</w:t>
      </w:r>
    </w:p>
    <w:p>
      <w:pPr>
        <w:spacing w:after="0" w:line="132" w:lineRule="exact"/>
        <w:rPr>
          <w:rFonts w:ascii="Arial" w:cs="Arial" w:eastAsia="Arial" w:hAnsi="Arial"/>
          <w:sz w:val="17"/>
          <w:szCs w:val="17"/>
          <w:b w:val="1"/>
          <w:bCs w:val="1"/>
          <w:color w:val="518DC8"/>
        </w:rPr>
      </w:pPr>
    </w:p>
    <w:p>
      <w:pPr>
        <w:jc w:val="both"/>
        <w:ind w:left="160" w:right="59"/>
        <w:spacing w:after="0" w:line="247" w:lineRule="auto"/>
        <w:rPr>
          <w:sz w:val="20"/>
          <w:szCs w:val="20"/>
          <w:color w:val="auto"/>
        </w:rPr>
      </w:pPr>
      <w:r>
        <w:rPr>
          <w:rFonts w:ascii="Arial" w:cs="Arial" w:eastAsia="Arial" w:hAnsi="Arial"/>
          <w:sz w:val="17"/>
          <w:szCs w:val="17"/>
          <w:color w:val="auto"/>
        </w:rPr>
        <w:t>Our Compensation Committee bases its executive compensation programs on the following objectives, which guide us in establishing all of our compensation programs:</w:t>
      </w:r>
    </w:p>
    <w:p>
      <w:pPr>
        <w:spacing w:after="0" w:line="110" w:lineRule="exact"/>
        <w:rPr>
          <w:rFonts w:ascii="Arial" w:cs="Arial" w:eastAsia="Arial" w:hAnsi="Arial"/>
          <w:sz w:val="17"/>
          <w:szCs w:val="17"/>
          <w:b w:val="1"/>
          <w:bCs w:val="1"/>
          <w:color w:val="518DC8"/>
        </w:rPr>
      </w:pPr>
    </w:p>
    <w:p>
      <w:pPr>
        <w:jc w:val="both"/>
        <w:ind w:left="5140" w:right="59" w:hanging="339"/>
        <w:spacing w:after="0" w:line="236" w:lineRule="auto"/>
        <w:tabs>
          <w:tab w:leader="none" w:pos="5120" w:val="left"/>
        </w:tabs>
        <w:rPr>
          <w:sz w:val="20"/>
          <w:szCs w:val="20"/>
          <w:color w:val="auto"/>
        </w:rPr>
      </w:pPr>
      <w:r>
        <w:rPr>
          <w:rFonts w:ascii="Arial" w:cs="Arial" w:eastAsia="Arial" w:hAnsi="Arial"/>
          <w:sz w:val="17"/>
          <w:szCs w:val="17"/>
          <w:color w:val="DD924E"/>
        </w:rPr>
        <w:t>&gt;</w:t>
      </w:r>
      <w:r>
        <w:rPr>
          <w:rFonts w:ascii="Arial" w:cs="Arial" w:eastAsia="Arial" w:hAnsi="Arial"/>
          <w:sz w:val="17"/>
          <w:szCs w:val="17"/>
          <w:color w:val="auto"/>
        </w:rPr>
        <w:tab/>
        <w:t>Compensation should be based on the level of job responsibility, individual performance and our performance. As employees progress to higher levels in the organization, they are able to more directly affect our results and strategic initiatives, and therefore an increasing proportion of their pay should be linked to our performance and tied to creation of stockholder value. Our programs should deliver top-tier compensation in return for top-tier individual and company performance; conversely, where individual performance and/or our performance falls short of expectations, the programs should deliver lower-tier compensation. In addition, the objectives of pay-for-performance and retention must be balanced. Even in periods</w:t>
      </w:r>
    </w:p>
    <w:p>
      <w:pPr>
        <w:spacing w:after="0" w:line="1" w:lineRule="exact"/>
        <w:rPr>
          <w:rFonts w:ascii="Arial" w:cs="Arial" w:eastAsia="Arial" w:hAnsi="Arial"/>
          <w:sz w:val="17"/>
          <w:szCs w:val="17"/>
          <w:b w:val="1"/>
          <w:bCs w:val="1"/>
          <w:color w:val="518DC8"/>
        </w:rPr>
      </w:pPr>
    </w:p>
    <w:p>
      <w:pPr>
        <w:ind w:left="840" w:right="79"/>
        <w:spacing w:after="0" w:line="247" w:lineRule="auto"/>
        <w:rPr>
          <w:sz w:val="20"/>
          <w:szCs w:val="20"/>
          <w:color w:val="auto"/>
        </w:rPr>
      </w:pPr>
      <w:r>
        <w:rPr>
          <w:rFonts w:ascii="Arial" w:cs="Arial" w:eastAsia="Arial" w:hAnsi="Arial"/>
          <w:sz w:val="17"/>
          <w:szCs w:val="17"/>
          <w:color w:val="auto"/>
        </w:rPr>
        <w:t>of temporary downturns in our performance, the programs should continue to ensure that successful, high-achieving employees remain motivated and committed.</w:t>
      </w:r>
    </w:p>
    <w:p>
      <w:pPr>
        <w:sectPr>
          <w:pgSz w:w="11900" w:h="16838" w:orient="portrait"/>
          <w:cols w:equalWidth="0" w:num="1">
            <w:col w:w="9019"/>
          </w:cols>
          <w:pgMar w:left="1440" w:top="1440" w:right="1440" w:bottom="1440" w:gutter="0" w:footer="0" w:header="0"/>
          <w:type w:val="continuous"/>
        </w:sectPr>
      </w:pP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200" w:lineRule="exact"/>
        <w:rPr>
          <w:rFonts w:ascii="Arial" w:cs="Arial" w:eastAsia="Arial" w:hAnsi="Arial"/>
          <w:sz w:val="17"/>
          <w:szCs w:val="17"/>
          <w:b w:val="1"/>
          <w:bCs w:val="1"/>
          <w:color w:val="518DC8"/>
        </w:rPr>
      </w:pPr>
    </w:p>
    <w:p>
      <w:pPr>
        <w:spacing w:after="0" w:line="241" w:lineRule="exact"/>
        <w:rPr>
          <w:rFonts w:ascii="Arial" w:cs="Arial" w:eastAsia="Arial" w:hAnsi="Arial"/>
          <w:sz w:val="17"/>
          <w:szCs w:val="17"/>
          <w:b w:val="1"/>
          <w:bCs w:val="1"/>
          <w:color w:val="518DC8"/>
        </w:rPr>
      </w:pPr>
    </w:p>
    <w:p>
      <w:pPr>
        <w:jc w:val="center"/>
        <w:ind w:right="-100"/>
        <w:spacing w:after="0"/>
        <w:rPr>
          <w:sz w:val="20"/>
          <w:szCs w:val="20"/>
          <w:color w:val="auto"/>
        </w:rPr>
      </w:pPr>
      <w:r>
        <w:rPr>
          <w:rFonts w:ascii="Arial" w:cs="Arial" w:eastAsia="Arial" w:hAnsi="Arial"/>
          <w:sz w:val="17"/>
          <w:szCs w:val="17"/>
          <w:color w:val="auto"/>
        </w:rPr>
        <w:t>33</w:t>
      </w:r>
    </w:p>
    <w:p>
      <w:pPr>
        <w:spacing w:after="0" w:line="20" w:lineRule="exact"/>
        <w:rPr>
          <w:rFonts w:ascii="Arial" w:cs="Arial" w:eastAsia="Arial" w:hAnsi="Arial"/>
          <w:sz w:val="17"/>
          <w:szCs w:val="17"/>
          <w:b w:val="1"/>
          <w:bCs w:val="1"/>
          <w:color w:val="518DC8"/>
        </w:rPr>
      </w:pPr>
      <w:r>
        <w:rPr>
          <w:rFonts w:ascii="Arial" w:cs="Arial" w:eastAsia="Arial" w:hAnsi="Arial"/>
          <w:sz w:val="17"/>
          <w:szCs w:val="17"/>
          <w:b w:val="1"/>
          <w:bCs w:val="1"/>
          <w:color w:val="518DC8"/>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7" w:name="page38"/>
    <w:bookmarkEnd w:id="37"/>
    <w:p>
      <w:pPr>
        <w:spacing w:after="0" w:line="193" w:lineRule="auto"/>
        <w:framePr w:w="2420" w:h="232" w:wrap="auto" w:vAnchor="page" w:hAnchor="page" w:x="2240" w:y="5869"/>
        <w:rPr>
          <w:rFonts w:ascii="Arial" w:cs="Arial" w:eastAsia="Arial" w:hAnsi="Arial"/>
          <w:sz w:val="25"/>
          <w:szCs w:val="25"/>
          <w:b w:val="1"/>
          <w:bCs w:val="1"/>
          <w:color w:val="518DC8"/>
        </w:rPr>
      </w:pPr>
      <w:r>
        <w:rPr>
          <w:rFonts w:ascii="Arial" w:cs="Arial" w:eastAsia="Arial" w:hAnsi="Arial"/>
          <w:sz w:val="25"/>
          <w:szCs w:val="25"/>
          <w:b w:val="1"/>
          <w:bCs w:val="1"/>
          <w:color w:val="518DC8"/>
        </w:rPr>
        <w:t>easy to understand</w:t>
      </w:r>
    </w:p>
    <w:p>
      <w:pPr>
        <w:jc w:val="both"/>
        <w:ind w:left="840" w:hanging="345"/>
        <w:spacing w:after="0" w:line="236" w:lineRule="auto"/>
        <w:tabs>
          <w:tab w:leader="none" w:pos="840" w:val="left"/>
        </w:tabs>
        <w:numPr>
          <w:ilvl w:val="0"/>
          <w:numId w:val="57"/>
        </w:numPr>
        <w:rPr>
          <w:rFonts w:ascii="Arial" w:cs="Arial" w:eastAsia="Arial" w:hAnsi="Arial"/>
          <w:sz w:val="17"/>
          <w:szCs w:val="17"/>
          <w:color w:val="DD924E"/>
        </w:rPr>
      </w:pPr>
      <w:r>
        <w:rPr>
          <w:rFonts w:ascii="Arial" w:cs="Arial" w:eastAsia="Arial" w:hAnsi="Arial"/>
          <w:sz w:val="17"/>
          <w:szCs w:val="17"/>
          <w:color w:val="auto"/>
        </w:rPr>
        <w:t>Compensation should balance long-term focus that is linked to stockholder value as well as short-term financial objectives. Consistent with this philosophy, equity-based compensation should be higher for persons with higher levels of responsibility and greater influence on long-term results, thereby making a significant portion of their total compensation dependent on long-term stock price appreciation. In addition, compensation should focus management on achieving short-term</w:t>
      </w:r>
    </w:p>
    <w:p>
      <w:pPr>
        <w:spacing w:after="0" w:line="20" w:lineRule="exact"/>
        <w:rPr>
          <w:rFonts w:ascii="Arial" w:cs="Arial" w:eastAsia="Arial" w:hAnsi="Arial"/>
          <w:sz w:val="25"/>
          <w:szCs w:val="25"/>
          <w:b w:val="1"/>
          <w:bCs w:val="1"/>
          <w:color w:val="518DC8"/>
        </w:rPr>
      </w:pPr>
      <w:r>
        <w:rPr>
          <w:rFonts w:ascii="Arial" w:cs="Arial" w:eastAsia="Arial" w:hAnsi="Arial"/>
          <w:sz w:val="25"/>
          <w:szCs w:val="25"/>
          <w:b w:val="1"/>
          <w:bCs w:val="1"/>
          <w:color w:val="518DC8"/>
        </w:rPr>
        <w:br w:type="column"/>
      </w: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375" w:lineRule="exact"/>
        <w:rPr>
          <w:rFonts w:ascii="Arial" w:cs="Arial" w:eastAsia="Arial" w:hAnsi="Arial"/>
          <w:sz w:val="25"/>
          <w:szCs w:val="25"/>
          <w:b w:val="1"/>
          <w:bCs w:val="1"/>
          <w:color w:val="518DC8"/>
        </w:rPr>
      </w:pPr>
    </w:p>
    <w:p>
      <w:pPr>
        <w:spacing w:after="0"/>
        <w:rPr>
          <w:sz w:val="20"/>
          <w:szCs w:val="20"/>
          <w:color w:val="auto"/>
        </w:rPr>
      </w:pPr>
      <w:r>
        <w:rPr>
          <w:rFonts w:ascii="Arial" w:cs="Arial" w:eastAsia="Arial" w:hAnsi="Arial"/>
          <w:sz w:val="17"/>
          <w:szCs w:val="17"/>
          <w:b w:val="1"/>
          <w:bCs w:val="1"/>
          <w:color w:val="518DC8"/>
        </w:rPr>
        <w:t xml:space="preserve">Compensation should balance </w:t>
      </w:r>
      <w:r>
        <w:rPr>
          <w:rFonts w:ascii="Arial" w:cs="Arial" w:eastAsia="Arial" w:hAnsi="Arial"/>
          <w:sz w:val="25"/>
          <w:szCs w:val="25"/>
          <w:b w:val="1"/>
          <w:bCs w:val="1"/>
          <w:color w:val="518DC8"/>
        </w:rPr>
        <w:t>long-term</w:t>
      </w:r>
    </w:p>
    <w:p>
      <w:pPr>
        <w:spacing w:after="0" w:line="40" w:lineRule="exact"/>
        <w:rPr>
          <w:rFonts w:ascii="Arial" w:cs="Arial" w:eastAsia="Arial" w:hAnsi="Arial"/>
          <w:sz w:val="25"/>
          <w:szCs w:val="25"/>
          <w:b w:val="1"/>
          <w:bCs w:val="1"/>
          <w:color w:val="518DC8"/>
        </w:rPr>
      </w:pPr>
    </w:p>
    <w:p>
      <w:pPr>
        <w:spacing w:after="0"/>
        <w:rPr>
          <w:sz w:val="20"/>
          <w:szCs w:val="20"/>
          <w:color w:val="auto"/>
        </w:rPr>
      </w:pPr>
      <w:r>
        <w:rPr>
          <w:rFonts w:ascii="Arial" w:cs="Arial" w:eastAsia="Arial" w:hAnsi="Arial"/>
          <w:sz w:val="26"/>
          <w:szCs w:val="26"/>
          <w:b w:val="1"/>
          <w:bCs w:val="1"/>
          <w:color w:val="518DC8"/>
        </w:rPr>
        <w:t xml:space="preserve">and short-term </w:t>
      </w:r>
      <w:r>
        <w:rPr>
          <w:rFonts w:ascii="Arial" w:cs="Arial" w:eastAsia="Arial" w:hAnsi="Arial"/>
          <w:sz w:val="17"/>
          <w:szCs w:val="17"/>
          <w:b w:val="1"/>
          <w:bCs w:val="1"/>
          <w:color w:val="518DC8"/>
        </w:rPr>
        <w:t>objectives</w:t>
      </w:r>
    </w:p>
    <w:p>
      <w:pPr>
        <w:spacing w:after="0" w:line="278" w:lineRule="exact"/>
        <w:rPr>
          <w:rFonts w:ascii="Arial" w:cs="Arial" w:eastAsia="Arial" w:hAnsi="Arial"/>
          <w:sz w:val="25"/>
          <w:szCs w:val="25"/>
          <w:b w:val="1"/>
          <w:bCs w:val="1"/>
          <w:color w:val="518DC8"/>
        </w:rPr>
      </w:pPr>
    </w:p>
    <w:p>
      <w:pPr>
        <w:sectPr>
          <w:pgSz w:w="11900" w:h="16838" w:orient="portrait"/>
          <w:cols w:equalWidth="0" w:num="2">
            <w:col w:w="3860" w:space="260"/>
            <w:col w:w="4899"/>
          </w:cols>
          <w:pgMar w:left="1440" w:top="1267" w:right="1440" w:bottom="1440" w:gutter="0" w:footer="0" w:header="0"/>
        </w:sectPr>
      </w:pPr>
    </w:p>
    <w:p>
      <w:pPr>
        <w:ind w:left="840"/>
        <w:spacing w:after="0"/>
        <w:rPr>
          <w:sz w:val="20"/>
          <w:szCs w:val="20"/>
          <w:color w:val="auto"/>
        </w:rPr>
      </w:pPr>
      <w:r>
        <w:rPr>
          <w:rFonts w:ascii="Arial" w:cs="Arial" w:eastAsia="Arial" w:hAnsi="Arial"/>
          <w:sz w:val="17"/>
          <w:szCs w:val="17"/>
          <w:color w:val="auto"/>
        </w:rPr>
        <w:t>performance goals in a manner that supports and ensures long-term success and profitability.</w:t>
      </w:r>
    </w:p>
    <w:p>
      <w:pPr>
        <w:spacing w:after="0" w:line="138" w:lineRule="exact"/>
        <w:rPr>
          <w:rFonts w:ascii="Arial" w:cs="Arial" w:eastAsia="Arial" w:hAnsi="Arial"/>
          <w:sz w:val="25"/>
          <w:szCs w:val="25"/>
          <w:b w:val="1"/>
          <w:bCs w:val="1"/>
          <w:color w:val="518DC8"/>
        </w:rPr>
      </w:pPr>
    </w:p>
    <w:p>
      <w:pPr>
        <w:jc w:val="both"/>
        <w:ind w:left="840" w:right="79" w:hanging="345"/>
        <w:spacing w:after="0" w:line="241" w:lineRule="auto"/>
        <w:tabs>
          <w:tab w:leader="none" w:pos="840" w:val="left"/>
        </w:tabs>
        <w:numPr>
          <w:ilvl w:val="0"/>
          <w:numId w:val="58"/>
        </w:numPr>
        <w:rPr>
          <w:rFonts w:ascii="Arial" w:cs="Arial" w:eastAsia="Arial" w:hAnsi="Arial"/>
          <w:sz w:val="17"/>
          <w:szCs w:val="17"/>
          <w:color w:val="DD924E"/>
        </w:rPr>
      </w:pPr>
      <w:r>
        <w:rPr>
          <w:rFonts w:ascii="Arial" w:cs="Arial" w:eastAsia="Arial" w:hAnsi="Arial"/>
          <w:sz w:val="17"/>
          <w:szCs w:val="17"/>
          <w:color w:val="auto"/>
        </w:rPr>
        <w:t>Compensation should reflect the value of the job in the marketplace. We compete for talent globally. In order to attract and retain a highly skilled workforce, we must remain competitive with the pay of other employers who compete with us for talent in the relevant markets.</w:t>
      </w:r>
    </w:p>
    <w:p>
      <w:pPr>
        <w:spacing w:after="0" w:line="116" w:lineRule="exact"/>
        <w:rPr>
          <w:rFonts w:ascii="Arial" w:cs="Arial" w:eastAsia="Arial" w:hAnsi="Arial"/>
          <w:sz w:val="17"/>
          <w:szCs w:val="17"/>
          <w:color w:val="DD924E"/>
        </w:rPr>
      </w:pPr>
    </w:p>
    <w:p>
      <w:pPr>
        <w:jc w:val="both"/>
        <w:ind w:left="4640" w:right="59" w:hanging="340"/>
        <w:spacing w:after="0" w:line="236" w:lineRule="auto"/>
        <w:tabs>
          <w:tab w:leader="none" w:pos="4640" w:val="left"/>
        </w:tabs>
        <w:numPr>
          <w:ilvl w:val="1"/>
          <w:numId w:val="58"/>
        </w:numPr>
        <w:rPr>
          <w:rFonts w:ascii="Arial" w:cs="Arial" w:eastAsia="Arial" w:hAnsi="Arial"/>
          <w:sz w:val="17"/>
          <w:szCs w:val="17"/>
          <w:color w:val="DD924E"/>
        </w:rPr>
      </w:pPr>
      <w:r>
        <w:rPr>
          <w:rFonts w:ascii="Arial" w:cs="Arial" w:eastAsia="Arial" w:hAnsi="Arial"/>
          <w:sz w:val="17"/>
          <w:szCs w:val="17"/>
          <w:color w:val="auto"/>
        </w:rPr>
        <w:t>Compensation programs should be easy to understand. We believe that all aspects of executive compensation should be clearly, comprehensibly and promptly disclosed to employees in order to effectively motivate</w:t>
      </w:r>
    </w:p>
    <w:p>
      <w:pPr>
        <w:jc w:val="right"/>
        <w:ind w:left="840" w:right="79"/>
        <w:spacing w:after="0" w:line="184" w:lineRule="auto"/>
        <w:rPr>
          <w:sz w:val="20"/>
          <w:szCs w:val="20"/>
          <w:color w:val="auto"/>
        </w:rPr>
      </w:pPr>
      <w:r>
        <w:rPr>
          <w:rFonts w:ascii="Arial" w:cs="Arial" w:eastAsia="Arial" w:hAnsi="Arial"/>
          <w:sz w:val="12"/>
          <w:szCs w:val="12"/>
          <w:color w:val="auto"/>
        </w:rPr>
        <w:t xml:space="preserve">them. Employees need to easily understand how their </w:t>
      </w:r>
      <w:r>
        <w:rPr>
          <w:rFonts w:ascii="Arial" w:cs="Arial" w:eastAsia="Arial" w:hAnsi="Arial"/>
          <w:sz w:val="19"/>
          <w:szCs w:val="19"/>
          <w:b w:val="1"/>
          <w:bCs w:val="1"/>
          <w:color w:val="518DC8"/>
          <w:vertAlign w:val="superscript"/>
        </w:rPr>
        <w:t>Compensation   programs   should   be</w:t>
      </w:r>
      <w:r>
        <w:rPr>
          <w:rFonts w:ascii="Arial" w:cs="Arial" w:eastAsia="Arial" w:hAnsi="Arial"/>
          <w:sz w:val="12"/>
          <w:szCs w:val="12"/>
          <w:color w:val="auto"/>
        </w:rPr>
        <w:t xml:space="preserve">    efforts  can  affect  their  pay,  both  directly  through</w:t>
      </w:r>
    </w:p>
    <w:p>
      <w:pPr>
        <w:spacing w:after="0" w:line="111" w:lineRule="exact"/>
        <w:rPr>
          <w:rFonts w:ascii="Arial" w:cs="Arial" w:eastAsia="Arial" w:hAnsi="Arial"/>
          <w:sz w:val="25"/>
          <w:szCs w:val="25"/>
          <w:b w:val="1"/>
          <w:bCs w:val="1"/>
          <w:color w:val="518DC8"/>
        </w:rPr>
      </w:pPr>
    </w:p>
    <w:p>
      <w:pPr>
        <w:jc w:val="both"/>
        <w:ind w:left="4640" w:right="59"/>
        <w:spacing w:after="0" w:line="236" w:lineRule="auto"/>
        <w:rPr>
          <w:sz w:val="20"/>
          <w:szCs w:val="20"/>
          <w:color w:val="auto"/>
        </w:rPr>
      </w:pPr>
      <w:r>
        <w:rPr>
          <w:rFonts w:ascii="Arial" w:cs="Arial" w:eastAsia="Arial" w:hAnsi="Arial"/>
          <w:sz w:val="17"/>
          <w:szCs w:val="17"/>
          <w:color w:val="auto"/>
        </w:rPr>
        <w:t>individual performance accomplishments, and indirectly through contributing to our achievement of strategic, financial and operational goals. We also believe that</w:t>
      </w:r>
    </w:p>
    <w:p>
      <w:pPr>
        <w:ind w:left="840" w:right="79"/>
        <w:spacing w:after="0" w:line="247" w:lineRule="auto"/>
        <w:rPr>
          <w:sz w:val="20"/>
          <w:szCs w:val="20"/>
          <w:color w:val="auto"/>
        </w:rPr>
      </w:pPr>
      <w:r>
        <w:rPr>
          <w:rFonts w:ascii="Arial" w:cs="Arial" w:eastAsia="Arial" w:hAnsi="Arial"/>
          <w:sz w:val="17"/>
          <w:szCs w:val="17"/>
          <w:color w:val="auto"/>
        </w:rPr>
        <w:t>compensation for our employees should be administered uniformly across the company and should be administered with clear-cut objectives and performance metrics.</w:t>
      </w:r>
    </w:p>
    <w:p>
      <w:pPr>
        <w:spacing w:after="0" w:line="103" w:lineRule="exact"/>
        <w:rPr>
          <w:rFonts w:ascii="Arial" w:cs="Arial" w:eastAsia="Arial" w:hAnsi="Arial"/>
          <w:sz w:val="25"/>
          <w:szCs w:val="25"/>
          <w:b w:val="1"/>
          <w:bCs w:val="1"/>
          <w:color w:val="518DC8"/>
        </w:rPr>
      </w:pPr>
    </w:p>
    <w:p>
      <w:pPr>
        <w:ind w:left="160"/>
        <w:spacing w:after="0"/>
        <w:rPr>
          <w:sz w:val="20"/>
          <w:szCs w:val="20"/>
          <w:color w:val="auto"/>
        </w:rPr>
      </w:pPr>
      <w:r>
        <w:rPr>
          <w:rFonts w:ascii="Arial" w:cs="Arial" w:eastAsia="Arial" w:hAnsi="Arial"/>
          <w:sz w:val="17"/>
          <w:szCs w:val="17"/>
          <w:b w:val="1"/>
          <w:bCs w:val="1"/>
          <w:color w:val="518DC8"/>
        </w:rPr>
        <w:t>Our Compensation Committee’s Processes</w:t>
      </w:r>
    </w:p>
    <w:p>
      <w:pPr>
        <w:spacing w:after="0" w:line="158" w:lineRule="exact"/>
        <w:rPr>
          <w:rFonts w:ascii="Arial" w:cs="Arial" w:eastAsia="Arial" w:hAnsi="Arial"/>
          <w:sz w:val="25"/>
          <w:szCs w:val="25"/>
          <w:b w:val="1"/>
          <w:bCs w:val="1"/>
          <w:color w:val="518DC8"/>
        </w:rPr>
      </w:pPr>
    </w:p>
    <w:p>
      <w:pPr>
        <w:ind w:left="160" w:right="59"/>
        <w:spacing w:after="0" w:line="247" w:lineRule="auto"/>
        <w:rPr>
          <w:sz w:val="20"/>
          <w:szCs w:val="20"/>
          <w:color w:val="auto"/>
        </w:rPr>
      </w:pPr>
      <w:r>
        <w:rPr>
          <w:rFonts w:ascii="Arial" w:cs="Arial" w:eastAsia="Arial" w:hAnsi="Arial"/>
          <w:sz w:val="17"/>
          <w:szCs w:val="17"/>
          <w:color w:val="auto"/>
        </w:rPr>
        <w:t>Our Compensation Committee has established a number of processes to assist it in ensuring that our executive compensation programs are achieving their objectives. Among those are the following:</w:t>
      </w:r>
    </w:p>
    <w:p>
      <w:pPr>
        <w:spacing w:after="0" w:line="90" w:lineRule="exact"/>
        <w:rPr>
          <w:rFonts w:ascii="Arial" w:cs="Arial" w:eastAsia="Arial" w:hAnsi="Arial"/>
          <w:sz w:val="25"/>
          <w:szCs w:val="25"/>
          <w:b w:val="1"/>
          <w:bCs w:val="1"/>
          <w:color w:val="518DC8"/>
        </w:rPr>
      </w:pPr>
    </w:p>
    <w:p>
      <w:pPr>
        <w:jc w:val="both"/>
        <w:ind w:left="840" w:right="59" w:hanging="345"/>
        <w:spacing w:after="0" w:line="239" w:lineRule="auto"/>
        <w:tabs>
          <w:tab w:leader="none" w:pos="840" w:val="left"/>
        </w:tabs>
        <w:numPr>
          <w:ilvl w:val="0"/>
          <w:numId w:val="59"/>
        </w:numPr>
        <w:rPr>
          <w:rFonts w:ascii="Arial" w:cs="Arial" w:eastAsia="Arial" w:hAnsi="Arial"/>
          <w:sz w:val="17"/>
          <w:szCs w:val="17"/>
          <w:color w:val="DD924E"/>
        </w:rPr>
      </w:pPr>
      <w:r>
        <w:rPr>
          <w:rFonts w:ascii="Arial" w:cs="Arial" w:eastAsia="Arial" w:hAnsi="Arial"/>
          <w:sz w:val="17"/>
          <w:szCs w:val="17"/>
          <w:b w:val="1"/>
          <w:bCs w:val="1"/>
          <w:color w:val="auto"/>
        </w:rPr>
        <w:t xml:space="preserve">Assessment of Company Performance. </w:t>
      </w:r>
      <w:r>
        <w:rPr>
          <w:rFonts w:ascii="Arial" w:cs="Arial" w:eastAsia="Arial" w:hAnsi="Arial"/>
          <w:sz w:val="17"/>
          <w:szCs w:val="17"/>
          <w:color w:val="auto"/>
        </w:rPr>
        <w:t>Our Compensation Committee uses financial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measures to determine a significant portion of the payouts under our annual incentive bonus program and equity incentive program. The financial performance measures with respect to our named executive officers’ incentive bonuses and equity incentive awards are largely based on the achievement of Company-wide goals. In addition, the incentive bonuses payable under our annual incentive bonus program to our senior executives who have responsibility for business lines are tied to such business lines’ financial or other performance. These Company-wide and business-line performance measures are established by our Compensation Committee annually at the end of the prior year or the beginning of the year. At the end of the year or performance period, in the case of our equity incentive program, our Compensation Committee reviews and certifies our performance achievement, and considers the appropriateness of adjustments to the performance criteria and calculations of performance achievement.</w:t>
      </w:r>
    </w:p>
    <w:p>
      <w:pPr>
        <w:spacing w:after="0" w:line="135" w:lineRule="exact"/>
        <w:rPr>
          <w:rFonts w:ascii="Arial" w:cs="Arial" w:eastAsia="Arial" w:hAnsi="Arial"/>
          <w:sz w:val="17"/>
          <w:szCs w:val="17"/>
          <w:color w:val="DD924E"/>
        </w:rPr>
      </w:pPr>
    </w:p>
    <w:p>
      <w:pPr>
        <w:ind w:left="1180" w:right="59" w:hanging="338"/>
        <w:spacing w:after="0" w:line="241" w:lineRule="auto"/>
        <w:rPr>
          <w:rFonts w:ascii="Arial" w:cs="Arial" w:eastAsia="Arial" w:hAnsi="Arial"/>
          <w:sz w:val="17"/>
          <w:szCs w:val="17"/>
          <w:color w:val="DD924E"/>
        </w:rPr>
      </w:pPr>
      <w:r>
        <w:rPr>
          <w:rFonts w:ascii="Arial" w:cs="Arial" w:eastAsia="Arial" w:hAnsi="Arial"/>
          <w:sz w:val="17"/>
          <w:szCs w:val="17"/>
          <w:color w:val="DD924E"/>
        </w:rPr>
        <w:t xml:space="preserve">– </w:t>
      </w:r>
      <w:r>
        <w:rPr>
          <w:rFonts w:ascii="Arial" w:cs="Arial" w:eastAsia="Arial" w:hAnsi="Arial"/>
          <w:sz w:val="17"/>
          <w:szCs w:val="17"/>
          <w:color w:val="000000"/>
        </w:rPr>
        <w:t>We generally pay bonuses at target when we achieve the established financial measures that are set</w:t>
      </w:r>
      <w:r>
        <w:rPr>
          <w:rFonts w:ascii="Arial" w:cs="Arial" w:eastAsia="Arial" w:hAnsi="Arial"/>
          <w:sz w:val="17"/>
          <w:szCs w:val="17"/>
          <w:color w:val="DD924E"/>
        </w:rPr>
        <w:t xml:space="preserve"> </w:t>
      </w:r>
      <w:r>
        <w:rPr>
          <w:rFonts w:ascii="Arial" w:cs="Arial" w:eastAsia="Arial" w:hAnsi="Arial"/>
          <w:sz w:val="17"/>
          <w:szCs w:val="17"/>
          <w:color w:val="000000"/>
        </w:rPr>
        <w:t>forth in our annual operating plan and personal performance goals, as described below. These measures reflect targets that are intended to encourage stretch performance.</w:t>
      </w:r>
    </w:p>
    <w:p>
      <w:pPr>
        <w:sectPr>
          <w:pgSz w:w="11900" w:h="16838" w:orient="portrait"/>
          <w:cols w:equalWidth="0" w:num="1">
            <w:col w:w="9019"/>
          </w:cols>
          <w:pgMar w:left="1440" w:top="1267" w:right="1440" w:bottom="1440" w:gutter="0" w:footer="0" w:header="0"/>
          <w:type w:val="continuous"/>
        </w:sect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0" w:lineRule="exact"/>
        <w:rPr>
          <w:rFonts w:ascii="Arial" w:cs="Arial" w:eastAsia="Arial" w:hAnsi="Arial"/>
          <w:sz w:val="25"/>
          <w:szCs w:val="25"/>
          <w:b w:val="1"/>
          <w:bCs w:val="1"/>
          <w:color w:val="518DC8"/>
        </w:rPr>
      </w:pPr>
    </w:p>
    <w:p>
      <w:pPr>
        <w:spacing w:after="0" w:line="206" w:lineRule="exact"/>
        <w:rPr>
          <w:rFonts w:ascii="Arial" w:cs="Arial" w:eastAsia="Arial" w:hAnsi="Arial"/>
          <w:sz w:val="25"/>
          <w:szCs w:val="25"/>
          <w:b w:val="1"/>
          <w:bCs w:val="1"/>
          <w:color w:val="518DC8"/>
        </w:rPr>
      </w:pPr>
    </w:p>
    <w:p>
      <w:pPr>
        <w:jc w:val="center"/>
        <w:ind w:right="-100"/>
        <w:spacing w:after="0"/>
        <w:rPr>
          <w:sz w:val="20"/>
          <w:szCs w:val="20"/>
          <w:color w:val="auto"/>
        </w:rPr>
      </w:pPr>
      <w:r>
        <w:rPr>
          <w:rFonts w:ascii="Arial" w:cs="Arial" w:eastAsia="Arial" w:hAnsi="Arial"/>
          <w:sz w:val="17"/>
          <w:szCs w:val="17"/>
          <w:color w:val="auto"/>
        </w:rPr>
        <w:t>34</w:t>
      </w:r>
    </w:p>
    <w:p>
      <w:pPr>
        <w:spacing w:after="0" w:line="20" w:lineRule="exact"/>
        <w:rPr>
          <w:rFonts w:ascii="Arial" w:cs="Arial" w:eastAsia="Arial" w:hAnsi="Arial"/>
          <w:sz w:val="25"/>
          <w:szCs w:val="25"/>
          <w:b w:val="1"/>
          <w:bCs w:val="1"/>
          <w:color w:val="518DC8"/>
        </w:rPr>
      </w:pPr>
      <w:r>
        <w:rPr>
          <w:rFonts w:ascii="Arial" w:cs="Arial" w:eastAsia="Arial" w:hAnsi="Arial"/>
          <w:sz w:val="25"/>
          <w:szCs w:val="25"/>
          <w:b w:val="1"/>
          <w:bCs w:val="1"/>
          <w:color w:val="518DC8"/>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type w:val="continuous"/>
        </w:sectPr>
      </w:pPr>
    </w:p>
    <w:bookmarkStart w:id="38" w:name="page39"/>
    <w:bookmarkEnd w:id="38"/>
    <w:p>
      <w:pPr>
        <w:spacing w:after="0" w:line="38" w:lineRule="exact"/>
        <w:rPr>
          <w:sz w:val="20"/>
          <w:szCs w:val="20"/>
          <w:color w:val="auto"/>
        </w:rPr>
      </w:pPr>
    </w:p>
    <w:p>
      <w:pPr>
        <w:jc w:val="both"/>
        <w:ind w:left="840" w:right="59" w:hanging="345"/>
        <w:spacing w:after="0" w:line="248" w:lineRule="auto"/>
        <w:tabs>
          <w:tab w:leader="none" w:pos="840" w:val="left"/>
        </w:tabs>
        <w:numPr>
          <w:ilvl w:val="0"/>
          <w:numId w:val="60"/>
        </w:numPr>
        <w:rPr>
          <w:rFonts w:ascii="Arial" w:cs="Arial" w:eastAsia="Arial" w:hAnsi="Arial"/>
          <w:sz w:val="17"/>
          <w:szCs w:val="17"/>
          <w:color w:val="DD924E"/>
        </w:rPr>
      </w:pPr>
      <w:r>
        <w:rPr>
          <w:rFonts w:ascii="Arial" w:cs="Arial" w:eastAsia="Arial" w:hAnsi="Arial"/>
          <w:sz w:val="17"/>
          <w:szCs w:val="17"/>
          <w:b w:val="1"/>
          <w:bCs w:val="1"/>
          <w:color w:val="auto"/>
        </w:rPr>
        <w:t xml:space="preserve">Assessment of Individual Performance. </w:t>
      </w:r>
      <w:r>
        <w:rPr>
          <w:rFonts w:ascii="Arial" w:cs="Arial" w:eastAsia="Arial" w:hAnsi="Arial"/>
          <w:sz w:val="17"/>
          <w:szCs w:val="17"/>
          <w:color w:val="auto"/>
        </w:rPr>
        <w:t>Individual performance has a strong impact on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of our employees, including our executive officers. The evaluation of an individual’s performance determines a portion of the payouts for each of our named executive officers made under our incentive bonus program and also influences any changes in base salary.</w:t>
      </w:r>
    </w:p>
    <w:p>
      <w:pPr>
        <w:spacing w:after="0" w:line="109" w:lineRule="exact"/>
        <w:rPr>
          <w:rFonts w:ascii="Arial" w:cs="Arial" w:eastAsia="Arial" w:hAnsi="Arial"/>
          <w:sz w:val="17"/>
          <w:szCs w:val="17"/>
          <w:color w:val="DD924E"/>
        </w:rPr>
      </w:pPr>
    </w:p>
    <w:p>
      <w:pPr>
        <w:ind w:left="1180" w:right="59" w:hanging="338"/>
        <w:spacing w:after="0" w:line="237" w:lineRule="auto"/>
        <w:rPr>
          <w:rFonts w:ascii="Arial" w:cs="Arial" w:eastAsia="Arial" w:hAnsi="Arial"/>
          <w:sz w:val="17"/>
          <w:szCs w:val="17"/>
          <w:color w:val="DD924E"/>
        </w:rPr>
      </w:pPr>
      <w:r>
        <w:rPr>
          <w:rFonts w:ascii="Arial" w:cs="Arial" w:eastAsia="Arial" w:hAnsi="Arial"/>
          <w:sz w:val="17"/>
          <w:szCs w:val="17"/>
          <w:color w:val="DD924E"/>
        </w:rPr>
        <w:t xml:space="preserve">– </w:t>
      </w:r>
      <w:r>
        <w:rPr>
          <w:rFonts w:ascii="Arial" w:cs="Arial" w:eastAsia="Arial" w:hAnsi="Arial"/>
          <w:sz w:val="17"/>
          <w:szCs w:val="17"/>
          <w:color w:val="000000"/>
        </w:rPr>
        <w:t>For Messrs. Chhibbar, Bagai, Srivatsan and Miglani, our Compensation Committee receives a</w:t>
      </w:r>
      <w:r>
        <w:rPr>
          <w:rFonts w:ascii="Arial" w:cs="Arial" w:eastAsia="Arial" w:hAnsi="Arial"/>
          <w:sz w:val="17"/>
          <w:szCs w:val="17"/>
          <w:color w:val="DD924E"/>
        </w:rPr>
        <w:t xml:space="preserve"> </w:t>
      </w:r>
      <w:r>
        <w:rPr>
          <w:rFonts w:ascii="Arial" w:cs="Arial" w:eastAsia="Arial" w:hAnsi="Arial"/>
          <w:sz w:val="17"/>
          <w:szCs w:val="17"/>
          <w:color w:val="000000"/>
        </w:rPr>
        <w:t>performance assessment and compensation recommendation from our Vice Chairman and CEO. The performance assessments are based on each of our named executive officer’s respective self-evaluations and subsequent performance appraisals conducted by our Vice Chairman and CEO. Our Compensation Committee reviews the performance assessments of these executive officers with our Vice Chairman and CEO, and evaluates the achievement of established objectives by each executive officer and his or her business line (if applicable), as well as the executive officer’s contribution to our performance, leadership accomplishments and overall competence. In determining the numerical performance rating that translates into specific payouts under our incentive bonus program and also influences any changes in base salary, our Compensation Committee may exercise its judgment based on our board of directors’ interactions with such executive officers.</w:t>
      </w:r>
    </w:p>
    <w:p>
      <w:pPr>
        <w:spacing w:after="0" w:line="133" w:lineRule="exact"/>
        <w:rPr>
          <w:rFonts w:ascii="Arial" w:cs="Arial" w:eastAsia="Arial" w:hAnsi="Arial"/>
          <w:sz w:val="17"/>
          <w:szCs w:val="17"/>
          <w:color w:val="DD924E"/>
        </w:rPr>
      </w:pPr>
    </w:p>
    <w:p>
      <w:pPr>
        <w:ind w:left="1180" w:right="59" w:hanging="338"/>
        <w:spacing w:after="0" w:line="239" w:lineRule="auto"/>
        <w:rPr>
          <w:rFonts w:ascii="Arial" w:cs="Arial" w:eastAsia="Arial" w:hAnsi="Arial"/>
          <w:sz w:val="17"/>
          <w:szCs w:val="17"/>
          <w:color w:val="DD924E"/>
        </w:rPr>
      </w:pPr>
      <w:r>
        <w:rPr>
          <w:rFonts w:ascii="Arial" w:cs="Arial" w:eastAsia="Arial" w:hAnsi="Arial"/>
          <w:sz w:val="17"/>
          <w:szCs w:val="17"/>
          <w:color w:val="DD924E"/>
        </w:rPr>
        <w:t xml:space="preserve">– </w:t>
      </w:r>
      <w:r>
        <w:rPr>
          <w:rFonts w:ascii="Arial" w:cs="Arial" w:eastAsia="Arial" w:hAnsi="Arial"/>
          <w:sz w:val="17"/>
          <w:szCs w:val="17"/>
          <w:color w:val="000000"/>
        </w:rPr>
        <w:t>For Mr. Kapoor, our board of directors receives a self-evaluation prepared by Mr. Kapoor and provides</w:t>
      </w:r>
      <w:r>
        <w:rPr>
          <w:rFonts w:ascii="Arial" w:cs="Arial" w:eastAsia="Arial" w:hAnsi="Arial"/>
          <w:sz w:val="17"/>
          <w:szCs w:val="17"/>
          <w:color w:val="DD924E"/>
        </w:rPr>
        <w:t xml:space="preserve"> </w:t>
      </w:r>
      <w:r>
        <w:rPr>
          <w:rFonts w:ascii="Arial" w:cs="Arial" w:eastAsia="Arial" w:hAnsi="Arial"/>
          <w:sz w:val="17"/>
          <w:szCs w:val="17"/>
          <w:color w:val="000000"/>
        </w:rPr>
        <w:t>feedback to our Chairman. Our Chairman then discusses the consolidated feedback from the board of directors with our Compensation Committee. Our board of directors and Compensation Committee evaluates the self-evaluation and feedback as well as Mr. Kapoor’s performance, leadership accomplishments and overall competence and evaluates the achievement of established objectives.</w:t>
      </w:r>
    </w:p>
    <w:p>
      <w:pPr>
        <w:spacing w:after="0" w:line="109" w:lineRule="exact"/>
        <w:rPr>
          <w:rFonts w:ascii="Arial" w:cs="Arial" w:eastAsia="Arial" w:hAnsi="Arial"/>
          <w:sz w:val="17"/>
          <w:szCs w:val="17"/>
          <w:color w:val="DD924E"/>
        </w:rPr>
      </w:pPr>
    </w:p>
    <w:p>
      <w:pPr>
        <w:jc w:val="both"/>
        <w:ind w:left="840" w:right="59" w:hanging="345"/>
        <w:spacing w:after="0" w:line="243" w:lineRule="auto"/>
        <w:tabs>
          <w:tab w:leader="none" w:pos="840" w:val="left"/>
        </w:tabs>
        <w:numPr>
          <w:ilvl w:val="0"/>
          <w:numId w:val="60"/>
        </w:numPr>
        <w:rPr>
          <w:rFonts w:ascii="Arial" w:cs="Arial" w:eastAsia="Arial" w:hAnsi="Arial"/>
          <w:sz w:val="17"/>
          <w:szCs w:val="17"/>
          <w:color w:val="DD924E"/>
        </w:rPr>
      </w:pPr>
      <w:r>
        <w:rPr>
          <w:rFonts w:ascii="Arial" w:cs="Arial" w:eastAsia="Arial" w:hAnsi="Arial"/>
          <w:sz w:val="17"/>
          <w:szCs w:val="17"/>
          <w:b w:val="1"/>
          <w:bCs w:val="1"/>
          <w:color w:val="auto"/>
        </w:rPr>
        <w:t xml:space="preserve">Review of Peer Company Market Data. </w:t>
      </w:r>
      <w:r>
        <w:rPr>
          <w:rFonts w:ascii="Arial" w:cs="Arial" w:eastAsia="Arial" w:hAnsi="Arial"/>
          <w:sz w:val="17"/>
          <w:szCs w:val="17"/>
          <w:color w:val="auto"/>
        </w:rPr>
        <w:t>At the time compensation decisions were made for our U.S.-based and other senior executive officers in 2017, our Compensation Committee reviewed publicly available compensation data for companies that are engaged in business and technology services like us. The Compensation Committee took into account whether the companies had market capitalizations or annual revenues similar to ours, as well as the relevance of their geographic areas. The companies that composed our peer group for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73025</wp:posOffset>
            </wp:positionV>
            <wp:extent cx="4762500" cy="13677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62500" cy="1367790"/>
                    </a:xfrm>
                    <a:prstGeom prst="rect">
                      <a:avLst/>
                    </a:prstGeom>
                    <a:noFill/>
                  </pic:spPr>
                </pic:pic>
              </a:graphicData>
            </a:graphic>
          </wp:anchor>
        </w:drawing>
      </w:r>
    </w:p>
    <w:p>
      <w:pPr>
        <w:spacing w:after="0" w:line="100"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Peer Group Companies</w:t>
      </w:r>
    </w:p>
    <w:p>
      <w:pPr>
        <w:spacing w:after="0" w:line="94" w:lineRule="exact"/>
        <w:rPr>
          <w:sz w:val="20"/>
          <w:szCs w:val="20"/>
          <w:color w:val="auto"/>
        </w:rPr>
      </w:pPr>
    </w:p>
    <w:tbl>
      <w:tblPr>
        <w:tblLayout w:type="fixed"/>
        <w:tblInd w:w="820" w:type="dxa"/>
        <w:tblCellMar>
          <w:top w:w="0" w:type="dxa"/>
          <w:left w:w="0" w:type="dxa"/>
          <w:bottom w:w="0" w:type="dxa"/>
          <w:right w:w="0" w:type="dxa"/>
        </w:tblCellMar>
      </w:tblPr>
      <w:tr>
        <w:trPr>
          <w:trHeight w:val="205"/>
        </w:trPr>
        <w:tc>
          <w:tcPr>
            <w:tcW w:w="3340" w:type="dxa"/>
            <w:vAlign w:val="bottom"/>
          </w:tcPr>
          <w:p>
            <w:pPr>
              <w:ind w:left="120"/>
              <w:spacing w:after="0"/>
              <w:rPr>
                <w:sz w:val="20"/>
                <w:szCs w:val="20"/>
                <w:color w:val="auto"/>
              </w:rPr>
            </w:pPr>
            <w:r>
              <w:rPr>
                <w:rFonts w:ascii="Arial" w:cs="Arial" w:eastAsia="Arial" w:hAnsi="Arial"/>
                <w:sz w:val="17"/>
                <w:szCs w:val="17"/>
                <w:color w:val="auto"/>
              </w:rPr>
              <w:t>Altisource Portfolio Solutions S.A.</w:t>
            </w:r>
          </w:p>
        </w:tc>
        <w:tc>
          <w:tcPr>
            <w:tcW w:w="4160" w:type="dxa"/>
            <w:vAlign w:val="bottom"/>
          </w:tcPr>
          <w:p>
            <w:pPr>
              <w:ind w:left="500"/>
              <w:spacing w:after="0"/>
              <w:rPr>
                <w:sz w:val="20"/>
                <w:szCs w:val="20"/>
                <w:color w:val="auto"/>
              </w:rPr>
            </w:pPr>
            <w:r>
              <w:rPr>
                <w:rFonts w:ascii="Arial" w:cs="Arial" w:eastAsia="Arial" w:hAnsi="Arial"/>
                <w:sz w:val="17"/>
                <w:szCs w:val="17"/>
                <w:color w:val="auto"/>
              </w:rPr>
              <w:t>HMS Holdings Corp.</w:t>
            </w:r>
          </w:p>
        </w:tc>
      </w:tr>
      <w:tr>
        <w:trPr>
          <w:trHeight w:val="27"/>
        </w:trPr>
        <w:tc>
          <w:tcPr>
            <w:tcW w:w="33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69"/>
        </w:trPr>
        <w:tc>
          <w:tcPr>
            <w:tcW w:w="3340" w:type="dxa"/>
            <w:vAlign w:val="bottom"/>
            <w:shd w:val="clear" w:color="auto" w:fill="FBF4ED"/>
          </w:tcPr>
          <w:p>
            <w:pPr>
              <w:ind w:left="120"/>
              <w:spacing w:after="0" w:line="270" w:lineRule="exact"/>
              <w:rPr>
                <w:sz w:val="20"/>
                <w:szCs w:val="20"/>
                <w:color w:val="auto"/>
              </w:rPr>
            </w:pPr>
            <w:r>
              <w:rPr>
                <w:rFonts w:ascii="Arial" w:cs="Arial" w:eastAsia="Arial" w:hAnsi="Arial"/>
                <w:sz w:val="17"/>
                <w:szCs w:val="17"/>
                <w:color w:val="auto"/>
              </w:rPr>
              <w:t>Ciber, Inc.</w:t>
            </w:r>
            <w:r>
              <w:rPr>
                <w:rFonts w:ascii="Arial" w:cs="Arial" w:eastAsia="Arial" w:hAnsi="Arial"/>
                <w:sz w:val="27"/>
                <w:szCs w:val="27"/>
                <w:color w:val="auto"/>
                <w:vertAlign w:val="superscript"/>
              </w:rPr>
              <w:t>(1)</w:t>
            </w:r>
          </w:p>
        </w:tc>
        <w:tc>
          <w:tcPr>
            <w:tcW w:w="4160" w:type="dxa"/>
            <w:vAlign w:val="bottom"/>
            <w:shd w:val="clear" w:color="auto" w:fill="FBF4ED"/>
          </w:tcPr>
          <w:p>
            <w:pPr>
              <w:ind w:left="500"/>
              <w:spacing w:after="0" w:line="270" w:lineRule="exact"/>
              <w:rPr>
                <w:sz w:val="20"/>
                <w:szCs w:val="20"/>
                <w:color w:val="auto"/>
              </w:rPr>
            </w:pPr>
            <w:r>
              <w:rPr>
                <w:rFonts w:ascii="Arial" w:cs="Arial" w:eastAsia="Arial" w:hAnsi="Arial"/>
                <w:sz w:val="17"/>
                <w:szCs w:val="17"/>
                <w:color w:val="auto"/>
              </w:rPr>
              <w:t>Solera Holdings, Inc.</w:t>
            </w:r>
            <w:r>
              <w:rPr>
                <w:rFonts w:ascii="Arial" w:cs="Arial" w:eastAsia="Arial" w:hAnsi="Arial"/>
                <w:sz w:val="27"/>
                <w:szCs w:val="27"/>
                <w:color w:val="auto"/>
                <w:vertAlign w:val="superscript"/>
              </w:rPr>
              <w:t>(2)</w:t>
            </w:r>
          </w:p>
        </w:tc>
      </w:tr>
      <w:tr>
        <w:trPr>
          <w:trHeight w:val="242"/>
        </w:trPr>
        <w:tc>
          <w:tcPr>
            <w:tcW w:w="3340" w:type="dxa"/>
            <w:vAlign w:val="bottom"/>
          </w:tcPr>
          <w:p>
            <w:pPr>
              <w:ind w:left="120"/>
              <w:spacing w:after="0"/>
              <w:rPr>
                <w:sz w:val="20"/>
                <w:szCs w:val="20"/>
                <w:color w:val="auto"/>
              </w:rPr>
            </w:pPr>
            <w:r>
              <w:rPr>
                <w:rFonts w:ascii="Arial" w:cs="Arial" w:eastAsia="Arial" w:hAnsi="Arial"/>
                <w:sz w:val="17"/>
                <w:szCs w:val="17"/>
                <w:color w:val="auto"/>
              </w:rPr>
              <w:t>Computer Task Group, Incorporated</w:t>
            </w:r>
          </w:p>
        </w:tc>
        <w:tc>
          <w:tcPr>
            <w:tcW w:w="4160" w:type="dxa"/>
            <w:vAlign w:val="bottom"/>
          </w:tcPr>
          <w:p>
            <w:pPr>
              <w:ind w:left="500"/>
              <w:spacing w:after="0"/>
              <w:rPr>
                <w:sz w:val="20"/>
                <w:szCs w:val="20"/>
                <w:color w:val="auto"/>
              </w:rPr>
            </w:pPr>
            <w:r>
              <w:rPr>
                <w:rFonts w:ascii="Arial" w:cs="Arial" w:eastAsia="Arial" w:hAnsi="Arial"/>
                <w:sz w:val="17"/>
                <w:szCs w:val="17"/>
                <w:color w:val="auto"/>
              </w:rPr>
              <w:t>Sykes Enterprises, Incorporated</w:t>
            </w:r>
          </w:p>
        </w:tc>
      </w:tr>
      <w:tr>
        <w:trPr>
          <w:trHeight w:val="27"/>
        </w:trPr>
        <w:tc>
          <w:tcPr>
            <w:tcW w:w="33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49"/>
        </w:trPr>
        <w:tc>
          <w:tcPr>
            <w:tcW w:w="3340" w:type="dxa"/>
            <w:vAlign w:val="bottom"/>
            <w:tcBorders>
              <w:bottom w:val="single" w:sz="8" w:color="FBF4ED"/>
            </w:tcBorders>
            <w:shd w:val="clear" w:color="auto" w:fill="FBF4ED"/>
          </w:tcPr>
          <w:p>
            <w:pPr>
              <w:ind w:left="120"/>
              <w:spacing w:after="0"/>
              <w:rPr>
                <w:sz w:val="20"/>
                <w:szCs w:val="20"/>
                <w:color w:val="auto"/>
              </w:rPr>
            </w:pPr>
            <w:r>
              <w:rPr>
                <w:rFonts w:ascii="Arial" w:cs="Arial" w:eastAsia="Arial" w:hAnsi="Arial"/>
                <w:sz w:val="17"/>
                <w:szCs w:val="17"/>
                <w:color w:val="auto"/>
              </w:rPr>
              <w:t>Convergys Corporation</w:t>
            </w:r>
          </w:p>
        </w:tc>
        <w:tc>
          <w:tcPr>
            <w:tcW w:w="4160" w:type="dxa"/>
            <w:vAlign w:val="bottom"/>
            <w:tcBorders>
              <w:bottom w:val="single" w:sz="8" w:color="FBF4ED"/>
            </w:tcBorders>
            <w:shd w:val="clear" w:color="auto" w:fill="FBF4ED"/>
          </w:tcPr>
          <w:p>
            <w:pPr>
              <w:ind w:left="500"/>
              <w:spacing w:after="0"/>
              <w:rPr>
                <w:sz w:val="20"/>
                <w:szCs w:val="20"/>
                <w:color w:val="auto"/>
              </w:rPr>
            </w:pPr>
            <w:r>
              <w:rPr>
                <w:rFonts w:ascii="Arial" w:cs="Arial" w:eastAsia="Arial" w:hAnsi="Arial"/>
                <w:sz w:val="17"/>
                <w:szCs w:val="17"/>
                <w:color w:val="auto"/>
              </w:rPr>
              <w:t>Syntel Inc.</w:t>
            </w:r>
          </w:p>
        </w:tc>
      </w:tr>
      <w:tr>
        <w:trPr>
          <w:trHeight w:val="242"/>
        </w:trPr>
        <w:tc>
          <w:tcPr>
            <w:tcW w:w="3340" w:type="dxa"/>
            <w:vAlign w:val="bottom"/>
          </w:tcPr>
          <w:p>
            <w:pPr>
              <w:ind w:left="120"/>
              <w:spacing w:after="0"/>
              <w:rPr>
                <w:sz w:val="20"/>
                <w:szCs w:val="20"/>
                <w:color w:val="auto"/>
              </w:rPr>
            </w:pPr>
            <w:r>
              <w:rPr>
                <w:rFonts w:ascii="Arial" w:cs="Arial" w:eastAsia="Arial" w:hAnsi="Arial"/>
                <w:sz w:val="17"/>
                <w:szCs w:val="17"/>
                <w:color w:val="auto"/>
              </w:rPr>
              <w:t>CSG Systems International, Inc.</w:t>
            </w:r>
          </w:p>
        </w:tc>
        <w:tc>
          <w:tcPr>
            <w:tcW w:w="4160" w:type="dxa"/>
            <w:vAlign w:val="bottom"/>
          </w:tcPr>
          <w:p>
            <w:pPr>
              <w:ind w:left="500"/>
              <w:spacing w:after="0"/>
              <w:rPr>
                <w:sz w:val="20"/>
                <w:szCs w:val="20"/>
                <w:color w:val="auto"/>
              </w:rPr>
            </w:pPr>
            <w:r>
              <w:rPr>
                <w:rFonts w:ascii="Arial" w:cs="Arial" w:eastAsia="Arial" w:hAnsi="Arial"/>
                <w:sz w:val="17"/>
                <w:szCs w:val="17"/>
                <w:color w:val="auto"/>
              </w:rPr>
              <w:t>TeleTech Holdings, Inc.</w:t>
            </w:r>
          </w:p>
        </w:tc>
      </w:tr>
      <w:tr>
        <w:trPr>
          <w:trHeight w:val="27"/>
        </w:trPr>
        <w:tc>
          <w:tcPr>
            <w:tcW w:w="33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49"/>
        </w:trPr>
        <w:tc>
          <w:tcPr>
            <w:tcW w:w="3340" w:type="dxa"/>
            <w:vAlign w:val="bottom"/>
            <w:tcBorders>
              <w:bottom w:val="single" w:sz="8" w:color="FBF4ED"/>
            </w:tcBorders>
            <w:shd w:val="clear" w:color="auto" w:fill="FBF4ED"/>
          </w:tcPr>
          <w:p>
            <w:pPr>
              <w:ind w:left="120"/>
              <w:spacing w:after="0"/>
              <w:rPr>
                <w:sz w:val="20"/>
                <w:szCs w:val="20"/>
                <w:color w:val="auto"/>
              </w:rPr>
            </w:pPr>
            <w:r>
              <w:rPr>
                <w:rFonts w:ascii="Arial" w:cs="Arial" w:eastAsia="Arial" w:hAnsi="Arial"/>
                <w:sz w:val="17"/>
                <w:szCs w:val="17"/>
                <w:color w:val="auto"/>
              </w:rPr>
              <w:t>EPAM Systems, Inc.</w:t>
            </w:r>
          </w:p>
        </w:tc>
        <w:tc>
          <w:tcPr>
            <w:tcW w:w="4160" w:type="dxa"/>
            <w:vAlign w:val="bottom"/>
            <w:tcBorders>
              <w:bottom w:val="single" w:sz="8" w:color="FBF4ED"/>
            </w:tcBorders>
            <w:shd w:val="clear" w:color="auto" w:fill="FBF4ED"/>
          </w:tcPr>
          <w:p>
            <w:pPr>
              <w:ind w:left="500"/>
              <w:spacing w:after="0"/>
              <w:rPr>
                <w:sz w:val="20"/>
                <w:szCs w:val="20"/>
                <w:color w:val="auto"/>
              </w:rPr>
            </w:pPr>
            <w:r>
              <w:rPr>
                <w:rFonts w:ascii="Arial" w:cs="Arial" w:eastAsia="Arial" w:hAnsi="Arial"/>
                <w:sz w:val="17"/>
                <w:szCs w:val="17"/>
                <w:color w:val="auto"/>
              </w:rPr>
              <w:t>Virtusa Corporation</w:t>
            </w:r>
          </w:p>
        </w:tc>
      </w:tr>
      <w:tr>
        <w:trPr>
          <w:trHeight w:val="242"/>
        </w:trPr>
        <w:tc>
          <w:tcPr>
            <w:tcW w:w="3340" w:type="dxa"/>
            <w:vAlign w:val="bottom"/>
          </w:tcPr>
          <w:p>
            <w:pPr>
              <w:ind w:left="120"/>
              <w:spacing w:after="0"/>
              <w:rPr>
                <w:sz w:val="20"/>
                <w:szCs w:val="20"/>
                <w:color w:val="auto"/>
              </w:rPr>
            </w:pPr>
            <w:r>
              <w:rPr>
                <w:rFonts w:ascii="Arial" w:cs="Arial" w:eastAsia="Arial" w:hAnsi="Arial"/>
                <w:sz w:val="17"/>
                <w:szCs w:val="17"/>
                <w:color w:val="auto"/>
              </w:rPr>
              <w:t>Genpact Limited</w:t>
            </w:r>
          </w:p>
        </w:tc>
        <w:tc>
          <w:tcPr>
            <w:tcW w:w="4160" w:type="dxa"/>
            <w:vAlign w:val="bottom"/>
          </w:tcPr>
          <w:p>
            <w:pPr>
              <w:ind w:left="500"/>
              <w:spacing w:after="0"/>
              <w:rPr>
                <w:sz w:val="20"/>
                <w:szCs w:val="20"/>
                <w:color w:val="auto"/>
              </w:rPr>
            </w:pPr>
            <w:r>
              <w:rPr>
                <w:rFonts w:ascii="Arial" w:cs="Arial" w:eastAsia="Arial" w:hAnsi="Arial"/>
                <w:sz w:val="17"/>
                <w:szCs w:val="17"/>
                <w:color w:val="auto"/>
              </w:rPr>
              <w:t>WNS (Holdings) Limited</w:t>
            </w:r>
          </w:p>
        </w:tc>
      </w:tr>
    </w:tbl>
    <w:p>
      <w:pPr>
        <w:spacing w:after="0" w:line="185" w:lineRule="exact"/>
        <w:rPr>
          <w:sz w:val="20"/>
          <w:szCs w:val="20"/>
          <w:color w:val="auto"/>
        </w:rPr>
      </w:pPr>
    </w:p>
    <w:p>
      <w:pPr>
        <w:ind w:left="1180" w:hanging="347"/>
        <w:spacing w:after="0"/>
        <w:tabs>
          <w:tab w:leader="none" w:pos="11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Ciber Inc. filed for bankruptcy in April 2017.</w:t>
      </w:r>
    </w:p>
    <w:p>
      <w:pPr>
        <w:spacing w:after="0" w:line="133" w:lineRule="exact"/>
        <w:rPr>
          <w:rFonts w:ascii="Arial" w:cs="Arial" w:eastAsia="Arial" w:hAnsi="Arial"/>
          <w:sz w:val="14"/>
          <w:szCs w:val="14"/>
          <w:color w:val="auto"/>
        </w:rPr>
      </w:pPr>
    </w:p>
    <w:p>
      <w:pPr>
        <w:ind w:left="1180" w:hanging="347"/>
        <w:spacing w:after="0"/>
        <w:tabs>
          <w:tab w:leader="none" w:pos="11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Solera Holdings was taken private in March 2016.</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9" w:name="page40"/>
    <w:bookmarkEnd w:id="39"/>
    <w:p>
      <w:pPr>
        <w:spacing w:after="0" w:line="58" w:lineRule="exact"/>
        <w:rPr>
          <w:sz w:val="20"/>
          <w:szCs w:val="20"/>
          <w:color w:val="auto"/>
        </w:rPr>
      </w:pPr>
    </w:p>
    <w:p>
      <w:pPr>
        <w:jc w:val="both"/>
        <w:ind w:left="160" w:right="59"/>
        <w:spacing w:after="0" w:line="238" w:lineRule="auto"/>
        <w:rPr>
          <w:sz w:val="20"/>
          <w:szCs w:val="20"/>
          <w:color w:val="auto"/>
        </w:rPr>
      </w:pPr>
      <w:r>
        <w:rPr>
          <w:rFonts w:ascii="Arial" w:cs="Arial" w:eastAsia="Arial" w:hAnsi="Arial"/>
          <w:sz w:val="17"/>
          <w:szCs w:val="17"/>
          <w:color w:val="auto"/>
        </w:rPr>
        <w:t>The compensation data for our peer group is compiled directly by FW Cook, the independent consultant to the Compensation Committee. The peer group compensation data was supplemented by global general industry and technology industry survey data. The data from the surveys was scaled to our size by FW Cook based on revenues or corresponding revenue ranges as provided by the surveys. While the Compensation Committee reviewed and considered the data provided by these surveys, it did not consider or review the compensation paid to executives at the component companies included within such surveys and did not use this information or any other data as a benchmark to set executive compensation for fiscal year 2017.</w:t>
      </w:r>
    </w:p>
    <w:p>
      <w:pPr>
        <w:spacing w:after="0" w:line="117"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Our Compensation Committee uses the compensation data to obtain a general understanding of current market practices, so it can design our executive compensation program to be competitive. Market data is not used exclusively, but rather as a point of reference to draw comparisons and distinctions. The Compensation Committee also takes into account an executive officer’s job responsibilities, performance, qualifications and skills in determining individual compensation levels.</w:t>
      </w:r>
    </w:p>
    <w:p>
      <w:pPr>
        <w:spacing w:after="0" w:line="109" w:lineRule="exact"/>
        <w:rPr>
          <w:sz w:val="20"/>
          <w:szCs w:val="20"/>
          <w:color w:val="auto"/>
        </w:rPr>
      </w:pPr>
    </w:p>
    <w:p>
      <w:pPr>
        <w:jc w:val="both"/>
        <w:ind w:left="840" w:right="79" w:hanging="345"/>
        <w:spacing w:after="0" w:line="242" w:lineRule="auto"/>
        <w:tabs>
          <w:tab w:leader="none" w:pos="840" w:val="left"/>
        </w:tabs>
        <w:numPr>
          <w:ilvl w:val="0"/>
          <w:numId w:val="62"/>
        </w:numPr>
        <w:rPr>
          <w:rFonts w:ascii="Arial" w:cs="Arial" w:eastAsia="Arial" w:hAnsi="Arial"/>
          <w:sz w:val="17"/>
          <w:szCs w:val="17"/>
          <w:color w:val="DD924E"/>
        </w:rPr>
      </w:pPr>
      <w:r>
        <w:rPr>
          <w:rFonts w:ascii="Arial" w:cs="Arial" w:eastAsia="Arial" w:hAnsi="Arial"/>
          <w:sz w:val="17"/>
          <w:szCs w:val="17"/>
          <w:b w:val="1"/>
          <w:bCs w:val="1"/>
          <w:color w:val="auto"/>
        </w:rPr>
        <w:t xml:space="preserve">Total Compensation Review. </w:t>
      </w:r>
      <w:r>
        <w:rPr>
          <w:rFonts w:ascii="Arial" w:cs="Arial" w:eastAsia="Arial" w:hAnsi="Arial"/>
          <w:sz w:val="17"/>
          <w:szCs w:val="17"/>
          <w:color w:val="auto"/>
        </w:rPr>
        <w:t>Our Compensation Committee reviews compensation information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by FW Cook in order to evaluate each executive’s base pay, incentive bonus and equity incentives when changes in compensation are considered. Compensation decisions are designed to promote our fundamental business objectives and strategy. Our Compensation Committee periodically reviews related matters such as succession planning and management, evaluation of management performance, changes in the scope of managerial responsibilities, and consideration of the business environment, and considers such matters in making compensation decisions.</w:t>
      </w:r>
    </w:p>
    <w:p>
      <w:pPr>
        <w:spacing w:after="0" w:line="107" w:lineRule="exact"/>
        <w:rPr>
          <w:rFonts w:ascii="Arial" w:cs="Arial" w:eastAsia="Arial" w:hAnsi="Arial"/>
          <w:sz w:val="17"/>
          <w:szCs w:val="17"/>
          <w:color w:val="DD924E"/>
        </w:rPr>
      </w:pPr>
    </w:p>
    <w:p>
      <w:pPr>
        <w:jc w:val="both"/>
        <w:ind w:left="840" w:right="59" w:hanging="345"/>
        <w:spacing w:after="0"/>
        <w:tabs>
          <w:tab w:leader="none" w:pos="840" w:val="left"/>
        </w:tabs>
        <w:numPr>
          <w:ilvl w:val="0"/>
          <w:numId w:val="62"/>
        </w:numPr>
        <w:rPr>
          <w:rFonts w:ascii="Arial" w:cs="Arial" w:eastAsia="Arial" w:hAnsi="Arial"/>
          <w:sz w:val="17"/>
          <w:szCs w:val="17"/>
          <w:color w:val="DD924E"/>
        </w:rPr>
      </w:pPr>
      <w:r>
        <w:rPr>
          <w:rFonts w:ascii="Arial" w:cs="Arial" w:eastAsia="Arial" w:hAnsi="Arial"/>
          <w:sz w:val="17"/>
          <w:szCs w:val="17"/>
          <w:b w:val="1"/>
          <w:bCs w:val="1"/>
          <w:color w:val="auto"/>
        </w:rPr>
        <w:t xml:space="preserve">Role of the Compensation Committee’s Independent Compensation Consultant. </w:t>
      </w:r>
      <w:r>
        <w:rPr>
          <w:rFonts w:ascii="Arial" w:cs="Arial" w:eastAsia="Arial" w:hAnsi="Arial"/>
          <w:sz w:val="17"/>
          <w:szCs w:val="17"/>
          <w:color w:val="auto"/>
        </w:rPr>
        <w:t>For 2017,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retained the services of FW Cook, a qualified and independent compensation consultant, to aid the Compensation Committee in performing its duties. The Compensation Committee’s compensation consultant assists in collecting and evaluating external market data regarding executive compensation and performance, selecting peer group companies, reviewing the proxy statement and advising the Compensation Committee on developing trends and best practices in executive compensation, director compensation and equity and incentive plan design. Other than performing these consulting services, FW Cook does not provide other services to us or our executive officers. We have affirmatively determined that no conflict of interest has arisen in connection with the work of FW Cook as compensation consultant for the Compensation Committee.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0" w:name="page41"/>
    <w:bookmarkEnd w:id="40"/>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Components of Executive Compensation for 2017</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For 2017, the compensation of executive officers consisted of the following five primary components:</w:t>
      </w:r>
    </w:p>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1600" w:type="dxa"/>
            <w:vAlign w:val="bottom"/>
            <w:shd w:val="clear" w:color="auto" w:fill="DD924E"/>
          </w:tcPr>
          <w:p>
            <w:pPr>
              <w:jc w:val="center"/>
              <w:spacing w:after="0"/>
              <w:rPr>
                <w:sz w:val="20"/>
                <w:szCs w:val="20"/>
                <w:color w:val="auto"/>
              </w:rPr>
            </w:pPr>
            <w:r>
              <w:rPr>
                <w:rFonts w:ascii="Arial" w:cs="Arial" w:eastAsia="Arial" w:hAnsi="Arial"/>
                <w:sz w:val="17"/>
                <w:szCs w:val="17"/>
                <w:b w:val="1"/>
                <w:bCs w:val="1"/>
                <w:color w:val="FFFFFF"/>
              </w:rPr>
              <w:t>Compensation</w:t>
            </w:r>
          </w:p>
        </w:tc>
        <w:tc>
          <w:tcPr>
            <w:tcW w:w="3600" w:type="dxa"/>
            <w:vAlign w:val="bottom"/>
            <w:shd w:val="clear" w:color="auto" w:fill="DD924E"/>
          </w:tcPr>
          <w:p>
            <w:pPr>
              <w:ind w:left="1320"/>
              <w:spacing w:after="0"/>
              <w:rPr>
                <w:sz w:val="20"/>
                <w:szCs w:val="20"/>
                <w:color w:val="auto"/>
              </w:rPr>
            </w:pPr>
            <w:r>
              <w:rPr>
                <w:rFonts w:ascii="Arial" w:cs="Arial" w:eastAsia="Arial" w:hAnsi="Arial"/>
                <w:sz w:val="17"/>
                <w:szCs w:val="17"/>
                <w:b w:val="1"/>
                <w:bCs w:val="1"/>
                <w:color w:val="FFFFFF"/>
              </w:rPr>
              <w:t>Description</w:t>
            </w:r>
          </w:p>
        </w:tc>
        <w:tc>
          <w:tcPr>
            <w:tcW w:w="3600" w:type="dxa"/>
            <w:vAlign w:val="bottom"/>
            <w:shd w:val="clear" w:color="auto" w:fill="DD924E"/>
          </w:tcPr>
          <w:p>
            <w:pPr>
              <w:ind w:left="1360"/>
              <w:spacing w:after="0"/>
              <w:rPr>
                <w:sz w:val="20"/>
                <w:szCs w:val="20"/>
                <w:color w:val="auto"/>
              </w:rPr>
            </w:pPr>
            <w:r>
              <w:rPr>
                <w:rFonts w:ascii="Arial" w:cs="Arial" w:eastAsia="Arial" w:hAnsi="Arial"/>
                <w:sz w:val="17"/>
                <w:szCs w:val="17"/>
                <w:b w:val="1"/>
                <w:bCs w:val="1"/>
                <w:color w:val="FFFFFF"/>
              </w:rPr>
              <w:t>Objectives</w:t>
            </w:r>
          </w:p>
        </w:tc>
      </w:tr>
      <w:tr>
        <w:trPr>
          <w:trHeight w:val="239"/>
        </w:trPr>
        <w:tc>
          <w:tcPr>
            <w:tcW w:w="1600" w:type="dxa"/>
            <w:vAlign w:val="bottom"/>
            <w:shd w:val="clear" w:color="auto" w:fill="DD924E"/>
          </w:tcPr>
          <w:p>
            <w:pPr>
              <w:jc w:val="center"/>
              <w:spacing w:after="0"/>
              <w:rPr>
                <w:sz w:val="20"/>
                <w:szCs w:val="20"/>
                <w:color w:val="auto"/>
              </w:rPr>
            </w:pPr>
            <w:r>
              <w:rPr>
                <w:rFonts w:ascii="Arial" w:cs="Arial" w:eastAsia="Arial" w:hAnsi="Arial"/>
                <w:sz w:val="17"/>
                <w:szCs w:val="17"/>
                <w:b w:val="1"/>
                <w:bCs w:val="1"/>
                <w:color w:val="FFFFFF"/>
              </w:rPr>
              <w:t>Component</w:t>
            </w:r>
          </w:p>
        </w:tc>
        <w:tc>
          <w:tcPr>
            <w:tcW w:w="3600" w:type="dxa"/>
            <w:vAlign w:val="bottom"/>
            <w:shd w:val="clear" w:color="auto" w:fill="DD924E"/>
          </w:tcPr>
          <w:p>
            <w:pPr>
              <w:spacing w:after="0"/>
              <w:rPr>
                <w:sz w:val="20"/>
                <w:szCs w:val="20"/>
                <w:color w:val="auto"/>
              </w:rPr>
            </w:pPr>
          </w:p>
        </w:tc>
        <w:tc>
          <w:tcPr>
            <w:tcW w:w="3600" w:type="dxa"/>
            <w:vAlign w:val="bottom"/>
            <w:shd w:val="clear" w:color="auto" w:fill="DD924E"/>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0</wp:posOffset>
            </wp:positionV>
            <wp:extent cx="5593080" cy="37693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93080" cy="376936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2" w:lineRule="exact"/>
        <w:rPr>
          <w:sz w:val="20"/>
          <w:szCs w:val="20"/>
          <w:color w:val="auto"/>
        </w:rPr>
      </w:pPr>
    </w:p>
    <w:p>
      <w:pPr>
        <w:ind w:left="280"/>
        <w:spacing w:after="0"/>
        <w:tabs>
          <w:tab w:leader="none" w:pos="1820" w:val="left"/>
          <w:tab w:leader="none" w:pos="2160" w:val="left"/>
        </w:tabs>
        <w:rPr>
          <w:sz w:val="20"/>
          <w:szCs w:val="20"/>
          <w:color w:val="auto"/>
        </w:rPr>
      </w:pPr>
      <w:r>
        <w:rPr>
          <w:rFonts w:ascii="Arial" w:cs="Arial" w:eastAsia="Arial" w:hAnsi="Arial"/>
          <w:sz w:val="15"/>
          <w:szCs w:val="15"/>
          <w:b w:val="1"/>
          <w:bCs w:val="1"/>
          <w:color w:val="auto"/>
        </w:rPr>
        <w:t>Base Salary</w:t>
      </w:r>
      <w:r>
        <w:rPr>
          <w:sz w:val="20"/>
          <w:szCs w:val="20"/>
          <w:color w:val="auto"/>
        </w:rPr>
        <w:tab/>
      </w:r>
      <w:r>
        <w:rPr>
          <w:rFonts w:ascii="Arial" w:cs="Arial" w:eastAsia="Arial" w:hAnsi="Arial"/>
          <w:sz w:val="17"/>
          <w:szCs w:val="17"/>
          <w:color w:val="DD924E"/>
        </w:rPr>
        <w:t>&gt;</w:t>
      </w:r>
      <w:r>
        <w:rPr>
          <w:sz w:val="20"/>
          <w:szCs w:val="20"/>
          <w:color w:val="auto"/>
        </w:rPr>
        <w:tab/>
      </w:r>
      <w:r>
        <w:rPr>
          <w:rFonts w:ascii="Arial" w:cs="Arial" w:eastAsia="Arial" w:hAnsi="Arial"/>
          <w:sz w:val="15"/>
          <w:szCs w:val="15"/>
          <w:color w:val="auto"/>
        </w:rPr>
        <w:t>Fixed compensation that is reviewed</w:t>
      </w:r>
    </w:p>
    <w:p>
      <w:pPr>
        <w:spacing w:after="0" w:line="3" w:lineRule="exact"/>
        <w:rPr>
          <w:sz w:val="20"/>
          <w:szCs w:val="20"/>
          <w:color w:val="auto"/>
        </w:rPr>
      </w:pPr>
    </w:p>
    <w:p>
      <w:pPr>
        <w:ind w:left="2180"/>
        <w:spacing w:after="0" w:line="258" w:lineRule="auto"/>
        <w:rPr>
          <w:sz w:val="20"/>
          <w:szCs w:val="20"/>
          <w:color w:val="auto"/>
        </w:rPr>
      </w:pPr>
      <w:r>
        <w:rPr>
          <w:rFonts w:ascii="Arial" w:cs="Arial" w:eastAsia="Arial" w:hAnsi="Arial"/>
          <w:sz w:val="15"/>
          <w:szCs w:val="15"/>
          <w:color w:val="auto"/>
        </w:rPr>
        <w:t>annually and is based on performance, experience, responsibilities, skill set and market value.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both"/>
        <w:ind w:left="329" w:right="339" w:hanging="329"/>
        <w:spacing w:after="0" w:line="237" w:lineRule="auto"/>
        <w:tabs>
          <w:tab w:leader="none" w:pos="329" w:val="left"/>
        </w:tabs>
        <w:numPr>
          <w:ilvl w:val="0"/>
          <w:numId w:val="63"/>
        </w:numPr>
        <w:rPr>
          <w:rFonts w:ascii="Arial" w:cs="Arial" w:eastAsia="Arial" w:hAnsi="Arial"/>
          <w:sz w:val="17"/>
          <w:szCs w:val="17"/>
          <w:color w:val="DD924E"/>
        </w:rPr>
      </w:pPr>
      <w:r>
        <w:rPr>
          <w:rFonts w:ascii="Arial" w:cs="Arial" w:eastAsia="Arial" w:hAnsi="Arial"/>
          <w:sz w:val="15"/>
          <w:szCs w:val="15"/>
          <w:color w:val="auto"/>
        </w:rPr>
        <w:t>Provide a base level of compensation that corresponds to the job function performed.</w:t>
      </w:r>
    </w:p>
    <w:p>
      <w:pPr>
        <w:spacing w:after="0" w:line="149" w:lineRule="exact"/>
        <w:rPr>
          <w:rFonts w:ascii="Arial" w:cs="Arial" w:eastAsia="Arial" w:hAnsi="Arial"/>
          <w:sz w:val="17"/>
          <w:szCs w:val="17"/>
          <w:color w:val="DD924E"/>
        </w:rPr>
      </w:pPr>
    </w:p>
    <w:p>
      <w:pPr>
        <w:ind w:left="329" w:right="219" w:hanging="329"/>
        <w:spacing w:after="0" w:line="237" w:lineRule="auto"/>
        <w:tabs>
          <w:tab w:leader="none" w:pos="329" w:val="left"/>
        </w:tabs>
        <w:numPr>
          <w:ilvl w:val="0"/>
          <w:numId w:val="63"/>
        </w:numPr>
        <w:rPr>
          <w:rFonts w:ascii="Arial" w:cs="Arial" w:eastAsia="Arial" w:hAnsi="Arial"/>
          <w:sz w:val="17"/>
          <w:szCs w:val="17"/>
          <w:color w:val="DD924E"/>
        </w:rPr>
      </w:pPr>
      <w:r>
        <w:rPr>
          <w:rFonts w:ascii="Arial" w:cs="Arial" w:eastAsia="Arial" w:hAnsi="Arial"/>
          <w:sz w:val="15"/>
          <w:szCs w:val="15"/>
          <w:color w:val="auto"/>
        </w:rPr>
        <w:t>Attract, retain, reward and motivate qualified and experienced executives.</w:t>
      </w:r>
    </w:p>
    <w:p>
      <w:pPr>
        <w:spacing w:after="0" w:line="21" w:lineRule="exact"/>
        <w:rPr>
          <w:sz w:val="20"/>
          <w:szCs w:val="20"/>
          <w:color w:val="auto"/>
        </w:rPr>
      </w:pPr>
    </w:p>
    <w:p>
      <w:pPr>
        <w:sectPr>
          <w:pgSz w:w="11900" w:h="16838" w:orient="portrait"/>
          <w:cols w:equalWidth="0" w:num="2">
            <w:col w:w="4920" w:space="531"/>
            <w:col w:w="3568"/>
          </w:cols>
          <w:pgMar w:left="1440" w:top="1440" w:right="1440" w:bottom="1440" w:gutter="0" w:footer="0" w:header="0"/>
          <w:type w:val="continuous"/>
        </w:sectPr>
      </w:pPr>
    </w:p>
    <w:tbl>
      <w:tblPr>
        <w:tblLayout w:type="fixed"/>
        <w:tblInd w:w="160" w:type="dxa"/>
        <w:tblCellMar>
          <w:top w:w="0" w:type="dxa"/>
          <w:left w:w="0" w:type="dxa"/>
          <w:bottom w:w="0" w:type="dxa"/>
          <w:right w:w="0" w:type="dxa"/>
        </w:tblCellMar>
      </w:tblPr>
      <w:tr>
        <w:trPr>
          <w:trHeight w:val="218"/>
        </w:trPr>
        <w:tc>
          <w:tcPr>
            <w:tcW w:w="1560" w:type="dxa"/>
            <w:vAlign w:val="bottom"/>
            <w:shd w:val="clear" w:color="auto" w:fill="FBF4ED"/>
          </w:tcPr>
          <w:p>
            <w:pPr>
              <w:ind w:left="120"/>
              <w:spacing w:after="0"/>
              <w:rPr>
                <w:sz w:val="20"/>
                <w:szCs w:val="20"/>
                <w:color w:val="auto"/>
              </w:rPr>
            </w:pPr>
            <w:r>
              <w:rPr>
                <w:rFonts w:ascii="Arial" w:cs="Arial" w:eastAsia="Arial" w:hAnsi="Arial"/>
                <w:sz w:val="15"/>
                <w:szCs w:val="15"/>
                <w:b w:val="1"/>
                <w:bCs w:val="1"/>
                <w:color w:val="auto"/>
              </w:rPr>
              <w:t>Annual Incentives</w:t>
            </w:r>
          </w:p>
        </w:tc>
        <w:tc>
          <w:tcPr>
            <w:tcW w:w="340" w:type="dxa"/>
            <w:vAlign w:val="bottom"/>
            <w:shd w:val="clear" w:color="auto" w:fill="FBF4ED"/>
          </w:tcPr>
          <w:p>
            <w:pPr>
              <w:jc w:val="right"/>
              <w:ind w:right="35"/>
              <w:spacing w:after="0"/>
              <w:rPr>
                <w:sz w:val="20"/>
                <w:szCs w:val="20"/>
                <w:color w:val="auto"/>
              </w:rPr>
            </w:pPr>
            <w:r>
              <w:rPr>
                <w:rFonts w:ascii="Arial" w:cs="Arial" w:eastAsia="Arial" w:hAnsi="Arial"/>
                <w:sz w:val="17"/>
                <w:szCs w:val="17"/>
                <w:color w:val="DD924E"/>
              </w:rPr>
              <w:t>&gt;</w:t>
            </w:r>
          </w:p>
        </w:tc>
        <w:tc>
          <w:tcPr>
            <w:tcW w:w="3120" w:type="dxa"/>
            <w:vAlign w:val="bottom"/>
            <w:shd w:val="clear" w:color="auto" w:fill="FBF4ED"/>
          </w:tcPr>
          <w:p>
            <w:pPr>
              <w:ind w:left="120"/>
              <w:spacing w:after="0"/>
              <w:rPr>
                <w:sz w:val="20"/>
                <w:szCs w:val="20"/>
                <w:color w:val="auto"/>
              </w:rPr>
            </w:pPr>
            <w:r>
              <w:rPr>
                <w:rFonts w:ascii="Arial" w:cs="Arial" w:eastAsia="Arial" w:hAnsi="Arial"/>
                <w:sz w:val="15"/>
                <w:szCs w:val="15"/>
                <w:color w:val="auto"/>
              </w:rPr>
              <w:t>“At-risk” compensation earned based on</w:t>
            </w:r>
          </w:p>
        </w:tc>
        <w:tc>
          <w:tcPr>
            <w:tcW w:w="3780" w:type="dxa"/>
            <w:vAlign w:val="bottom"/>
            <w:shd w:val="clear" w:color="auto" w:fill="FBF4ED"/>
          </w:tcPr>
          <w:p>
            <w:pPr>
              <w:jc w:val="right"/>
              <w:ind w:right="340"/>
              <w:spacing w:after="0"/>
              <w:rPr>
                <w:sz w:val="20"/>
                <w:szCs w:val="20"/>
                <w:color w:val="auto"/>
              </w:rPr>
            </w:pPr>
            <w:r>
              <w:rPr>
                <w:rFonts w:ascii="Arial" w:cs="Arial" w:eastAsia="Arial" w:hAnsi="Arial"/>
                <w:sz w:val="17"/>
                <w:szCs w:val="17"/>
                <w:color w:val="DD924E"/>
              </w:rPr>
              <w:t xml:space="preserve">&gt;   </w:t>
            </w:r>
            <w:r>
              <w:rPr>
                <w:rFonts w:ascii="Arial" w:cs="Arial" w:eastAsia="Arial" w:hAnsi="Arial"/>
                <w:sz w:val="15"/>
                <w:szCs w:val="15"/>
                <w:color w:val="000000"/>
              </w:rPr>
              <w:t>Incentivize executives to achieve annual</w:t>
            </w:r>
          </w:p>
        </w:tc>
      </w:tr>
      <w:tr>
        <w:trPr>
          <w:trHeight w:val="179"/>
        </w:trPr>
        <w:tc>
          <w:tcPr>
            <w:tcW w:w="1560" w:type="dxa"/>
            <w:vAlign w:val="bottom"/>
            <w:shd w:val="clear" w:color="auto" w:fill="FBF4ED"/>
          </w:tcPr>
          <w:p>
            <w:pPr>
              <w:spacing w:after="0"/>
              <w:rPr>
                <w:sz w:val="15"/>
                <w:szCs w:val="15"/>
                <w:color w:val="auto"/>
              </w:rPr>
            </w:pPr>
          </w:p>
        </w:tc>
        <w:tc>
          <w:tcPr>
            <w:tcW w:w="340" w:type="dxa"/>
            <w:vAlign w:val="bottom"/>
            <w:shd w:val="clear" w:color="auto" w:fill="FBF4ED"/>
          </w:tcPr>
          <w:p>
            <w:pPr>
              <w:spacing w:after="0"/>
              <w:rPr>
                <w:sz w:val="15"/>
                <w:szCs w:val="15"/>
                <w:color w:val="auto"/>
              </w:rPr>
            </w:pPr>
          </w:p>
        </w:tc>
        <w:tc>
          <w:tcPr>
            <w:tcW w:w="3120" w:type="dxa"/>
            <w:vAlign w:val="bottom"/>
            <w:shd w:val="clear" w:color="auto" w:fill="FBF4ED"/>
          </w:tcPr>
          <w:p>
            <w:pPr>
              <w:ind w:left="120"/>
              <w:spacing w:after="0"/>
              <w:rPr>
                <w:sz w:val="20"/>
                <w:szCs w:val="20"/>
                <w:color w:val="auto"/>
              </w:rPr>
            </w:pPr>
            <w:r>
              <w:rPr>
                <w:rFonts w:ascii="Arial" w:cs="Arial" w:eastAsia="Arial" w:hAnsi="Arial"/>
                <w:sz w:val="15"/>
                <w:szCs w:val="15"/>
                <w:color w:val="auto"/>
              </w:rPr>
              <w:t>performance measured against pre-</w:t>
            </w:r>
          </w:p>
        </w:tc>
        <w:tc>
          <w:tcPr>
            <w:tcW w:w="3780" w:type="dxa"/>
            <w:vAlign w:val="bottom"/>
            <w:shd w:val="clear" w:color="auto" w:fill="FBF4ED"/>
          </w:tcPr>
          <w:p>
            <w:pPr>
              <w:jc w:val="right"/>
              <w:ind w:right="140"/>
              <w:spacing w:after="0"/>
              <w:rPr>
                <w:sz w:val="20"/>
                <w:szCs w:val="20"/>
                <w:color w:val="auto"/>
              </w:rPr>
            </w:pPr>
            <w:r>
              <w:rPr>
                <w:rFonts w:ascii="Arial" w:cs="Arial" w:eastAsia="Arial" w:hAnsi="Arial"/>
                <w:sz w:val="15"/>
                <w:szCs w:val="15"/>
                <w:color w:val="auto"/>
              </w:rPr>
              <w:t>goals that ultimately contribute to long-term</w:t>
            </w:r>
          </w:p>
        </w:tc>
      </w:tr>
      <w:tr>
        <w:trPr>
          <w:trHeight w:val="185"/>
        </w:trPr>
        <w:tc>
          <w:tcPr>
            <w:tcW w:w="1560" w:type="dxa"/>
            <w:vAlign w:val="bottom"/>
            <w:shd w:val="clear" w:color="auto" w:fill="FBF4ED"/>
          </w:tcPr>
          <w:p>
            <w:pPr>
              <w:spacing w:after="0"/>
              <w:rPr>
                <w:sz w:val="16"/>
                <w:szCs w:val="16"/>
                <w:color w:val="auto"/>
              </w:rPr>
            </w:pPr>
          </w:p>
        </w:tc>
        <w:tc>
          <w:tcPr>
            <w:tcW w:w="340" w:type="dxa"/>
            <w:vAlign w:val="bottom"/>
            <w:shd w:val="clear" w:color="auto" w:fill="FBF4ED"/>
          </w:tcPr>
          <w:p>
            <w:pPr>
              <w:spacing w:after="0"/>
              <w:rPr>
                <w:sz w:val="16"/>
                <w:szCs w:val="16"/>
                <w:color w:val="auto"/>
              </w:rPr>
            </w:pPr>
          </w:p>
        </w:tc>
        <w:tc>
          <w:tcPr>
            <w:tcW w:w="3120" w:type="dxa"/>
            <w:vAlign w:val="bottom"/>
            <w:shd w:val="clear" w:color="auto" w:fill="FBF4ED"/>
          </w:tcPr>
          <w:p>
            <w:pPr>
              <w:ind w:left="120"/>
              <w:spacing w:after="0"/>
              <w:rPr>
                <w:sz w:val="20"/>
                <w:szCs w:val="20"/>
                <w:color w:val="auto"/>
              </w:rPr>
            </w:pPr>
            <w:r>
              <w:rPr>
                <w:rFonts w:ascii="Arial" w:cs="Arial" w:eastAsia="Arial" w:hAnsi="Arial"/>
                <w:sz w:val="15"/>
                <w:szCs w:val="15"/>
                <w:color w:val="auto"/>
              </w:rPr>
              <w:t>established annual goals.</w:t>
            </w:r>
          </w:p>
        </w:tc>
        <w:tc>
          <w:tcPr>
            <w:tcW w:w="3780" w:type="dxa"/>
            <w:vAlign w:val="bottom"/>
            <w:shd w:val="clear" w:color="auto" w:fill="FBF4ED"/>
          </w:tcPr>
          <w:p>
            <w:pPr>
              <w:jc w:val="right"/>
              <w:ind w:right="340"/>
              <w:spacing w:after="0"/>
              <w:rPr>
                <w:sz w:val="20"/>
                <w:szCs w:val="20"/>
                <w:color w:val="auto"/>
              </w:rPr>
            </w:pPr>
            <w:r>
              <w:rPr>
                <w:rFonts w:ascii="Arial" w:cs="Arial" w:eastAsia="Arial" w:hAnsi="Arial"/>
                <w:sz w:val="15"/>
                <w:szCs w:val="15"/>
                <w:color w:val="auto"/>
              </w:rPr>
              <w:t>company growth and stockholder return.</w:t>
            </w:r>
          </w:p>
        </w:tc>
      </w:tr>
      <w:tr>
        <w:trPr>
          <w:trHeight w:val="328"/>
        </w:trPr>
        <w:tc>
          <w:tcPr>
            <w:tcW w:w="1560" w:type="dxa"/>
            <w:vAlign w:val="bottom"/>
            <w:shd w:val="clear" w:color="auto" w:fill="FBF4ED"/>
          </w:tcPr>
          <w:p>
            <w:pPr>
              <w:spacing w:after="0"/>
              <w:rPr>
                <w:sz w:val="24"/>
                <w:szCs w:val="24"/>
                <w:color w:val="auto"/>
              </w:rPr>
            </w:pPr>
          </w:p>
        </w:tc>
        <w:tc>
          <w:tcPr>
            <w:tcW w:w="340" w:type="dxa"/>
            <w:vAlign w:val="bottom"/>
            <w:shd w:val="clear" w:color="auto" w:fill="FBF4ED"/>
          </w:tcPr>
          <w:p>
            <w:pPr>
              <w:jc w:val="right"/>
              <w:ind w:right="35"/>
              <w:spacing w:after="0"/>
              <w:rPr>
                <w:sz w:val="20"/>
                <w:szCs w:val="20"/>
                <w:color w:val="auto"/>
              </w:rPr>
            </w:pPr>
            <w:r>
              <w:rPr>
                <w:rFonts w:ascii="Arial" w:cs="Arial" w:eastAsia="Arial" w:hAnsi="Arial"/>
                <w:sz w:val="17"/>
                <w:szCs w:val="17"/>
                <w:color w:val="DD924E"/>
              </w:rPr>
              <w:t>&gt;</w:t>
            </w:r>
          </w:p>
        </w:tc>
        <w:tc>
          <w:tcPr>
            <w:tcW w:w="3120" w:type="dxa"/>
            <w:vAlign w:val="bottom"/>
            <w:shd w:val="clear" w:color="auto" w:fill="FBF4ED"/>
          </w:tcPr>
          <w:p>
            <w:pPr>
              <w:ind w:left="120"/>
              <w:spacing w:after="0"/>
              <w:rPr>
                <w:sz w:val="20"/>
                <w:szCs w:val="20"/>
                <w:color w:val="auto"/>
              </w:rPr>
            </w:pPr>
            <w:r>
              <w:rPr>
                <w:rFonts w:ascii="Arial" w:cs="Arial" w:eastAsia="Arial" w:hAnsi="Arial"/>
                <w:sz w:val="15"/>
                <w:szCs w:val="15"/>
                <w:color w:val="auto"/>
              </w:rPr>
              <w:t>Goals are tailored to each executive’s</w:t>
            </w:r>
          </w:p>
        </w:tc>
        <w:tc>
          <w:tcPr>
            <w:tcW w:w="3780" w:type="dxa"/>
            <w:vAlign w:val="bottom"/>
            <w:shd w:val="clear" w:color="auto" w:fill="FBF4ED"/>
          </w:tcPr>
          <w:p>
            <w:pPr>
              <w:spacing w:after="0"/>
              <w:rPr>
                <w:sz w:val="24"/>
                <w:szCs w:val="24"/>
                <w:color w:val="auto"/>
              </w:rPr>
            </w:pPr>
          </w:p>
        </w:tc>
      </w:tr>
      <w:tr>
        <w:trPr>
          <w:trHeight w:val="203"/>
        </w:trPr>
        <w:tc>
          <w:tcPr>
            <w:tcW w:w="1560" w:type="dxa"/>
            <w:vAlign w:val="bottom"/>
            <w:shd w:val="clear" w:color="auto" w:fill="FBF4ED"/>
          </w:tcPr>
          <w:p>
            <w:pPr>
              <w:spacing w:after="0"/>
              <w:rPr>
                <w:sz w:val="17"/>
                <w:szCs w:val="17"/>
                <w:color w:val="auto"/>
              </w:rPr>
            </w:pPr>
          </w:p>
        </w:tc>
        <w:tc>
          <w:tcPr>
            <w:tcW w:w="340" w:type="dxa"/>
            <w:vAlign w:val="bottom"/>
            <w:shd w:val="clear" w:color="auto" w:fill="FBF4ED"/>
          </w:tcPr>
          <w:p>
            <w:pPr>
              <w:spacing w:after="0"/>
              <w:rPr>
                <w:sz w:val="17"/>
                <w:szCs w:val="17"/>
                <w:color w:val="auto"/>
              </w:rPr>
            </w:pPr>
          </w:p>
        </w:tc>
        <w:tc>
          <w:tcPr>
            <w:tcW w:w="3120" w:type="dxa"/>
            <w:vAlign w:val="bottom"/>
            <w:shd w:val="clear" w:color="auto" w:fill="FBF4ED"/>
          </w:tcPr>
          <w:p>
            <w:pPr>
              <w:ind w:left="120"/>
              <w:spacing w:after="0"/>
              <w:rPr>
                <w:sz w:val="20"/>
                <w:szCs w:val="20"/>
                <w:color w:val="auto"/>
              </w:rPr>
            </w:pPr>
            <w:r>
              <w:rPr>
                <w:rFonts w:ascii="Arial" w:cs="Arial" w:eastAsia="Arial" w:hAnsi="Arial"/>
                <w:sz w:val="15"/>
                <w:szCs w:val="15"/>
                <w:color w:val="auto"/>
              </w:rPr>
              <w:t>position.</w:t>
            </w:r>
          </w:p>
        </w:tc>
        <w:tc>
          <w:tcPr>
            <w:tcW w:w="3780" w:type="dxa"/>
            <w:vAlign w:val="bottom"/>
            <w:shd w:val="clear" w:color="auto" w:fill="FBF4ED"/>
          </w:tcPr>
          <w:p>
            <w:pPr>
              <w:spacing w:after="0"/>
              <w:rPr>
                <w:sz w:val="17"/>
                <w:szCs w:val="17"/>
                <w:color w:val="auto"/>
              </w:rPr>
            </w:pPr>
          </w:p>
        </w:tc>
      </w:tr>
    </w:tbl>
    <w:p>
      <w:pPr>
        <w:spacing w:after="0" w:line="22" w:lineRule="exact"/>
        <w:rPr>
          <w:sz w:val="20"/>
          <w:szCs w:val="20"/>
          <w:color w:val="auto"/>
        </w:rPr>
      </w:pPr>
    </w:p>
    <w:p>
      <w:pPr>
        <w:sectPr>
          <w:pgSz w:w="11900" w:h="16838" w:orient="portrait"/>
          <w:cols w:equalWidth="0" w:num="1">
            <w:col w:w="9019"/>
          </w:cols>
          <w:pgMar w:left="1440" w:top="1440" w:right="1440" w:bottom="1440" w:gutter="0" w:footer="0" w:header="0"/>
          <w:type w:val="continuous"/>
        </w:sectPr>
      </w:pPr>
    </w:p>
    <w:p>
      <w:pPr>
        <w:ind w:left="280"/>
        <w:spacing w:after="0"/>
        <w:rPr>
          <w:sz w:val="20"/>
          <w:szCs w:val="20"/>
          <w:color w:val="auto"/>
        </w:rPr>
      </w:pPr>
      <w:r>
        <w:rPr>
          <w:rFonts w:ascii="Arial" w:cs="Arial" w:eastAsia="Arial" w:hAnsi="Arial"/>
          <w:sz w:val="14"/>
          <w:szCs w:val="14"/>
          <w:b w:val="1"/>
          <w:bCs w:val="1"/>
          <w:color w:val="auto"/>
        </w:rPr>
        <w:t>Long-Term</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Incentives</w:t>
      </w:r>
    </w:p>
    <w:p>
      <w:pPr>
        <w:spacing w:after="0" w:line="20" w:lineRule="exact"/>
        <w:rPr>
          <w:sz w:val="20"/>
          <w:szCs w:val="20"/>
          <w:color w:val="auto"/>
        </w:rPr>
      </w:pPr>
      <w:r>
        <w:rPr>
          <w:sz w:val="20"/>
          <w:szCs w:val="20"/>
          <w:color w:val="auto"/>
        </w:rPr>
        <w:br w:type="column"/>
      </w:r>
    </w:p>
    <w:p>
      <w:pPr>
        <w:ind w:left="331" w:right="180" w:hanging="331"/>
        <w:spacing w:after="0" w:line="242" w:lineRule="auto"/>
        <w:tabs>
          <w:tab w:leader="none" w:pos="331" w:val="left"/>
        </w:tabs>
        <w:numPr>
          <w:ilvl w:val="0"/>
          <w:numId w:val="64"/>
        </w:numPr>
        <w:rPr>
          <w:rFonts w:ascii="Arial" w:cs="Arial" w:eastAsia="Arial" w:hAnsi="Arial"/>
          <w:sz w:val="17"/>
          <w:szCs w:val="17"/>
          <w:color w:val="DD924E"/>
        </w:rPr>
      </w:pPr>
      <w:r>
        <w:rPr>
          <w:rFonts w:ascii="Arial" w:cs="Arial" w:eastAsia="Arial" w:hAnsi="Arial"/>
          <w:sz w:val="15"/>
          <w:szCs w:val="15"/>
          <w:color w:val="auto"/>
        </w:rPr>
        <w:t>“At-risk” compensation in the form of restricted stock unit awards whose value fluctuates according to stockholder value.</w:t>
      </w:r>
    </w:p>
    <w:p>
      <w:pPr>
        <w:spacing w:after="0" w:line="147" w:lineRule="exact"/>
        <w:rPr>
          <w:rFonts w:ascii="Arial" w:cs="Arial" w:eastAsia="Arial" w:hAnsi="Arial"/>
          <w:sz w:val="17"/>
          <w:szCs w:val="17"/>
          <w:color w:val="DD924E"/>
        </w:rPr>
      </w:pPr>
    </w:p>
    <w:p>
      <w:pPr>
        <w:ind w:left="331" w:hanging="331"/>
        <w:spacing w:after="0" w:line="237" w:lineRule="auto"/>
        <w:tabs>
          <w:tab w:leader="none" w:pos="331" w:val="left"/>
        </w:tabs>
        <w:numPr>
          <w:ilvl w:val="0"/>
          <w:numId w:val="64"/>
        </w:numPr>
        <w:rPr>
          <w:rFonts w:ascii="Arial" w:cs="Arial" w:eastAsia="Arial" w:hAnsi="Arial"/>
          <w:sz w:val="17"/>
          <w:szCs w:val="17"/>
          <w:color w:val="DD924E"/>
        </w:rPr>
      </w:pPr>
      <w:r>
        <w:rPr>
          <w:rFonts w:ascii="Arial" w:cs="Arial" w:eastAsia="Arial" w:hAnsi="Arial"/>
          <w:sz w:val="15"/>
          <w:szCs w:val="15"/>
          <w:color w:val="auto"/>
        </w:rPr>
        <w:t>50% of the award vests based on continued service.</w:t>
      </w:r>
    </w:p>
    <w:p>
      <w:pPr>
        <w:spacing w:after="0" w:line="149" w:lineRule="exact"/>
        <w:rPr>
          <w:rFonts w:ascii="Arial" w:cs="Arial" w:eastAsia="Arial" w:hAnsi="Arial"/>
          <w:sz w:val="17"/>
          <w:szCs w:val="17"/>
          <w:color w:val="DD924E"/>
        </w:rPr>
      </w:pPr>
    </w:p>
    <w:p>
      <w:pPr>
        <w:ind w:left="331" w:right="80" w:hanging="331"/>
        <w:spacing w:after="0" w:line="237" w:lineRule="auto"/>
        <w:tabs>
          <w:tab w:leader="none" w:pos="331" w:val="left"/>
        </w:tabs>
        <w:numPr>
          <w:ilvl w:val="0"/>
          <w:numId w:val="64"/>
        </w:numPr>
        <w:rPr>
          <w:rFonts w:ascii="Arial" w:cs="Arial" w:eastAsia="Arial" w:hAnsi="Arial"/>
          <w:sz w:val="17"/>
          <w:szCs w:val="17"/>
          <w:color w:val="DD924E"/>
        </w:rPr>
      </w:pPr>
      <w:r>
        <w:rPr>
          <w:rFonts w:ascii="Arial" w:cs="Arial" w:eastAsia="Arial" w:hAnsi="Arial"/>
          <w:sz w:val="15"/>
          <w:szCs w:val="15"/>
          <w:color w:val="auto"/>
        </w:rPr>
        <w:t>50% vests based on achievement of revenue and total stockholder return goals.</w:t>
      </w:r>
    </w:p>
    <w:p>
      <w:pPr>
        <w:spacing w:after="0" w:line="20" w:lineRule="exact"/>
        <w:rPr>
          <w:sz w:val="20"/>
          <w:szCs w:val="20"/>
          <w:color w:val="auto"/>
        </w:rPr>
      </w:pPr>
      <w:r>
        <w:rPr>
          <w:sz w:val="20"/>
          <w:szCs w:val="20"/>
          <w:color w:val="auto"/>
        </w:rPr>
        <w:br w:type="column"/>
      </w:r>
    </w:p>
    <w:p>
      <w:pPr>
        <w:ind w:left="329" w:right="659" w:hanging="329"/>
        <w:spacing w:after="0" w:line="237" w:lineRule="auto"/>
        <w:tabs>
          <w:tab w:leader="none" w:pos="329" w:val="left"/>
        </w:tabs>
        <w:numPr>
          <w:ilvl w:val="0"/>
          <w:numId w:val="65"/>
        </w:numPr>
        <w:rPr>
          <w:rFonts w:ascii="Arial" w:cs="Arial" w:eastAsia="Arial" w:hAnsi="Arial"/>
          <w:sz w:val="17"/>
          <w:szCs w:val="17"/>
          <w:color w:val="DD924E"/>
        </w:rPr>
      </w:pPr>
      <w:r>
        <w:rPr>
          <w:rFonts w:ascii="Arial" w:cs="Arial" w:eastAsia="Arial" w:hAnsi="Arial"/>
          <w:sz w:val="15"/>
          <w:szCs w:val="15"/>
          <w:color w:val="auto"/>
        </w:rPr>
        <w:t>Align executive interests with those of stockholders.</w:t>
      </w:r>
    </w:p>
    <w:p>
      <w:pPr>
        <w:spacing w:after="0" w:line="149" w:lineRule="exact"/>
        <w:rPr>
          <w:rFonts w:ascii="Arial" w:cs="Arial" w:eastAsia="Arial" w:hAnsi="Arial"/>
          <w:sz w:val="17"/>
          <w:szCs w:val="17"/>
          <w:color w:val="DD924E"/>
        </w:rPr>
      </w:pPr>
    </w:p>
    <w:p>
      <w:pPr>
        <w:ind w:left="329" w:right="819" w:hanging="329"/>
        <w:spacing w:after="0" w:line="237" w:lineRule="auto"/>
        <w:tabs>
          <w:tab w:leader="none" w:pos="329" w:val="left"/>
        </w:tabs>
        <w:numPr>
          <w:ilvl w:val="0"/>
          <w:numId w:val="65"/>
        </w:numPr>
        <w:rPr>
          <w:rFonts w:ascii="Arial" w:cs="Arial" w:eastAsia="Arial" w:hAnsi="Arial"/>
          <w:sz w:val="17"/>
          <w:szCs w:val="17"/>
          <w:color w:val="DD924E"/>
        </w:rPr>
      </w:pPr>
      <w:r>
        <w:rPr>
          <w:rFonts w:ascii="Arial" w:cs="Arial" w:eastAsia="Arial" w:hAnsi="Arial"/>
          <w:sz w:val="15"/>
          <w:szCs w:val="15"/>
          <w:color w:val="auto"/>
        </w:rPr>
        <w:t>Reward continuous service with the company.</w:t>
      </w:r>
    </w:p>
    <w:p>
      <w:pPr>
        <w:spacing w:after="0" w:line="149" w:lineRule="exact"/>
        <w:rPr>
          <w:rFonts w:ascii="Arial" w:cs="Arial" w:eastAsia="Arial" w:hAnsi="Arial"/>
          <w:sz w:val="17"/>
          <w:szCs w:val="17"/>
          <w:color w:val="DD924E"/>
        </w:rPr>
      </w:pPr>
    </w:p>
    <w:p>
      <w:pPr>
        <w:ind w:left="329" w:right="279" w:hanging="329"/>
        <w:spacing w:after="0" w:line="242" w:lineRule="auto"/>
        <w:tabs>
          <w:tab w:leader="none" w:pos="329" w:val="left"/>
        </w:tabs>
        <w:numPr>
          <w:ilvl w:val="0"/>
          <w:numId w:val="65"/>
        </w:numPr>
        <w:rPr>
          <w:rFonts w:ascii="Arial" w:cs="Arial" w:eastAsia="Arial" w:hAnsi="Arial"/>
          <w:sz w:val="17"/>
          <w:szCs w:val="17"/>
          <w:color w:val="DD924E"/>
        </w:rPr>
      </w:pPr>
      <w:r>
        <w:rPr>
          <w:rFonts w:ascii="Arial" w:cs="Arial" w:eastAsia="Arial" w:hAnsi="Arial"/>
          <w:sz w:val="15"/>
          <w:szCs w:val="15"/>
          <w:color w:val="auto"/>
        </w:rPr>
        <w:t>Incentivize executives to achieve goals that drive company performance over the long-term.</w:t>
      </w:r>
    </w:p>
    <w:p>
      <w:pPr>
        <w:spacing w:after="0" w:line="19" w:lineRule="exact"/>
        <w:rPr>
          <w:sz w:val="20"/>
          <w:szCs w:val="20"/>
          <w:color w:val="auto"/>
        </w:rPr>
      </w:pPr>
    </w:p>
    <w:p>
      <w:pPr>
        <w:sectPr>
          <w:pgSz w:w="11900" w:h="16838" w:orient="portrait"/>
          <w:cols w:equalWidth="0" w:num="3">
            <w:col w:w="1129" w:space="720"/>
            <w:col w:w="3331" w:space="271"/>
            <w:col w:w="3568"/>
          </w:cols>
          <w:pgMar w:left="1440" w:top="1440" w:right="1440" w:bottom="1440" w:gutter="0" w:footer="0" w:header="0"/>
          <w:type w:val="continuous"/>
        </w:sectPr>
      </w:pPr>
    </w:p>
    <w:tbl>
      <w:tblPr>
        <w:tblLayout w:type="fixed"/>
        <w:tblInd w:w="160" w:type="dxa"/>
        <w:tblCellMar>
          <w:top w:w="0" w:type="dxa"/>
          <w:left w:w="0" w:type="dxa"/>
          <w:bottom w:w="0" w:type="dxa"/>
          <w:right w:w="0" w:type="dxa"/>
        </w:tblCellMar>
      </w:tblPr>
      <w:tr>
        <w:trPr>
          <w:trHeight w:val="205"/>
        </w:trPr>
        <w:tc>
          <w:tcPr>
            <w:tcW w:w="1440" w:type="dxa"/>
            <w:vAlign w:val="bottom"/>
            <w:shd w:val="clear" w:color="auto" w:fill="FBF4ED"/>
          </w:tcPr>
          <w:p>
            <w:pPr>
              <w:ind w:left="120"/>
              <w:spacing w:after="0"/>
              <w:rPr>
                <w:sz w:val="20"/>
                <w:szCs w:val="20"/>
                <w:color w:val="auto"/>
              </w:rPr>
            </w:pPr>
            <w:r>
              <w:rPr>
                <w:rFonts w:ascii="Arial" w:cs="Arial" w:eastAsia="Arial" w:hAnsi="Arial"/>
                <w:sz w:val="15"/>
                <w:szCs w:val="15"/>
                <w:b w:val="1"/>
                <w:bCs w:val="1"/>
                <w:color w:val="auto"/>
              </w:rPr>
              <w:t>Other Benefits</w:t>
            </w:r>
          </w:p>
        </w:tc>
        <w:tc>
          <w:tcPr>
            <w:tcW w:w="3680" w:type="dxa"/>
            <w:vAlign w:val="bottom"/>
            <w:shd w:val="clear" w:color="auto" w:fill="FBF4ED"/>
          </w:tcPr>
          <w:p>
            <w:pPr>
              <w:ind w:left="240"/>
              <w:spacing w:after="0"/>
              <w:rPr>
                <w:sz w:val="20"/>
                <w:szCs w:val="20"/>
                <w:color w:val="auto"/>
              </w:rPr>
            </w:pPr>
            <w:r>
              <w:rPr>
                <w:rFonts w:ascii="Arial" w:cs="Arial" w:eastAsia="Arial" w:hAnsi="Arial"/>
                <w:sz w:val="17"/>
                <w:szCs w:val="17"/>
                <w:color w:val="DD924E"/>
              </w:rPr>
              <w:t xml:space="preserve">&gt;   </w:t>
            </w:r>
            <w:r>
              <w:rPr>
                <w:rFonts w:ascii="Arial" w:cs="Arial" w:eastAsia="Arial" w:hAnsi="Arial"/>
                <w:sz w:val="15"/>
                <w:szCs w:val="15"/>
                <w:color w:val="000000"/>
              </w:rPr>
              <w:t>Broad-based benefits provided to company</w:t>
            </w:r>
          </w:p>
        </w:tc>
        <w:tc>
          <w:tcPr>
            <w:tcW w:w="3680" w:type="dxa"/>
            <w:vAlign w:val="bottom"/>
            <w:shd w:val="clear" w:color="auto" w:fill="FBF4ED"/>
          </w:tcPr>
          <w:p>
            <w:pPr>
              <w:ind w:left="180"/>
              <w:spacing w:after="0"/>
              <w:rPr>
                <w:sz w:val="20"/>
                <w:szCs w:val="20"/>
                <w:color w:val="auto"/>
              </w:rPr>
            </w:pPr>
            <w:r>
              <w:rPr>
                <w:rFonts w:ascii="Arial" w:cs="Arial" w:eastAsia="Arial" w:hAnsi="Arial"/>
                <w:sz w:val="17"/>
                <w:szCs w:val="17"/>
                <w:color w:val="DD924E"/>
              </w:rPr>
              <w:t xml:space="preserve">&gt;   </w:t>
            </w:r>
            <w:r>
              <w:rPr>
                <w:rFonts w:ascii="Arial" w:cs="Arial" w:eastAsia="Arial" w:hAnsi="Arial"/>
                <w:sz w:val="15"/>
                <w:szCs w:val="15"/>
                <w:color w:val="000000"/>
              </w:rPr>
              <w:t>Provide a total compensation package that</w:t>
            </w:r>
          </w:p>
        </w:tc>
      </w:tr>
      <w:tr>
        <w:trPr>
          <w:trHeight w:val="179"/>
        </w:trPr>
        <w:tc>
          <w:tcPr>
            <w:tcW w:w="1440" w:type="dxa"/>
            <w:vAlign w:val="bottom"/>
            <w:shd w:val="clear" w:color="auto" w:fill="FBF4ED"/>
          </w:tcPr>
          <w:p>
            <w:pPr>
              <w:spacing w:after="0"/>
              <w:rPr>
                <w:sz w:val="15"/>
                <w:szCs w:val="15"/>
                <w:color w:val="auto"/>
              </w:rPr>
            </w:pPr>
          </w:p>
        </w:tc>
        <w:tc>
          <w:tcPr>
            <w:tcW w:w="3680" w:type="dxa"/>
            <w:vAlign w:val="bottom"/>
            <w:shd w:val="clear" w:color="auto" w:fill="FBF4ED"/>
          </w:tcPr>
          <w:p>
            <w:pPr>
              <w:ind w:left="580"/>
              <w:spacing w:after="0"/>
              <w:rPr>
                <w:sz w:val="20"/>
                <w:szCs w:val="20"/>
                <w:color w:val="auto"/>
              </w:rPr>
            </w:pPr>
            <w:r>
              <w:rPr>
                <w:rFonts w:ascii="Arial" w:cs="Arial" w:eastAsia="Arial" w:hAnsi="Arial"/>
                <w:sz w:val="15"/>
                <w:szCs w:val="15"/>
                <w:color w:val="auto"/>
              </w:rPr>
              <w:t>employees (e.g., health and group</w:t>
            </w:r>
          </w:p>
        </w:tc>
        <w:tc>
          <w:tcPr>
            <w:tcW w:w="3680" w:type="dxa"/>
            <w:vAlign w:val="bottom"/>
            <w:shd w:val="clear" w:color="auto" w:fill="FBF4ED"/>
          </w:tcPr>
          <w:p>
            <w:pPr>
              <w:ind w:left="500"/>
              <w:spacing w:after="0"/>
              <w:rPr>
                <w:sz w:val="20"/>
                <w:szCs w:val="20"/>
                <w:color w:val="auto"/>
              </w:rPr>
            </w:pPr>
            <w:r>
              <w:rPr>
                <w:rFonts w:ascii="Arial" w:cs="Arial" w:eastAsia="Arial" w:hAnsi="Arial"/>
                <w:sz w:val="15"/>
                <w:szCs w:val="15"/>
                <w:color w:val="auto"/>
              </w:rPr>
              <w:t>is competitive with the marketplace and</w:t>
            </w:r>
          </w:p>
        </w:tc>
      </w:tr>
      <w:tr>
        <w:trPr>
          <w:trHeight w:val="179"/>
        </w:trPr>
        <w:tc>
          <w:tcPr>
            <w:tcW w:w="1440" w:type="dxa"/>
            <w:vAlign w:val="bottom"/>
            <w:shd w:val="clear" w:color="auto" w:fill="FBF4ED"/>
          </w:tcPr>
          <w:p>
            <w:pPr>
              <w:spacing w:after="0"/>
              <w:rPr>
                <w:sz w:val="15"/>
                <w:szCs w:val="15"/>
                <w:color w:val="auto"/>
              </w:rPr>
            </w:pPr>
          </w:p>
        </w:tc>
        <w:tc>
          <w:tcPr>
            <w:tcW w:w="3680" w:type="dxa"/>
            <w:vAlign w:val="bottom"/>
            <w:shd w:val="clear" w:color="auto" w:fill="FBF4ED"/>
          </w:tcPr>
          <w:p>
            <w:pPr>
              <w:ind w:left="580"/>
              <w:spacing w:after="0"/>
              <w:rPr>
                <w:sz w:val="20"/>
                <w:szCs w:val="20"/>
                <w:color w:val="auto"/>
              </w:rPr>
            </w:pPr>
            <w:r>
              <w:rPr>
                <w:rFonts w:ascii="Arial" w:cs="Arial" w:eastAsia="Arial" w:hAnsi="Arial"/>
                <w:sz w:val="15"/>
                <w:szCs w:val="15"/>
                <w:color w:val="auto"/>
              </w:rPr>
              <w:t>insurance), a retirement savings plan and</w:t>
            </w:r>
          </w:p>
        </w:tc>
        <w:tc>
          <w:tcPr>
            <w:tcW w:w="3680" w:type="dxa"/>
            <w:vAlign w:val="bottom"/>
            <w:shd w:val="clear" w:color="auto" w:fill="FBF4ED"/>
          </w:tcPr>
          <w:p>
            <w:pPr>
              <w:ind w:left="500"/>
              <w:spacing w:after="0"/>
              <w:rPr>
                <w:sz w:val="20"/>
                <w:szCs w:val="20"/>
                <w:color w:val="auto"/>
              </w:rPr>
            </w:pPr>
            <w:r>
              <w:rPr>
                <w:rFonts w:ascii="Arial" w:cs="Arial" w:eastAsia="Arial" w:hAnsi="Arial"/>
                <w:sz w:val="15"/>
                <w:szCs w:val="15"/>
                <w:color w:val="auto"/>
              </w:rPr>
              <w:t>addresses unique needs, especially for</w:t>
            </w:r>
          </w:p>
        </w:tc>
      </w:tr>
      <w:tr>
        <w:trPr>
          <w:trHeight w:val="203"/>
        </w:trPr>
        <w:tc>
          <w:tcPr>
            <w:tcW w:w="1440" w:type="dxa"/>
            <w:vAlign w:val="bottom"/>
            <w:shd w:val="clear" w:color="auto" w:fill="FBF4ED"/>
          </w:tcPr>
          <w:p>
            <w:pPr>
              <w:spacing w:after="0"/>
              <w:rPr>
                <w:sz w:val="17"/>
                <w:szCs w:val="17"/>
                <w:color w:val="auto"/>
              </w:rPr>
            </w:pPr>
          </w:p>
        </w:tc>
        <w:tc>
          <w:tcPr>
            <w:tcW w:w="3680" w:type="dxa"/>
            <w:vAlign w:val="bottom"/>
            <w:shd w:val="clear" w:color="auto" w:fill="FBF4ED"/>
          </w:tcPr>
          <w:p>
            <w:pPr>
              <w:ind w:left="580"/>
              <w:spacing w:after="0"/>
              <w:rPr>
                <w:sz w:val="20"/>
                <w:szCs w:val="20"/>
                <w:color w:val="auto"/>
              </w:rPr>
            </w:pPr>
            <w:r>
              <w:rPr>
                <w:rFonts w:ascii="Arial" w:cs="Arial" w:eastAsia="Arial" w:hAnsi="Arial"/>
                <w:sz w:val="15"/>
                <w:szCs w:val="15"/>
                <w:color w:val="auto"/>
              </w:rPr>
              <w:t>other personal benefits where appropriate.</w:t>
            </w:r>
          </w:p>
        </w:tc>
        <w:tc>
          <w:tcPr>
            <w:tcW w:w="3680" w:type="dxa"/>
            <w:vAlign w:val="bottom"/>
            <w:shd w:val="clear" w:color="auto" w:fill="FBF4ED"/>
          </w:tcPr>
          <w:p>
            <w:pPr>
              <w:ind w:left="500"/>
              <w:spacing w:after="0"/>
              <w:rPr>
                <w:sz w:val="20"/>
                <w:szCs w:val="20"/>
                <w:color w:val="auto"/>
              </w:rPr>
            </w:pPr>
            <w:r>
              <w:rPr>
                <w:rFonts w:ascii="Arial" w:cs="Arial" w:eastAsia="Arial" w:hAnsi="Arial"/>
                <w:sz w:val="15"/>
                <w:szCs w:val="15"/>
                <w:color w:val="auto"/>
              </w:rPr>
              <w:t>overseas executives.</w:t>
            </w:r>
          </w:p>
        </w:tc>
      </w:tr>
    </w:tbl>
    <w:p>
      <w:pPr>
        <w:spacing w:after="0" w:line="22" w:lineRule="exact"/>
        <w:rPr>
          <w:sz w:val="20"/>
          <w:szCs w:val="20"/>
          <w:color w:val="auto"/>
        </w:rPr>
      </w:pPr>
    </w:p>
    <w:p>
      <w:pPr>
        <w:sectPr>
          <w:pgSz w:w="11900" w:h="16838" w:orient="portrait"/>
          <w:cols w:equalWidth="0" w:num="1">
            <w:col w:w="9019"/>
          </w:cols>
          <w:pgMar w:left="1440" w:top="1440" w:right="1440" w:bottom="1440" w:gutter="0" w:footer="0" w:header="0"/>
          <w:type w:val="continuous"/>
        </w:sectPr>
      </w:pPr>
    </w:p>
    <w:p>
      <w:pPr>
        <w:ind w:left="280"/>
        <w:spacing w:after="0" w:line="306" w:lineRule="auto"/>
        <w:rPr>
          <w:sz w:val="20"/>
          <w:szCs w:val="20"/>
          <w:color w:val="auto"/>
        </w:rPr>
      </w:pPr>
      <w:r>
        <w:rPr>
          <w:rFonts w:ascii="Arial" w:cs="Arial" w:eastAsia="Arial" w:hAnsi="Arial"/>
          <w:sz w:val="15"/>
          <w:szCs w:val="15"/>
          <w:b w:val="1"/>
          <w:bCs w:val="1"/>
          <w:color w:val="auto"/>
        </w:rPr>
        <w:t>Severance and Change in Control Protections</w:t>
      </w:r>
    </w:p>
    <w:p>
      <w:pPr>
        <w:spacing w:after="0" w:line="20" w:lineRule="exact"/>
        <w:rPr>
          <w:sz w:val="20"/>
          <w:szCs w:val="20"/>
          <w:color w:val="auto"/>
        </w:rPr>
      </w:pPr>
      <w:r>
        <w:rPr>
          <w:sz w:val="20"/>
          <w:szCs w:val="20"/>
          <w:color w:val="auto"/>
        </w:rPr>
        <w:br w:type="column"/>
      </w:r>
    </w:p>
    <w:p>
      <w:pPr>
        <w:ind w:left="331" w:right="91" w:hanging="331"/>
        <w:spacing w:after="0" w:line="237" w:lineRule="auto"/>
        <w:tabs>
          <w:tab w:leader="none" w:pos="331" w:val="left"/>
        </w:tabs>
        <w:numPr>
          <w:ilvl w:val="0"/>
          <w:numId w:val="66"/>
        </w:numPr>
        <w:rPr>
          <w:rFonts w:ascii="Arial" w:cs="Arial" w:eastAsia="Arial" w:hAnsi="Arial"/>
          <w:sz w:val="17"/>
          <w:szCs w:val="17"/>
          <w:color w:val="DD924E"/>
        </w:rPr>
      </w:pPr>
      <w:r>
        <w:rPr>
          <w:rFonts w:ascii="Arial" w:cs="Arial" w:eastAsia="Arial" w:hAnsi="Arial"/>
          <w:sz w:val="15"/>
          <w:szCs w:val="15"/>
          <w:color w:val="auto"/>
        </w:rPr>
        <w:t>Protect executives during potentially tumultuous corporate transaction.</w:t>
      </w:r>
    </w:p>
    <w:p>
      <w:pPr>
        <w:spacing w:after="0" w:line="149" w:lineRule="exact"/>
        <w:rPr>
          <w:rFonts w:ascii="Arial" w:cs="Arial" w:eastAsia="Arial" w:hAnsi="Arial"/>
          <w:sz w:val="17"/>
          <w:szCs w:val="17"/>
          <w:color w:val="DD924E"/>
        </w:rPr>
      </w:pPr>
    </w:p>
    <w:p>
      <w:pPr>
        <w:ind w:left="331" w:right="31" w:hanging="331"/>
        <w:spacing w:after="0" w:line="242" w:lineRule="auto"/>
        <w:tabs>
          <w:tab w:leader="none" w:pos="331" w:val="left"/>
        </w:tabs>
        <w:numPr>
          <w:ilvl w:val="0"/>
          <w:numId w:val="66"/>
        </w:numPr>
        <w:rPr>
          <w:rFonts w:ascii="Arial" w:cs="Arial" w:eastAsia="Arial" w:hAnsi="Arial"/>
          <w:sz w:val="17"/>
          <w:szCs w:val="17"/>
          <w:color w:val="DD924E"/>
        </w:rPr>
      </w:pPr>
      <w:r>
        <w:rPr>
          <w:rFonts w:ascii="Arial" w:cs="Arial" w:eastAsia="Arial" w:hAnsi="Arial"/>
          <w:sz w:val="15"/>
          <w:szCs w:val="15"/>
          <w:color w:val="auto"/>
        </w:rPr>
        <w:t>Provide reduced post-employment compensation upon other involuntary terminations.</w:t>
      </w:r>
    </w:p>
    <w:p>
      <w:pPr>
        <w:spacing w:after="0" w:line="20" w:lineRule="exact"/>
        <w:rPr>
          <w:sz w:val="20"/>
          <w:szCs w:val="20"/>
          <w:color w:val="auto"/>
        </w:rPr>
      </w:pPr>
      <w:r>
        <w:rPr>
          <w:sz w:val="20"/>
          <w:szCs w:val="20"/>
          <w:color w:val="auto"/>
        </w:rPr>
        <w:br w:type="column"/>
      </w:r>
    </w:p>
    <w:p>
      <w:pPr>
        <w:ind w:left="329" w:right="219" w:hanging="329"/>
        <w:spacing w:after="0" w:line="242" w:lineRule="auto"/>
        <w:tabs>
          <w:tab w:leader="none" w:pos="329" w:val="left"/>
        </w:tabs>
        <w:numPr>
          <w:ilvl w:val="0"/>
          <w:numId w:val="67"/>
        </w:numPr>
        <w:rPr>
          <w:rFonts w:ascii="Arial" w:cs="Arial" w:eastAsia="Arial" w:hAnsi="Arial"/>
          <w:sz w:val="17"/>
          <w:szCs w:val="17"/>
          <w:color w:val="DD924E"/>
        </w:rPr>
      </w:pPr>
      <w:r>
        <w:rPr>
          <w:rFonts w:ascii="Arial" w:cs="Arial" w:eastAsia="Arial" w:hAnsi="Arial"/>
          <w:sz w:val="15"/>
          <w:szCs w:val="15"/>
          <w:color w:val="auto"/>
        </w:rPr>
        <w:t>Allow executives to focus on generating stockholder value during a change in control transaction.</w:t>
      </w:r>
    </w:p>
    <w:p>
      <w:pPr>
        <w:spacing w:after="0" w:line="147" w:lineRule="exact"/>
        <w:rPr>
          <w:rFonts w:ascii="Arial" w:cs="Arial" w:eastAsia="Arial" w:hAnsi="Arial"/>
          <w:sz w:val="17"/>
          <w:szCs w:val="17"/>
          <w:color w:val="DD924E"/>
        </w:rPr>
      </w:pPr>
    </w:p>
    <w:p>
      <w:pPr>
        <w:ind w:left="329" w:right="399" w:hanging="329"/>
        <w:spacing w:after="0" w:line="244" w:lineRule="auto"/>
        <w:tabs>
          <w:tab w:leader="none" w:pos="329" w:val="left"/>
        </w:tabs>
        <w:numPr>
          <w:ilvl w:val="0"/>
          <w:numId w:val="67"/>
        </w:numPr>
        <w:rPr>
          <w:rFonts w:ascii="Arial" w:cs="Arial" w:eastAsia="Arial" w:hAnsi="Arial"/>
          <w:sz w:val="17"/>
          <w:szCs w:val="17"/>
          <w:color w:val="DD924E"/>
        </w:rPr>
      </w:pPr>
      <w:r>
        <w:rPr>
          <w:rFonts w:ascii="Arial" w:cs="Arial" w:eastAsia="Arial" w:hAnsi="Arial"/>
          <w:sz w:val="15"/>
          <w:szCs w:val="15"/>
          <w:color w:val="auto"/>
        </w:rPr>
        <w:t>Provide market-competitive post-employment compensation recognizing executives likely require more time to find subsequent employment.</w:t>
      </w:r>
    </w:p>
    <w:p>
      <w:pPr>
        <w:spacing w:after="0" w:line="200" w:lineRule="exact"/>
        <w:rPr>
          <w:sz w:val="20"/>
          <w:szCs w:val="20"/>
          <w:color w:val="auto"/>
        </w:rPr>
      </w:pPr>
    </w:p>
    <w:p>
      <w:pPr>
        <w:sectPr>
          <w:pgSz w:w="11900" w:h="16838" w:orient="portrait"/>
          <w:cols w:equalWidth="0" w:num="3">
            <w:col w:w="1600" w:space="249"/>
            <w:col w:w="2882" w:space="720"/>
            <w:col w:w="3568"/>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1" w:name="page42"/>
    <w:bookmarkEnd w:id="41"/>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Compensation Mix</w:t>
      </w:r>
    </w:p>
    <w:p>
      <w:pPr>
        <w:spacing w:after="0" w:line="149"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Consistent with our compensation philosophy, our compensation program balances base salary, short-term incentive and long-term incentive opportunities provided to our executive officers. The following charts illustrate the mix of target compensation components for the Vice Chairman and CEO and the other named executive officers during the 2017 fiscal year.</w:t>
      </w:r>
    </w:p>
    <w:p>
      <w:pPr>
        <w:spacing w:after="0" w:line="196"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As illustrated by the charts below, the majority of compensation that may be earned by our named executive officers is tied to the achievement of financial performance metrics (annual performance bonuses and PRSUs) or fluctuates with the underlying value of our common stock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82550</wp:posOffset>
            </wp:positionV>
            <wp:extent cx="5462270" cy="29711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62270" cy="2971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Detailed Review of Compensation Components</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Base Salary</w:t>
      </w:r>
    </w:p>
    <w:p>
      <w:pPr>
        <w:spacing w:after="0" w:line="158" w:lineRule="exact"/>
        <w:rPr>
          <w:sz w:val="20"/>
          <w:szCs w:val="20"/>
          <w:color w:val="auto"/>
        </w:rPr>
      </w:pPr>
    </w:p>
    <w:p>
      <w:pPr>
        <w:jc w:val="both"/>
        <w:ind w:left="160" w:right="79"/>
        <w:spacing w:after="0" w:line="239" w:lineRule="auto"/>
        <w:rPr>
          <w:sz w:val="20"/>
          <w:szCs w:val="20"/>
          <w:color w:val="auto"/>
        </w:rPr>
      </w:pPr>
      <w:r>
        <w:rPr>
          <w:rFonts w:ascii="Arial" w:cs="Arial" w:eastAsia="Arial" w:hAnsi="Arial"/>
          <w:sz w:val="17"/>
          <w:szCs w:val="17"/>
          <w:color w:val="auto"/>
        </w:rPr>
        <w:t>As discussed above, we provide our executive officers fixed compensation commensurate with their performance, experience, responsibilities, skill set and market value. This attracts and retains an appropriate caliber of talent for the position and provides a base wage that is not subject to our performance risk. In setting base salaries for 2017, our Compensation Committee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76200</wp:posOffset>
            </wp:positionV>
            <wp:extent cx="5593080" cy="7245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93080" cy="724535"/>
                    </a:xfrm>
                    <a:prstGeom prst="rect">
                      <a:avLst/>
                    </a:prstGeom>
                    <a:noFill/>
                  </pic:spPr>
                </pic:pic>
              </a:graphicData>
            </a:graphic>
          </wp:anchor>
        </w:drawing>
      </w:r>
    </w:p>
    <w:p>
      <w:pPr>
        <w:spacing w:after="0" w:line="100" w:lineRule="exact"/>
        <w:rPr>
          <w:sz w:val="20"/>
          <w:szCs w:val="20"/>
          <w:color w:val="auto"/>
        </w:rPr>
      </w:pPr>
    </w:p>
    <w:tbl>
      <w:tblPr>
        <w:tblLayout w:type="fixed"/>
        <w:tblInd w:w="160" w:type="dxa"/>
        <w:tblCellMar>
          <w:top w:w="0" w:type="dxa"/>
          <w:left w:w="0" w:type="dxa"/>
          <w:bottom w:w="0" w:type="dxa"/>
          <w:right w:w="0" w:type="dxa"/>
        </w:tblCellMar>
      </w:tblPr>
      <w:tr>
        <w:trPr>
          <w:trHeight w:val="256"/>
        </w:trPr>
        <w:tc>
          <w:tcPr>
            <w:tcW w:w="2500" w:type="dxa"/>
            <w:vAlign w:val="bottom"/>
            <w:shd w:val="clear" w:color="auto" w:fill="FBF4ED"/>
          </w:tcPr>
          <w:p>
            <w:pPr>
              <w:ind w:left="120"/>
              <w:spacing w:after="0"/>
              <w:rPr>
                <w:sz w:val="20"/>
                <w:szCs w:val="20"/>
                <w:color w:val="auto"/>
              </w:rPr>
            </w:pPr>
            <w:r>
              <w:rPr>
                <w:rFonts w:ascii="Arial" w:cs="Arial" w:eastAsia="Arial" w:hAnsi="Arial"/>
                <w:sz w:val="17"/>
                <w:szCs w:val="17"/>
                <w:b w:val="1"/>
                <w:bCs w:val="1"/>
                <w:color w:val="auto"/>
              </w:rPr>
              <w:t>Individual Performance</w:t>
            </w:r>
          </w:p>
        </w:tc>
        <w:tc>
          <w:tcPr>
            <w:tcW w:w="720" w:type="dxa"/>
            <w:vAlign w:val="bottom"/>
            <w:shd w:val="clear" w:color="auto" w:fill="FBF4ED"/>
          </w:tcPr>
          <w:p>
            <w:pPr>
              <w:jc w:val="right"/>
              <w:ind w:right="35"/>
              <w:spacing w:after="0"/>
              <w:rPr>
                <w:sz w:val="20"/>
                <w:szCs w:val="20"/>
                <w:color w:val="auto"/>
              </w:rPr>
            </w:pPr>
            <w:r>
              <w:rPr>
                <w:rFonts w:ascii="Arial" w:cs="Arial" w:eastAsia="Arial" w:hAnsi="Arial"/>
                <w:sz w:val="17"/>
                <w:szCs w:val="17"/>
                <w:color w:val="DD924E"/>
              </w:rPr>
              <w:t>&gt;</w:t>
            </w:r>
          </w:p>
        </w:tc>
        <w:tc>
          <w:tcPr>
            <w:tcW w:w="5580" w:type="dxa"/>
            <w:vAlign w:val="bottom"/>
            <w:shd w:val="clear" w:color="auto" w:fill="FBF4ED"/>
          </w:tcPr>
          <w:p>
            <w:pPr>
              <w:ind w:left="120"/>
              <w:spacing w:after="0"/>
              <w:rPr>
                <w:sz w:val="20"/>
                <w:szCs w:val="20"/>
                <w:color w:val="auto"/>
              </w:rPr>
            </w:pPr>
            <w:r>
              <w:rPr>
                <w:rFonts w:ascii="Arial" w:cs="Arial" w:eastAsia="Arial" w:hAnsi="Arial"/>
                <w:sz w:val="17"/>
                <w:szCs w:val="17"/>
                <w:color w:val="auto"/>
              </w:rPr>
              <w:t>The degree to which the executive met and exceeded expectations.</w:t>
            </w:r>
          </w:p>
        </w:tc>
        <w:tc>
          <w:tcPr>
            <w:tcW w:w="0" w:type="dxa"/>
            <w:vAlign w:val="bottom"/>
          </w:tcPr>
          <w:p>
            <w:pPr>
              <w:spacing w:after="0"/>
              <w:rPr>
                <w:sz w:val="1"/>
                <w:szCs w:val="1"/>
                <w:color w:val="auto"/>
              </w:rPr>
            </w:pPr>
          </w:p>
        </w:tc>
      </w:tr>
      <w:tr>
        <w:trPr>
          <w:trHeight w:val="217"/>
        </w:trPr>
        <w:tc>
          <w:tcPr>
            <w:tcW w:w="250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Market Data</w:t>
            </w:r>
          </w:p>
        </w:tc>
        <w:tc>
          <w:tcPr>
            <w:tcW w:w="720" w:type="dxa"/>
            <w:vAlign w:val="bottom"/>
          </w:tcPr>
          <w:p>
            <w:pPr>
              <w:jc w:val="right"/>
              <w:ind w:right="35"/>
              <w:spacing w:after="0"/>
              <w:rPr>
                <w:sz w:val="20"/>
                <w:szCs w:val="20"/>
                <w:color w:val="auto"/>
              </w:rPr>
            </w:pPr>
            <w:r>
              <w:rPr>
                <w:rFonts w:ascii="Arial" w:cs="Arial" w:eastAsia="Arial" w:hAnsi="Arial"/>
                <w:sz w:val="17"/>
                <w:szCs w:val="17"/>
                <w:color w:val="DD924E"/>
              </w:rPr>
              <w:t>&gt;</w:t>
            </w:r>
          </w:p>
        </w:tc>
        <w:tc>
          <w:tcPr>
            <w:tcW w:w="5580" w:type="dxa"/>
            <w:vAlign w:val="bottom"/>
          </w:tcPr>
          <w:p>
            <w:pPr>
              <w:ind w:left="120"/>
              <w:spacing w:after="0"/>
              <w:rPr>
                <w:sz w:val="20"/>
                <w:szCs w:val="20"/>
                <w:color w:val="auto"/>
              </w:rPr>
            </w:pPr>
            <w:r>
              <w:rPr>
                <w:rFonts w:ascii="Arial" w:cs="Arial" w:eastAsia="Arial" w:hAnsi="Arial"/>
                <w:sz w:val="17"/>
                <w:szCs w:val="17"/>
                <w:color w:val="auto"/>
              </w:rPr>
              <w:t>Geographical  and  market  data  to  test  reasonableness  of</w:t>
            </w:r>
          </w:p>
        </w:tc>
        <w:tc>
          <w:tcPr>
            <w:tcW w:w="0" w:type="dxa"/>
            <w:vAlign w:val="bottom"/>
          </w:tcPr>
          <w:p>
            <w:pPr>
              <w:spacing w:after="0"/>
              <w:rPr>
                <w:sz w:val="1"/>
                <w:szCs w:val="1"/>
                <w:color w:val="auto"/>
              </w:rPr>
            </w:pPr>
          </w:p>
        </w:tc>
      </w:tr>
      <w:tr>
        <w:trPr>
          <w:trHeight w:val="102"/>
        </w:trPr>
        <w:tc>
          <w:tcPr>
            <w:tcW w:w="25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5580" w:type="dxa"/>
            <w:vAlign w:val="bottom"/>
            <w:vMerge w:val="restart"/>
          </w:tcPr>
          <w:p>
            <w:pPr>
              <w:ind w:left="120"/>
              <w:spacing w:after="0"/>
              <w:rPr>
                <w:sz w:val="20"/>
                <w:szCs w:val="20"/>
                <w:color w:val="auto"/>
              </w:rPr>
            </w:pPr>
            <w:r>
              <w:rPr>
                <w:rFonts w:ascii="Arial" w:cs="Arial" w:eastAsia="Arial" w:hAnsi="Arial"/>
                <w:sz w:val="17"/>
                <w:szCs w:val="17"/>
                <w:color w:val="auto"/>
              </w:rPr>
              <w:t>compensation.</w:t>
            </w:r>
          </w:p>
        </w:tc>
        <w:tc>
          <w:tcPr>
            <w:tcW w:w="0" w:type="dxa"/>
            <w:vAlign w:val="bottom"/>
          </w:tcPr>
          <w:p>
            <w:pPr>
              <w:spacing w:after="0"/>
              <w:rPr>
                <w:sz w:val="1"/>
                <w:szCs w:val="1"/>
                <w:color w:val="auto"/>
              </w:rPr>
            </w:pPr>
          </w:p>
        </w:tc>
      </w:tr>
      <w:tr>
        <w:trPr>
          <w:trHeight w:val="103"/>
        </w:trPr>
        <w:tc>
          <w:tcPr>
            <w:tcW w:w="2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2620" w:type="dxa"/>
            <w:vAlign w:val="bottom"/>
            <w:vMerge w:val="restart"/>
            <w:shd w:val="clear" w:color="auto" w:fill="FBF4ED"/>
          </w:tcPr>
          <w:p>
            <w:pPr>
              <w:ind w:left="120"/>
              <w:spacing w:after="0"/>
              <w:rPr>
                <w:sz w:val="20"/>
                <w:szCs w:val="20"/>
                <w:color w:val="auto"/>
              </w:rPr>
            </w:pPr>
            <w:r>
              <w:rPr>
                <w:rFonts w:ascii="Arial" w:cs="Arial" w:eastAsia="Arial" w:hAnsi="Arial"/>
                <w:sz w:val="17"/>
                <w:szCs w:val="17"/>
                <w:b w:val="1"/>
                <w:bCs w:val="1"/>
                <w:color w:val="auto"/>
              </w:rPr>
              <w:t>Overall Compensation Mix</w:t>
            </w:r>
          </w:p>
        </w:tc>
        <w:tc>
          <w:tcPr>
            <w:tcW w:w="6180" w:type="dxa"/>
            <w:vAlign w:val="bottom"/>
            <w:shd w:val="clear" w:color="auto" w:fill="FBF4ED"/>
          </w:tcPr>
          <w:p>
            <w:pPr>
              <w:ind w:left="380"/>
              <w:spacing w:after="0"/>
              <w:rPr>
                <w:sz w:val="20"/>
                <w:szCs w:val="20"/>
                <w:color w:val="auto"/>
              </w:rPr>
            </w:pPr>
            <w:r>
              <w:rPr>
                <w:rFonts w:ascii="Arial" w:cs="Arial" w:eastAsia="Arial" w:hAnsi="Arial"/>
                <w:sz w:val="17"/>
                <w:szCs w:val="17"/>
                <w:color w:val="DD924E"/>
              </w:rPr>
              <w:t xml:space="preserve">&gt;   </w:t>
            </w:r>
            <w:r>
              <w:rPr>
                <w:rFonts w:ascii="Arial" w:cs="Arial" w:eastAsia="Arial" w:hAnsi="Arial"/>
                <w:sz w:val="17"/>
                <w:szCs w:val="17"/>
                <w:color w:val="000000"/>
              </w:rPr>
              <w:t>Senior employees should have a greater portion of their compensation</w:t>
            </w:r>
          </w:p>
        </w:tc>
        <w:tc>
          <w:tcPr>
            <w:tcW w:w="0" w:type="dxa"/>
            <w:vAlign w:val="bottom"/>
          </w:tcPr>
          <w:p>
            <w:pPr>
              <w:spacing w:after="0"/>
              <w:rPr>
                <w:sz w:val="1"/>
                <w:szCs w:val="1"/>
                <w:color w:val="auto"/>
              </w:rPr>
            </w:pPr>
          </w:p>
        </w:tc>
      </w:tr>
      <w:tr>
        <w:trPr>
          <w:trHeight w:val="102"/>
        </w:trPr>
        <w:tc>
          <w:tcPr>
            <w:tcW w:w="2620" w:type="dxa"/>
            <w:vAlign w:val="bottom"/>
            <w:vMerge w:val="continue"/>
            <w:shd w:val="clear" w:color="auto" w:fill="FBF4ED"/>
          </w:tcPr>
          <w:p>
            <w:pPr>
              <w:spacing w:after="0"/>
              <w:rPr>
                <w:sz w:val="8"/>
                <w:szCs w:val="8"/>
                <w:color w:val="auto"/>
              </w:rPr>
            </w:pPr>
          </w:p>
        </w:tc>
        <w:tc>
          <w:tcPr>
            <w:tcW w:w="6180" w:type="dxa"/>
            <w:vAlign w:val="bottom"/>
            <w:vMerge w:val="restart"/>
            <w:shd w:val="clear" w:color="auto" w:fill="FBF4ED"/>
          </w:tcPr>
          <w:p>
            <w:pPr>
              <w:ind w:left="720"/>
              <w:spacing w:after="0"/>
              <w:rPr>
                <w:sz w:val="20"/>
                <w:szCs w:val="20"/>
                <w:color w:val="auto"/>
              </w:rPr>
            </w:pPr>
            <w:r>
              <w:rPr>
                <w:rFonts w:ascii="Arial" w:cs="Arial" w:eastAsia="Arial" w:hAnsi="Arial"/>
                <w:sz w:val="17"/>
                <w:szCs w:val="17"/>
                <w:color w:val="auto"/>
              </w:rPr>
              <w:t>tied to increasing stockholder value.</w:t>
            </w:r>
          </w:p>
        </w:tc>
        <w:tc>
          <w:tcPr>
            <w:tcW w:w="0" w:type="dxa"/>
            <w:vAlign w:val="bottom"/>
          </w:tcPr>
          <w:p>
            <w:pPr>
              <w:spacing w:after="0"/>
              <w:rPr>
                <w:sz w:val="1"/>
                <w:szCs w:val="1"/>
                <w:color w:val="auto"/>
              </w:rPr>
            </w:pPr>
          </w:p>
        </w:tc>
      </w:tr>
      <w:tr>
        <w:trPr>
          <w:trHeight w:val="117"/>
        </w:trPr>
        <w:tc>
          <w:tcPr>
            <w:tcW w:w="2620" w:type="dxa"/>
            <w:vAlign w:val="bottom"/>
            <w:shd w:val="clear" w:color="auto" w:fill="FBF4ED"/>
          </w:tcPr>
          <w:p>
            <w:pPr>
              <w:spacing w:after="0"/>
              <w:rPr>
                <w:sz w:val="10"/>
                <w:szCs w:val="10"/>
                <w:color w:val="auto"/>
              </w:rPr>
            </w:pPr>
          </w:p>
        </w:tc>
        <w:tc>
          <w:tcPr>
            <w:tcW w:w="6180" w:type="dxa"/>
            <w:vAlign w:val="bottom"/>
            <w:vMerge w:val="continue"/>
            <w:shd w:val="clear" w:color="auto" w:fill="FBF4ED"/>
          </w:tcPr>
          <w:p>
            <w:pPr>
              <w:spacing w:after="0"/>
              <w:rPr>
                <w:sz w:val="10"/>
                <w:szCs w:val="1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Upon completing its review and as shown in the table below, the Compensation Committee determined that it was appropriate to hold base salary levels unchanged for 2017. The fixed compensation paid to Mr. Bagai is paid in Indian Rupees and we have included the percentage increase with respect to his fixed compensation in his home currency (INR). Further, this amount covers not only base salary for Mr. Bagai, but also amounts available as a travel allowance, an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2" w:name="page43"/>
    <w:bookmarkEnd w:id="42"/>
    <w:p>
      <w:pPr>
        <w:spacing w:after="0" w:line="58"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automobile allowance, a housing allowance, a medical allowance and a cash supplementary allowance, consistent with compensation practices in India. We note that the year-over-year difference in Mr. Bagai’s base salary is solely based on exchange rate fluctuations.</w:t>
      </w:r>
    </w:p>
    <w:p>
      <w:pPr>
        <w:spacing w:after="0" w:line="117" w:lineRule="exact"/>
        <w:rPr>
          <w:sz w:val="20"/>
          <w:szCs w:val="20"/>
          <w:color w:val="auto"/>
        </w:rPr>
      </w:pPr>
    </w:p>
    <w:tbl>
      <w:tblPr>
        <w:tblLayout w:type="fixed"/>
        <w:tblInd w:w="170" w:type="dxa"/>
        <w:tblCellMar>
          <w:top w:w="0" w:type="dxa"/>
          <w:left w:w="0" w:type="dxa"/>
          <w:bottom w:w="0" w:type="dxa"/>
          <w:right w:w="0" w:type="dxa"/>
        </w:tblCellMar>
      </w:tblPr>
      <w:tr>
        <w:trPr>
          <w:trHeight w:val="181"/>
        </w:trPr>
        <w:tc>
          <w:tcPr>
            <w:tcW w:w="60" w:type="dxa"/>
            <w:vAlign w:val="bottom"/>
            <w:tcBorders>
              <w:left w:val="single" w:sz="8" w:color="DD924E"/>
            </w:tcBorders>
            <w:shd w:val="clear" w:color="auto" w:fill="DD924E"/>
          </w:tcPr>
          <w:p>
            <w:pPr>
              <w:spacing w:after="0"/>
              <w:rPr>
                <w:sz w:val="15"/>
                <w:szCs w:val="15"/>
                <w:color w:val="auto"/>
              </w:rPr>
            </w:pPr>
          </w:p>
        </w:tc>
        <w:tc>
          <w:tcPr>
            <w:tcW w:w="216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1940" w:type="dxa"/>
            <w:vAlign w:val="bottom"/>
            <w:gridSpan w:val="2"/>
            <w:shd w:val="clear" w:color="auto" w:fill="DD924E"/>
          </w:tcPr>
          <w:p>
            <w:pPr>
              <w:jc w:val="center"/>
              <w:spacing w:after="0"/>
              <w:rPr>
                <w:sz w:val="20"/>
                <w:szCs w:val="20"/>
                <w:color w:val="auto"/>
              </w:rPr>
            </w:pPr>
            <w:r>
              <w:rPr>
                <w:rFonts w:ascii="Arial" w:cs="Arial" w:eastAsia="Arial" w:hAnsi="Arial"/>
                <w:sz w:val="14"/>
                <w:szCs w:val="14"/>
                <w:b w:val="1"/>
                <w:bCs w:val="1"/>
                <w:color w:val="FFFFFF"/>
                <w:w w:val="98"/>
              </w:rPr>
              <w:t>2016 Base Salary /</w:t>
            </w:r>
          </w:p>
        </w:tc>
        <w:tc>
          <w:tcPr>
            <w:tcW w:w="320" w:type="dxa"/>
            <w:vAlign w:val="bottom"/>
            <w:shd w:val="clear" w:color="auto" w:fill="DD924E"/>
          </w:tcPr>
          <w:p>
            <w:pPr>
              <w:spacing w:after="0"/>
              <w:rPr>
                <w:sz w:val="15"/>
                <w:szCs w:val="15"/>
                <w:color w:val="auto"/>
              </w:rPr>
            </w:pPr>
          </w:p>
        </w:tc>
        <w:tc>
          <w:tcPr>
            <w:tcW w:w="1920" w:type="dxa"/>
            <w:vAlign w:val="bottom"/>
            <w:gridSpan w:val="2"/>
            <w:shd w:val="clear" w:color="auto" w:fill="DD924E"/>
          </w:tcPr>
          <w:p>
            <w:pPr>
              <w:jc w:val="center"/>
              <w:spacing w:after="0"/>
              <w:rPr>
                <w:sz w:val="20"/>
                <w:szCs w:val="20"/>
                <w:color w:val="auto"/>
              </w:rPr>
            </w:pPr>
            <w:r>
              <w:rPr>
                <w:rFonts w:ascii="Arial" w:cs="Arial" w:eastAsia="Arial" w:hAnsi="Arial"/>
                <w:sz w:val="14"/>
                <w:szCs w:val="14"/>
                <w:b w:val="1"/>
                <w:bCs w:val="1"/>
                <w:color w:val="FFFFFF"/>
                <w:w w:val="98"/>
              </w:rPr>
              <w:t>2017 Base Salary /</w:t>
            </w:r>
          </w:p>
        </w:tc>
        <w:tc>
          <w:tcPr>
            <w:tcW w:w="320" w:type="dxa"/>
            <w:vAlign w:val="bottom"/>
            <w:shd w:val="clear" w:color="auto" w:fill="DD924E"/>
          </w:tcPr>
          <w:p>
            <w:pPr>
              <w:spacing w:after="0"/>
              <w:rPr>
                <w:sz w:val="15"/>
                <w:szCs w:val="15"/>
                <w:color w:val="auto"/>
              </w:rPr>
            </w:pPr>
          </w:p>
        </w:tc>
        <w:tc>
          <w:tcPr>
            <w:tcW w:w="1920" w:type="dxa"/>
            <w:vAlign w:val="bottom"/>
            <w:shd w:val="clear" w:color="auto" w:fill="DD924E"/>
          </w:tcPr>
          <w:p>
            <w:pPr>
              <w:spacing w:after="0"/>
              <w:rPr>
                <w:sz w:val="15"/>
                <w:szCs w:val="15"/>
                <w:color w:val="auto"/>
              </w:rPr>
            </w:pPr>
          </w:p>
        </w:tc>
        <w:tc>
          <w:tcPr>
            <w:tcW w:w="80" w:type="dxa"/>
            <w:vAlign w:val="bottom"/>
            <w:tcBorders>
              <w:right w:val="single" w:sz="8" w:color="DD924E"/>
            </w:tcBorders>
            <w:shd w:val="clear" w:color="auto" w:fill="DD924E"/>
          </w:tcPr>
          <w:p>
            <w:pPr>
              <w:spacing w:after="0"/>
              <w:rPr>
                <w:sz w:val="15"/>
                <w:szCs w:val="15"/>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21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1940" w:type="dxa"/>
            <w:vAlign w:val="bottom"/>
            <w:gridSpan w:val="2"/>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Annual Fixed Compensation</w:t>
            </w:r>
          </w:p>
        </w:tc>
        <w:tc>
          <w:tcPr>
            <w:tcW w:w="320" w:type="dxa"/>
            <w:vAlign w:val="bottom"/>
            <w:shd w:val="clear" w:color="auto" w:fill="DD924E"/>
          </w:tcPr>
          <w:p>
            <w:pPr>
              <w:spacing w:after="0"/>
              <w:rPr>
                <w:sz w:val="13"/>
                <w:szCs w:val="13"/>
                <w:color w:val="auto"/>
              </w:rPr>
            </w:pPr>
          </w:p>
        </w:tc>
        <w:tc>
          <w:tcPr>
            <w:tcW w:w="1920" w:type="dxa"/>
            <w:vAlign w:val="bottom"/>
            <w:gridSpan w:val="2"/>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Annual Fixed Compensation</w:t>
            </w:r>
          </w:p>
        </w:tc>
        <w:tc>
          <w:tcPr>
            <w:tcW w:w="320" w:type="dxa"/>
            <w:vAlign w:val="bottom"/>
            <w:shd w:val="clear" w:color="auto" w:fill="DD924E"/>
          </w:tcPr>
          <w:p>
            <w:pPr>
              <w:spacing w:after="0"/>
              <w:rPr>
                <w:sz w:val="13"/>
                <w:szCs w:val="13"/>
                <w:color w:val="auto"/>
              </w:rPr>
            </w:pPr>
          </w:p>
        </w:tc>
        <w:tc>
          <w:tcPr>
            <w:tcW w:w="2000" w:type="dxa"/>
            <w:vAlign w:val="bottom"/>
            <w:tcBorders>
              <w:right w:val="single" w:sz="8" w:color="DD924E"/>
            </w:tcBorders>
            <w:gridSpan w:val="2"/>
            <w:shd w:val="clear" w:color="auto" w:fill="DD924E"/>
          </w:tcPr>
          <w:p>
            <w:pPr>
              <w:jc w:val="center"/>
              <w:ind w:right="120"/>
              <w:spacing w:after="0" w:line="154" w:lineRule="exact"/>
              <w:rPr>
                <w:sz w:val="20"/>
                <w:szCs w:val="20"/>
                <w:color w:val="auto"/>
              </w:rPr>
            </w:pPr>
            <w:r>
              <w:rPr>
                <w:rFonts w:ascii="Arial" w:cs="Arial" w:eastAsia="Arial" w:hAnsi="Arial"/>
                <w:sz w:val="14"/>
                <w:szCs w:val="14"/>
                <w:b w:val="1"/>
                <w:bCs w:val="1"/>
                <w:color w:val="FFFFFF"/>
                <w:w w:val="98"/>
              </w:rPr>
              <w:t>% Increase /</w:t>
            </w:r>
          </w:p>
        </w:tc>
      </w:tr>
      <w:tr>
        <w:trPr>
          <w:trHeight w:val="184"/>
        </w:trPr>
        <w:tc>
          <w:tcPr>
            <w:tcW w:w="60" w:type="dxa"/>
            <w:vAlign w:val="bottom"/>
            <w:tcBorders>
              <w:left w:val="single" w:sz="8" w:color="DD924E"/>
              <w:bottom w:val="single" w:sz="8" w:color="DD924E"/>
            </w:tcBorders>
            <w:shd w:val="clear" w:color="auto" w:fill="DD924E"/>
          </w:tcPr>
          <w:p>
            <w:pPr>
              <w:spacing w:after="0"/>
              <w:rPr>
                <w:sz w:val="15"/>
                <w:szCs w:val="15"/>
                <w:color w:val="auto"/>
              </w:rPr>
            </w:pPr>
          </w:p>
        </w:tc>
        <w:tc>
          <w:tcPr>
            <w:tcW w:w="2160" w:type="dxa"/>
            <w:vAlign w:val="bottom"/>
            <w:tcBorders>
              <w:bottom w:val="single" w:sz="8" w:color="auto"/>
            </w:tcBorders>
            <w:shd w:val="clear" w:color="auto" w:fill="DD924E"/>
          </w:tcPr>
          <w:p>
            <w:pPr>
              <w:ind w:left="900"/>
              <w:spacing w:after="0"/>
              <w:rPr>
                <w:sz w:val="20"/>
                <w:szCs w:val="20"/>
                <w:color w:val="auto"/>
              </w:rPr>
            </w:pPr>
            <w:r>
              <w:rPr>
                <w:rFonts w:ascii="Arial" w:cs="Arial" w:eastAsia="Arial" w:hAnsi="Arial"/>
                <w:sz w:val="14"/>
                <w:szCs w:val="14"/>
                <w:b w:val="1"/>
                <w:bCs w:val="1"/>
                <w:color w:val="FFFFFF"/>
              </w:rPr>
              <w:t>Name</w:t>
            </w:r>
          </w:p>
        </w:tc>
        <w:tc>
          <w:tcPr>
            <w:tcW w:w="100" w:type="dxa"/>
            <w:vAlign w:val="bottom"/>
            <w:tcBorders>
              <w:bottom w:val="single" w:sz="8" w:color="DD924E"/>
            </w:tcBorders>
            <w:shd w:val="clear" w:color="auto" w:fill="DD924E"/>
          </w:tcPr>
          <w:p>
            <w:pPr>
              <w:spacing w:after="0"/>
              <w:rPr>
                <w:sz w:val="15"/>
                <w:szCs w:val="15"/>
                <w:color w:val="auto"/>
              </w:rPr>
            </w:pPr>
          </w:p>
        </w:tc>
        <w:tc>
          <w:tcPr>
            <w:tcW w:w="1940" w:type="dxa"/>
            <w:vAlign w:val="bottom"/>
            <w:tcBorders>
              <w:bottom w:val="single" w:sz="8" w:color="auto"/>
            </w:tcBorders>
            <w:gridSpan w:val="2"/>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(Effective April 1, 2016)</w:t>
            </w:r>
          </w:p>
        </w:tc>
        <w:tc>
          <w:tcPr>
            <w:tcW w:w="320" w:type="dxa"/>
            <w:vAlign w:val="bottom"/>
            <w:tcBorders>
              <w:bottom w:val="single" w:sz="8" w:color="DD924E"/>
            </w:tcBorders>
            <w:shd w:val="clear" w:color="auto" w:fill="DD924E"/>
          </w:tcPr>
          <w:p>
            <w:pPr>
              <w:spacing w:after="0"/>
              <w:rPr>
                <w:sz w:val="15"/>
                <w:szCs w:val="15"/>
                <w:color w:val="auto"/>
              </w:rPr>
            </w:pPr>
          </w:p>
        </w:tc>
        <w:tc>
          <w:tcPr>
            <w:tcW w:w="1920" w:type="dxa"/>
            <w:vAlign w:val="bottom"/>
            <w:tcBorders>
              <w:bottom w:val="single" w:sz="8" w:color="auto"/>
            </w:tcBorders>
            <w:gridSpan w:val="2"/>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(Effective April 1, 2017)</w:t>
            </w:r>
          </w:p>
        </w:tc>
        <w:tc>
          <w:tcPr>
            <w:tcW w:w="320" w:type="dxa"/>
            <w:vAlign w:val="bottom"/>
            <w:tcBorders>
              <w:bottom w:val="single" w:sz="8" w:color="DD924E"/>
            </w:tcBorders>
            <w:shd w:val="clear" w:color="auto" w:fill="DD924E"/>
          </w:tcPr>
          <w:p>
            <w:pPr>
              <w:spacing w:after="0"/>
              <w:rPr>
                <w:sz w:val="15"/>
                <w:szCs w:val="15"/>
                <w:color w:val="auto"/>
              </w:rPr>
            </w:pPr>
          </w:p>
        </w:tc>
        <w:tc>
          <w:tcPr>
            <w:tcW w:w="192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6"/>
              </w:rPr>
              <w:t>Decrease</w:t>
            </w:r>
          </w:p>
        </w:tc>
        <w:tc>
          <w:tcPr>
            <w:tcW w:w="80" w:type="dxa"/>
            <w:vAlign w:val="bottom"/>
            <w:tcBorders>
              <w:bottom w:val="single" w:sz="8" w:color="DD924E"/>
              <w:right w:val="single" w:sz="8" w:color="DD924E"/>
            </w:tcBorders>
            <w:shd w:val="clear" w:color="auto" w:fill="DD924E"/>
          </w:tcPr>
          <w:p>
            <w:pPr>
              <w:spacing w:after="0"/>
              <w:rPr>
                <w:sz w:val="15"/>
                <w:szCs w:val="15"/>
                <w:color w:val="auto"/>
              </w:rPr>
            </w:pPr>
          </w:p>
        </w:tc>
      </w:tr>
      <w:tr>
        <w:trPr>
          <w:trHeight w:val="249"/>
        </w:trPr>
        <w:tc>
          <w:tcPr>
            <w:tcW w:w="2220" w:type="dxa"/>
            <w:vAlign w:val="bottom"/>
            <w:tcBorders>
              <w:left w:val="single" w:sz="8" w:color="DD924E"/>
            </w:tcBorders>
            <w:gridSpan w:val="2"/>
          </w:tcPr>
          <w:p>
            <w:pPr>
              <w:ind w:left="60"/>
              <w:spacing w:after="0"/>
              <w:rPr>
                <w:sz w:val="20"/>
                <w:szCs w:val="20"/>
                <w:color w:val="auto"/>
              </w:rPr>
            </w:pPr>
            <w:r>
              <w:rPr>
                <w:rFonts w:ascii="Arial" w:cs="Arial" w:eastAsia="Arial" w:hAnsi="Arial"/>
                <w:sz w:val="15"/>
                <w:szCs w:val="15"/>
                <w:b w:val="1"/>
                <w:bCs w:val="1"/>
                <w:color w:val="auto"/>
              </w:rPr>
              <w:t>Rohit Kapoor</w:t>
            </w:r>
          </w:p>
        </w:tc>
        <w:tc>
          <w:tcPr>
            <w:tcW w:w="880" w:type="dxa"/>
            <w:vAlign w:val="bottom"/>
            <w:gridSpan w:val="2"/>
          </w:tcPr>
          <w:p>
            <w:pPr>
              <w:jc w:val="right"/>
              <w:ind w:right="192"/>
              <w:spacing w:after="0"/>
              <w:rPr>
                <w:sz w:val="20"/>
                <w:szCs w:val="20"/>
                <w:color w:val="auto"/>
              </w:rPr>
            </w:pPr>
            <w:r>
              <w:rPr>
                <w:rFonts w:ascii="Arial" w:cs="Arial" w:eastAsia="Arial" w:hAnsi="Arial"/>
                <w:sz w:val="17"/>
                <w:szCs w:val="17"/>
                <w:color w:val="auto"/>
              </w:rPr>
              <w:t>$</w:t>
            </w:r>
          </w:p>
        </w:tc>
        <w:tc>
          <w:tcPr>
            <w:tcW w:w="1160" w:type="dxa"/>
            <w:vAlign w:val="bottom"/>
          </w:tcPr>
          <w:p>
            <w:pPr>
              <w:ind w:left="260"/>
              <w:spacing w:after="0"/>
              <w:rPr>
                <w:sz w:val="20"/>
                <w:szCs w:val="20"/>
                <w:color w:val="auto"/>
              </w:rPr>
            </w:pPr>
            <w:r>
              <w:rPr>
                <w:rFonts w:ascii="Arial" w:cs="Arial" w:eastAsia="Arial" w:hAnsi="Arial"/>
                <w:sz w:val="17"/>
                <w:szCs w:val="17"/>
                <w:color w:val="auto"/>
              </w:rPr>
              <w:t>620,000</w:t>
            </w:r>
          </w:p>
        </w:tc>
        <w:tc>
          <w:tcPr>
            <w:tcW w:w="1080" w:type="dxa"/>
            <w:vAlign w:val="bottom"/>
            <w:gridSpan w:val="2"/>
          </w:tcPr>
          <w:p>
            <w:pPr>
              <w:jc w:val="right"/>
              <w:ind w:right="192"/>
              <w:spacing w:after="0"/>
              <w:rPr>
                <w:sz w:val="20"/>
                <w:szCs w:val="20"/>
                <w:color w:val="auto"/>
              </w:rPr>
            </w:pPr>
            <w:r>
              <w:rPr>
                <w:rFonts w:ascii="Arial" w:cs="Arial" w:eastAsia="Arial" w:hAnsi="Arial"/>
                <w:sz w:val="17"/>
                <w:szCs w:val="17"/>
                <w:color w:val="auto"/>
              </w:rPr>
              <w:t>$</w:t>
            </w:r>
          </w:p>
        </w:tc>
        <w:tc>
          <w:tcPr>
            <w:tcW w:w="1160" w:type="dxa"/>
            <w:vAlign w:val="bottom"/>
          </w:tcPr>
          <w:p>
            <w:pPr>
              <w:ind w:left="260"/>
              <w:spacing w:after="0"/>
              <w:rPr>
                <w:sz w:val="20"/>
                <w:szCs w:val="20"/>
                <w:color w:val="auto"/>
              </w:rPr>
            </w:pPr>
            <w:r>
              <w:rPr>
                <w:rFonts w:ascii="Arial" w:cs="Arial" w:eastAsia="Arial" w:hAnsi="Arial"/>
                <w:sz w:val="17"/>
                <w:szCs w:val="17"/>
                <w:color w:val="auto"/>
              </w:rPr>
              <w:t>620,000</w:t>
            </w:r>
          </w:p>
        </w:tc>
        <w:tc>
          <w:tcPr>
            <w:tcW w:w="320" w:type="dxa"/>
            <w:vAlign w:val="bottom"/>
          </w:tcPr>
          <w:p>
            <w:pPr>
              <w:spacing w:after="0"/>
              <w:rPr>
                <w:sz w:val="21"/>
                <w:szCs w:val="21"/>
                <w:color w:val="auto"/>
              </w:rPr>
            </w:pPr>
          </w:p>
        </w:tc>
        <w:tc>
          <w:tcPr>
            <w:tcW w:w="2000" w:type="dxa"/>
            <w:vAlign w:val="bottom"/>
            <w:tcBorders>
              <w:right w:val="single" w:sz="8" w:color="DD924E"/>
            </w:tcBorders>
            <w:gridSpan w:val="2"/>
          </w:tcPr>
          <w:p>
            <w:pPr>
              <w:jc w:val="center"/>
              <w:ind w:right="80"/>
              <w:spacing w:after="0"/>
              <w:rPr>
                <w:sz w:val="20"/>
                <w:szCs w:val="20"/>
                <w:color w:val="auto"/>
              </w:rPr>
            </w:pPr>
            <w:r>
              <w:rPr>
                <w:rFonts w:ascii="Arial" w:cs="Arial" w:eastAsia="Arial" w:hAnsi="Arial"/>
                <w:sz w:val="17"/>
                <w:szCs w:val="17"/>
                <w:color w:val="auto"/>
                <w:w w:val="93"/>
              </w:rPr>
              <w:t>—</w:t>
            </w:r>
          </w:p>
        </w:tc>
      </w:tr>
      <w:tr>
        <w:trPr>
          <w:trHeight w:val="263"/>
        </w:trPr>
        <w:tc>
          <w:tcPr>
            <w:tcW w:w="222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5"/>
                <w:szCs w:val="15"/>
                <w:b w:val="1"/>
                <w:bCs w:val="1"/>
                <w:color w:val="auto"/>
              </w:rPr>
              <w:t>Vishal Chhibbar</w:t>
            </w:r>
          </w:p>
        </w:tc>
        <w:tc>
          <w:tcPr>
            <w:tcW w:w="880" w:type="dxa"/>
            <w:vAlign w:val="bottom"/>
            <w:gridSpan w:val="2"/>
            <w:shd w:val="clear" w:color="auto" w:fill="FBF4ED"/>
          </w:tcPr>
          <w:p>
            <w:pPr>
              <w:jc w:val="right"/>
              <w:ind w:right="192"/>
              <w:spacing w:after="0"/>
              <w:rPr>
                <w:sz w:val="20"/>
                <w:szCs w:val="20"/>
                <w:color w:val="auto"/>
              </w:rPr>
            </w:pPr>
            <w:r>
              <w:rPr>
                <w:rFonts w:ascii="Arial" w:cs="Arial" w:eastAsia="Arial" w:hAnsi="Arial"/>
                <w:sz w:val="17"/>
                <w:szCs w:val="17"/>
                <w:color w:val="auto"/>
              </w:rPr>
              <w:t>$</w:t>
            </w:r>
          </w:p>
        </w:tc>
        <w:tc>
          <w:tcPr>
            <w:tcW w:w="1160" w:type="dxa"/>
            <w:vAlign w:val="bottom"/>
            <w:shd w:val="clear" w:color="auto" w:fill="FBF4ED"/>
          </w:tcPr>
          <w:p>
            <w:pPr>
              <w:ind w:left="260"/>
              <w:spacing w:after="0"/>
              <w:rPr>
                <w:sz w:val="20"/>
                <w:szCs w:val="20"/>
                <w:color w:val="auto"/>
              </w:rPr>
            </w:pPr>
            <w:r>
              <w:rPr>
                <w:rFonts w:ascii="Arial" w:cs="Arial" w:eastAsia="Arial" w:hAnsi="Arial"/>
                <w:sz w:val="17"/>
                <w:szCs w:val="17"/>
                <w:color w:val="auto"/>
              </w:rPr>
              <w:t>400,000</w:t>
            </w:r>
            <w:r>
              <w:rPr>
                <w:rFonts w:ascii="Arial" w:cs="Arial" w:eastAsia="Arial" w:hAnsi="Arial"/>
                <w:sz w:val="14"/>
                <w:szCs w:val="14"/>
                <w:color w:val="auto"/>
              </w:rPr>
              <w:t>(1)</w:t>
            </w:r>
          </w:p>
        </w:tc>
        <w:tc>
          <w:tcPr>
            <w:tcW w:w="1080" w:type="dxa"/>
            <w:vAlign w:val="bottom"/>
            <w:gridSpan w:val="2"/>
            <w:shd w:val="clear" w:color="auto" w:fill="FBF4ED"/>
          </w:tcPr>
          <w:p>
            <w:pPr>
              <w:jc w:val="right"/>
              <w:ind w:right="192"/>
              <w:spacing w:after="0"/>
              <w:rPr>
                <w:sz w:val="20"/>
                <w:szCs w:val="20"/>
                <w:color w:val="auto"/>
              </w:rPr>
            </w:pPr>
            <w:r>
              <w:rPr>
                <w:rFonts w:ascii="Arial" w:cs="Arial" w:eastAsia="Arial" w:hAnsi="Arial"/>
                <w:sz w:val="17"/>
                <w:szCs w:val="17"/>
                <w:color w:val="auto"/>
              </w:rPr>
              <w:t>$</w:t>
            </w:r>
          </w:p>
        </w:tc>
        <w:tc>
          <w:tcPr>
            <w:tcW w:w="1160" w:type="dxa"/>
            <w:vAlign w:val="bottom"/>
            <w:shd w:val="clear" w:color="auto" w:fill="FBF4ED"/>
          </w:tcPr>
          <w:p>
            <w:pPr>
              <w:ind w:left="260"/>
              <w:spacing w:after="0"/>
              <w:rPr>
                <w:sz w:val="20"/>
                <w:szCs w:val="20"/>
                <w:color w:val="auto"/>
              </w:rPr>
            </w:pPr>
            <w:r>
              <w:rPr>
                <w:rFonts w:ascii="Arial" w:cs="Arial" w:eastAsia="Arial" w:hAnsi="Arial"/>
                <w:sz w:val="17"/>
                <w:szCs w:val="17"/>
                <w:color w:val="auto"/>
              </w:rPr>
              <w:t>400,000</w:t>
            </w:r>
          </w:p>
        </w:tc>
        <w:tc>
          <w:tcPr>
            <w:tcW w:w="320" w:type="dxa"/>
            <w:vAlign w:val="bottom"/>
            <w:shd w:val="clear" w:color="auto" w:fill="FBF4ED"/>
          </w:tcPr>
          <w:p>
            <w:pPr>
              <w:spacing w:after="0"/>
              <w:rPr>
                <w:sz w:val="22"/>
                <w:szCs w:val="22"/>
                <w:color w:val="auto"/>
              </w:rPr>
            </w:pPr>
          </w:p>
        </w:tc>
        <w:tc>
          <w:tcPr>
            <w:tcW w:w="2000" w:type="dxa"/>
            <w:vAlign w:val="bottom"/>
            <w:tcBorders>
              <w:right w:val="single" w:sz="8" w:color="DD924E"/>
            </w:tcBorders>
            <w:gridSpan w:val="2"/>
            <w:shd w:val="clear" w:color="auto" w:fill="FBF4ED"/>
          </w:tcPr>
          <w:p>
            <w:pPr>
              <w:jc w:val="center"/>
              <w:ind w:right="80"/>
              <w:spacing w:after="0"/>
              <w:rPr>
                <w:sz w:val="20"/>
                <w:szCs w:val="20"/>
                <w:color w:val="auto"/>
              </w:rPr>
            </w:pPr>
            <w:r>
              <w:rPr>
                <w:rFonts w:ascii="Arial" w:cs="Arial" w:eastAsia="Arial" w:hAnsi="Arial"/>
                <w:sz w:val="17"/>
                <w:szCs w:val="17"/>
                <w:color w:val="auto"/>
                <w:w w:val="93"/>
              </w:rPr>
              <w:t>—</w:t>
            </w:r>
          </w:p>
        </w:tc>
      </w:tr>
      <w:tr>
        <w:trPr>
          <w:trHeight w:val="256"/>
        </w:trPr>
        <w:tc>
          <w:tcPr>
            <w:tcW w:w="2220" w:type="dxa"/>
            <w:vAlign w:val="bottom"/>
            <w:tcBorders>
              <w:left w:val="single" w:sz="8" w:color="DD924E"/>
            </w:tcBorders>
            <w:gridSpan w:val="2"/>
          </w:tcPr>
          <w:p>
            <w:pPr>
              <w:ind w:left="60"/>
              <w:spacing w:after="0"/>
              <w:rPr>
                <w:sz w:val="20"/>
                <w:szCs w:val="20"/>
                <w:color w:val="auto"/>
              </w:rPr>
            </w:pPr>
            <w:r>
              <w:rPr>
                <w:rFonts w:ascii="Arial" w:cs="Arial" w:eastAsia="Arial" w:hAnsi="Arial"/>
                <w:sz w:val="15"/>
                <w:szCs w:val="15"/>
                <w:b w:val="1"/>
                <w:bCs w:val="1"/>
                <w:color w:val="auto"/>
              </w:rPr>
              <w:t>Pavan Bagai</w:t>
            </w:r>
          </w:p>
        </w:tc>
        <w:tc>
          <w:tcPr>
            <w:tcW w:w="880" w:type="dxa"/>
            <w:vAlign w:val="bottom"/>
            <w:gridSpan w:val="2"/>
          </w:tcPr>
          <w:p>
            <w:pPr>
              <w:jc w:val="right"/>
              <w:ind w:right="192"/>
              <w:spacing w:after="0"/>
              <w:rPr>
                <w:sz w:val="20"/>
                <w:szCs w:val="20"/>
                <w:color w:val="auto"/>
              </w:rPr>
            </w:pPr>
            <w:r>
              <w:rPr>
                <w:rFonts w:ascii="Arial" w:cs="Arial" w:eastAsia="Arial" w:hAnsi="Arial"/>
                <w:sz w:val="17"/>
                <w:szCs w:val="17"/>
                <w:color w:val="auto"/>
              </w:rPr>
              <w:t>$</w:t>
            </w:r>
          </w:p>
        </w:tc>
        <w:tc>
          <w:tcPr>
            <w:tcW w:w="1160" w:type="dxa"/>
            <w:vAlign w:val="bottom"/>
          </w:tcPr>
          <w:p>
            <w:pPr>
              <w:ind w:left="260"/>
              <w:spacing w:after="0"/>
              <w:rPr>
                <w:sz w:val="20"/>
                <w:szCs w:val="20"/>
                <w:color w:val="auto"/>
              </w:rPr>
            </w:pPr>
            <w:r>
              <w:rPr>
                <w:rFonts w:ascii="Arial" w:cs="Arial" w:eastAsia="Arial" w:hAnsi="Arial"/>
                <w:sz w:val="17"/>
                <w:szCs w:val="17"/>
                <w:color w:val="auto"/>
              </w:rPr>
              <w:t>358,646</w:t>
            </w:r>
            <w:r>
              <w:rPr>
                <w:rFonts w:ascii="Arial" w:cs="Arial" w:eastAsia="Arial" w:hAnsi="Arial"/>
                <w:sz w:val="14"/>
                <w:szCs w:val="14"/>
                <w:color w:val="auto"/>
              </w:rPr>
              <w:t>(2)</w:t>
            </w:r>
          </w:p>
        </w:tc>
        <w:tc>
          <w:tcPr>
            <w:tcW w:w="1080" w:type="dxa"/>
            <w:vAlign w:val="bottom"/>
            <w:gridSpan w:val="2"/>
          </w:tcPr>
          <w:p>
            <w:pPr>
              <w:jc w:val="right"/>
              <w:ind w:right="192"/>
              <w:spacing w:after="0"/>
              <w:rPr>
                <w:sz w:val="20"/>
                <w:szCs w:val="20"/>
                <w:color w:val="auto"/>
              </w:rPr>
            </w:pPr>
            <w:r>
              <w:rPr>
                <w:rFonts w:ascii="Arial" w:cs="Arial" w:eastAsia="Arial" w:hAnsi="Arial"/>
                <w:sz w:val="17"/>
                <w:szCs w:val="17"/>
                <w:color w:val="auto"/>
              </w:rPr>
              <w:t>$</w:t>
            </w:r>
          </w:p>
        </w:tc>
        <w:tc>
          <w:tcPr>
            <w:tcW w:w="1160" w:type="dxa"/>
            <w:vAlign w:val="bottom"/>
          </w:tcPr>
          <w:p>
            <w:pPr>
              <w:ind w:left="260"/>
              <w:spacing w:after="0"/>
              <w:rPr>
                <w:sz w:val="20"/>
                <w:szCs w:val="20"/>
                <w:color w:val="auto"/>
              </w:rPr>
            </w:pPr>
            <w:r>
              <w:rPr>
                <w:rFonts w:ascii="Arial" w:cs="Arial" w:eastAsia="Arial" w:hAnsi="Arial"/>
                <w:sz w:val="17"/>
                <w:szCs w:val="17"/>
                <w:color w:val="auto"/>
              </w:rPr>
              <w:t>360,106</w:t>
            </w:r>
            <w:r>
              <w:rPr>
                <w:rFonts w:ascii="Arial" w:cs="Arial" w:eastAsia="Arial" w:hAnsi="Arial"/>
                <w:sz w:val="14"/>
                <w:szCs w:val="14"/>
                <w:color w:val="auto"/>
              </w:rPr>
              <w:t>(4)</w:t>
            </w:r>
          </w:p>
        </w:tc>
        <w:tc>
          <w:tcPr>
            <w:tcW w:w="320" w:type="dxa"/>
            <w:vAlign w:val="bottom"/>
          </w:tcPr>
          <w:p>
            <w:pPr>
              <w:spacing w:after="0"/>
              <w:rPr>
                <w:sz w:val="22"/>
                <w:szCs w:val="22"/>
                <w:color w:val="auto"/>
              </w:rPr>
            </w:pPr>
          </w:p>
        </w:tc>
        <w:tc>
          <w:tcPr>
            <w:tcW w:w="2000" w:type="dxa"/>
            <w:vAlign w:val="bottom"/>
            <w:tcBorders>
              <w:right w:val="single" w:sz="8" w:color="DD924E"/>
            </w:tcBorders>
            <w:gridSpan w:val="2"/>
          </w:tcPr>
          <w:p>
            <w:pPr>
              <w:jc w:val="center"/>
              <w:ind w:right="80"/>
              <w:spacing w:after="0" w:line="256" w:lineRule="exact"/>
              <w:rPr>
                <w:sz w:val="20"/>
                <w:szCs w:val="20"/>
                <w:color w:val="auto"/>
              </w:rPr>
            </w:pPr>
            <w:r>
              <w:rPr>
                <w:rFonts w:ascii="Arial" w:cs="Arial" w:eastAsia="Arial" w:hAnsi="Arial"/>
                <w:sz w:val="29"/>
                <w:szCs w:val="29"/>
                <w:color w:val="auto"/>
                <w:w w:val="93"/>
                <w:vertAlign w:val="subscript"/>
              </w:rPr>
              <w:t>nm</w:t>
            </w:r>
            <w:r>
              <w:rPr>
                <w:rFonts w:ascii="Arial" w:cs="Arial" w:eastAsia="Arial" w:hAnsi="Arial"/>
                <w:sz w:val="13"/>
                <w:szCs w:val="13"/>
                <w:color w:val="auto"/>
                <w:w w:val="93"/>
              </w:rPr>
              <w:t>(5)</w:t>
            </w:r>
          </w:p>
        </w:tc>
      </w:tr>
      <w:tr>
        <w:trPr>
          <w:trHeight w:val="256"/>
        </w:trPr>
        <w:tc>
          <w:tcPr>
            <w:tcW w:w="222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5"/>
                <w:szCs w:val="15"/>
                <w:b w:val="1"/>
                <w:bCs w:val="1"/>
                <w:color w:val="auto"/>
              </w:rPr>
              <w:t>Nagaraja Srivatsan</w:t>
            </w:r>
          </w:p>
        </w:tc>
        <w:tc>
          <w:tcPr>
            <w:tcW w:w="880" w:type="dxa"/>
            <w:vAlign w:val="bottom"/>
            <w:gridSpan w:val="2"/>
            <w:shd w:val="clear" w:color="auto" w:fill="FBF4ED"/>
          </w:tcPr>
          <w:p>
            <w:pPr>
              <w:jc w:val="right"/>
              <w:ind w:right="192"/>
              <w:spacing w:after="0"/>
              <w:rPr>
                <w:sz w:val="20"/>
                <w:szCs w:val="20"/>
                <w:color w:val="auto"/>
              </w:rPr>
            </w:pPr>
            <w:r>
              <w:rPr>
                <w:rFonts w:ascii="Arial" w:cs="Arial" w:eastAsia="Arial" w:hAnsi="Arial"/>
                <w:sz w:val="17"/>
                <w:szCs w:val="17"/>
                <w:color w:val="auto"/>
              </w:rPr>
              <w:t>$</w:t>
            </w:r>
          </w:p>
        </w:tc>
        <w:tc>
          <w:tcPr>
            <w:tcW w:w="1160" w:type="dxa"/>
            <w:vAlign w:val="bottom"/>
            <w:shd w:val="clear" w:color="auto" w:fill="FBF4ED"/>
          </w:tcPr>
          <w:p>
            <w:pPr>
              <w:ind w:left="260"/>
              <w:spacing w:after="0"/>
              <w:rPr>
                <w:sz w:val="20"/>
                <w:szCs w:val="20"/>
                <w:color w:val="auto"/>
              </w:rPr>
            </w:pPr>
            <w:r>
              <w:rPr>
                <w:rFonts w:ascii="Arial" w:cs="Arial" w:eastAsia="Arial" w:hAnsi="Arial"/>
                <w:sz w:val="17"/>
                <w:szCs w:val="17"/>
                <w:color w:val="auto"/>
              </w:rPr>
              <w:t>415,000</w:t>
            </w:r>
            <w:r>
              <w:rPr>
                <w:rFonts w:ascii="Arial" w:cs="Arial" w:eastAsia="Arial" w:hAnsi="Arial"/>
                <w:sz w:val="14"/>
                <w:szCs w:val="14"/>
                <w:color w:val="auto"/>
              </w:rPr>
              <w:t>(3)</w:t>
            </w:r>
          </w:p>
        </w:tc>
        <w:tc>
          <w:tcPr>
            <w:tcW w:w="1080" w:type="dxa"/>
            <w:vAlign w:val="bottom"/>
            <w:gridSpan w:val="2"/>
            <w:shd w:val="clear" w:color="auto" w:fill="FBF4ED"/>
          </w:tcPr>
          <w:p>
            <w:pPr>
              <w:jc w:val="right"/>
              <w:ind w:right="192"/>
              <w:spacing w:after="0"/>
              <w:rPr>
                <w:sz w:val="20"/>
                <w:szCs w:val="20"/>
                <w:color w:val="auto"/>
              </w:rPr>
            </w:pPr>
            <w:r>
              <w:rPr>
                <w:rFonts w:ascii="Arial" w:cs="Arial" w:eastAsia="Arial" w:hAnsi="Arial"/>
                <w:sz w:val="17"/>
                <w:szCs w:val="17"/>
                <w:color w:val="auto"/>
              </w:rPr>
              <w:t>$</w:t>
            </w:r>
          </w:p>
        </w:tc>
        <w:tc>
          <w:tcPr>
            <w:tcW w:w="1160" w:type="dxa"/>
            <w:vAlign w:val="bottom"/>
            <w:shd w:val="clear" w:color="auto" w:fill="FBF4ED"/>
          </w:tcPr>
          <w:p>
            <w:pPr>
              <w:ind w:left="260"/>
              <w:spacing w:after="0"/>
              <w:rPr>
                <w:sz w:val="20"/>
                <w:szCs w:val="20"/>
                <w:color w:val="auto"/>
              </w:rPr>
            </w:pPr>
            <w:r>
              <w:rPr>
                <w:rFonts w:ascii="Arial" w:cs="Arial" w:eastAsia="Arial" w:hAnsi="Arial"/>
                <w:sz w:val="17"/>
                <w:szCs w:val="17"/>
                <w:color w:val="auto"/>
              </w:rPr>
              <w:t>415,000</w:t>
            </w:r>
          </w:p>
        </w:tc>
        <w:tc>
          <w:tcPr>
            <w:tcW w:w="320" w:type="dxa"/>
            <w:vAlign w:val="bottom"/>
            <w:shd w:val="clear" w:color="auto" w:fill="FBF4ED"/>
          </w:tcPr>
          <w:p>
            <w:pPr>
              <w:spacing w:after="0"/>
              <w:rPr>
                <w:sz w:val="22"/>
                <w:szCs w:val="22"/>
                <w:color w:val="auto"/>
              </w:rPr>
            </w:pPr>
          </w:p>
        </w:tc>
        <w:tc>
          <w:tcPr>
            <w:tcW w:w="2000" w:type="dxa"/>
            <w:vAlign w:val="bottom"/>
            <w:tcBorders>
              <w:right w:val="single" w:sz="8" w:color="DD924E"/>
            </w:tcBorders>
            <w:gridSpan w:val="2"/>
            <w:shd w:val="clear" w:color="auto" w:fill="FBF4ED"/>
          </w:tcPr>
          <w:p>
            <w:pPr>
              <w:jc w:val="center"/>
              <w:ind w:right="80"/>
              <w:spacing w:after="0"/>
              <w:rPr>
                <w:sz w:val="20"/>
                <w:szCs w:val="20"/>
                <w:color w:val="auto"/>
              </w:rPr>
            </w:pPr>
            <w:r>
              <w:rPr>
                <w:rFonts w:ascii="Arial" w:cs="Arial" w:eastAsia="Arial" w:hAnsi="Arial"/>
                <w:sz w:val="17"/>
                <w:szCs w:val="17"/>
                <w:color w:val="auto"/>
                <w:w w:val="93"/>
              </w:rPr>
              <w:t>—</w:t>
            </w:r>
          </w:p>
        </w:tc>
      </w:tr>
      <w:tr>
        <w:trPr>
          <w:trHeight w:val="249"/>
        </w:trPr>
        <w:tc>
          <w:tcPr>
            <w:tcW w:w="2220" w:type="dxa"/>
            <w:vAlign w:val="bottom"/>
            <w:tcBorders>
              <w:left w:val="single" w:sz="8" w:color="DD924E"/>
              <w:bottom w:val="single" w:sz="8" w:color="DD924E"/>
            </w:tcBorders>
            <w:gridSpan w:val="2"/>
          </w:tcPr>
          <w:p>
            <w:pPr>
              <w:ind w:left="60"/>
              <w:spacing w:after="0"/>
              <w:rPr>
                <w:sz w:val="20"/>
                <w:szCs w:val="20"/>
                <w:color w:val="auto"/>
              </w:rPr>
            </w:pPr>
            <w:r>
              <w:rPr>
                <w:rFonts w:ascii="Arial" w:cs="Arial" w:eastAsia="Arial" w:hAnsi="Arial"/>
                <w:sz w:val="15"/>
                <w:szCs w:val="15"/>
                <w:b w:val="1"/>
                <w:bCs w:val="1"/>
                <w:color w:val="auto"/>
              </w:rPr>
              <w:t>Nalin Miglani</w:t>
            </w:r>
          </w:p>
        </w:tc>
        <w:tc>
          <w:tcPr>
            <w:tcW w:w="880" w:type="dxa"/>
            <w:vAlign w:val="bottom"/>
            <w:tcBorders>
              <w:bottom w:val="single" w:sz="8" w:color="DD924E"/>
            </w:tcBorders>
            <w:gridSpan w:val="2"/>
          </w:tcPr>
          <w:p>
            <w:pPr>
              <w:jc w:val="right"/>
              <w:ind w:right="192"/>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DD924E"/>
            </w:tcBorders>
          </w:tcPr>
          <w:p>
            <w:pPr>
              <w:ind w:left="260"/>
              <w:spacing w:after="0"/>
              <w:rPr>
                <w:sz w:val="20"/>
                <w:szCs w:val="20"/>
                <w:color w:val="auto"/>
              </w:rPr>
            </w:pPr>
            <w:r>
              <w:rPr>
                <w:rFonts w:ascii="Arial" w:cs="Arial" w:eastAsia="Arial" w:hAnsi="Arial"/>
                <w:sz w:val="17"/>
                <w:szCs w:val="17"/>
                <w:color w:val="auto"/>
              </w:rPr>
              <w:t>410,000</w:t>
            </w:r>
          </w:p>
        </w:tc>
        <w:tc>
          <w:tcPr>
            <w:tcW w:w="1080" w:type="dxa"/>
            <w:vAlign w:val="bottom"/>
            <w:tcBorders>
              <w:bottom w:val="single" w:sz="8" w:color="DD924E"/>
            </w:tcBorders>
            <w:gridSpan w:val="2"/>
          </w:tcPr>
          <w:p>
            <w:pPr>
              <w:jc w:val="right"/>
              <w:ind w:right="192"/>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DD924E"/>
            </w:tcBorders>
          </w:tcPr>
          <w:p>
            <w:pPr>
              <w:ind w:left="260"/>
              <w:spacing w:after="0"/>
              <w:rPr>
                <w:sz w:val="20"/>
                <w:szCs w:val="20"/>
                <w:color w:val="auto"/>
              </w:rPr>
            </w:pPr>
            <w:r>
              <w:rPr>
                <w:rFonts w:ascii="Arial" w:cs="Arial" w:eastAsia="Arial" w:hAnsi="Arial"/>
                <w:sz w:val="17"/>
                <w:szCs w:val="17"/>
                <w:color w:val="auto"/>
              </w:rPr>
              <w:t>410,000</w:t>
            </w:r>
          </w:p>
        </w:tc>
        <w:tc>
          <w:tcPr>
            <w:tcW w:w="320" w:type="dxa"/>
            <w:vAlign w:val="bottom"/>
            <w:tcBorders>
              <w:bottom w:val="single" w:sz="8" w:color="DD924E"/>
            </w:tcBorders>
          </w:tcPr>
          <w:p>
            <w:pPr>
              <w:spacing w:after="0"/>
              <w:rPr>
                <w:sz w:val="21"/>
                <w:szCs w:val="21"/>
                <w:color w:val="auto"/>
              </w:rPr>
            </w:pPr>
          </w:p>
        </w:tc>
        <w:tc>
          <w:tcPr>
            <w:tcW w:w="2000" w:type="dxa"/>
            <w:vAlign w:val="bottom"/>
            <w:tcBorders>
              <w:bottom w:val="single" w:sz="8" w:color="DD924E"/>
              <w:right w:val="single" w:sz="8" w:color="DD924E"/>
            </w:tcBorders>
            <w:gridSpan w:val="2"/>
          </w:tcPr>
          <w:p>
            <w:pPr>
              <w:jc w:val="center"/>
              <w:ind w:right="80"/>
              <w:spacing w:after="0"/>
              <w:rPr>
                <w:sz w:val="20"/>
                <w:szCs w:val="20"/>
                <w:color w:val="auto"/>
              </w:rPr>
            </w:pPr>
            <w:r>
              <w:rPr>
                <w:rFonts w:ascii="Arial" w:cs="Arial" w:eastAsia="Arial" w:hAnsi="Arial"/>
                <w:sz w:val="17"/>
                <w:szCs w:val="17"/>
                <w:color w:val="auto"/>
                <w:w w:val="93"/>
              </w:rPr>
              <w:t>—</w:t>
            </w:r>
          </w:p>
        </w:tc>
      </w:tr>
    </w:tbl>
    <w:p>
      <w:pPr>
        <w:spacing w:after="0" w:line="146" w:lineRule="exact"/>
        <w:rPr>
          <w:sz w:val="20"/>
          <w:szCs w:val="20"/>
          <w:color w:val="auto"/>
        </w:rPr>
      </w:pPr>
    </w:p>
    <w:p>
      <w:pPr>
        <w:ind w:left="840" w:right="59" w:hanging="345"/>
        <w:spacing w:after="0" w:line="236" w:lineRule="auto"/>
        <w:tabs>
          <w:tab w:leader="none" w:pos="8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Mr. Chhibbar’s base salary, along with his employment agreement, became effective January 1, 2016 as a result of his relocation to the United States.</w:t>
      </w:r>
    </w:p>
    <w:p>
      <w:pPr>
        <w:spacing w:after="0" w:line="132" w:lineRule="exact"/>
        <w:rPr>
          <w:rFonts w:ascii="Arial" w:cs="Arial" w:eastAsia="Arial" w:hAnsi="Arial"/>
          <w:sz w:val="14"/>
          <w:szCs w:val="14"/>
          <w:color w:val="auto"/>
        </w:rPr>
      </w:pPr>
    </w:p>
    <w:p>
      <w:pPr>
        <w:ind w:left="840" w:right="59" w:hanging="345"/>
        <w:spacing w:after="0" w:line="236" w:lineRule="auto"/>
        <w:tabs>
          <w:tab w:leader="none" w:pos="8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exchange rate used for the annual fixed compensation conversion from Indian rupees to U.S. dollars for Mr. Bagai was 64.13 INR to 1 USD, which was the exchange rate on January 1, 2016.</w:t>
      </w:r>
    </w:p>
    <w:p>
      <w:pPr>
        <w:spacing w:after="0" w:line="119" w:lineRule="exact"/>
        <w:rPr>
          <w:rFonts w:ascii="Arial" w:cs="Arial" w:eastAsia="Arial" w:hAnsi="Arial"/>
          <w:sz w:val="14"/>
          <w:szCs w:val="14"/>
          <w:color w:val="auto"/>
        </w:rPr>
      </w:pPr>
    </w:p>
    <w:p>
      <w:pPr>
        <w:ind w:left="840" w:hanging="345"/>
        <w:spacing w:after="0"/>
        <w:tabs>
          <w:tab w:leader="none" w:pos="8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Mr. Srivatsan’s base salary became effective when he commenced employment on December 9, 2016.</w:t>
      </w:r>
    </w:p>
    <w:p>
      <w:pPr>
        <w:spacing w:after="0" w:line="133" w:lineRule="exact"/>
        <w:rPr>
          <w:rFonts w:ascii="Arial" w:cs="Arial" w:eastAsia="Arial" w:hAnsi="Arial"/>
          <w:sz w:val="14"/>
          <w:szCs w:val="14"/>
          <w:color w:val="auto"/>
        </w:rPr>
      </w:pPr>
    </w:p>
    <w:p>
      <w:pPr>
        <w:ind w:left="840" w:right="59" w:hanging="345"/>
        <w:spacing w:after="0" w:line="236" w:lineRule="auto"/>
        <w:tabs>
          <w:tab w:leader="none" w:pos="8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exchange rate used for the annual fixed compensation conversion from Indian rupees to U.S. dollars for Mr. Bagai was 63.87 INR to 1 USD, which was the exchange rate on December 31, 2017.</w:t>
      </w:r>
    </w:p>
    <w:p>
      <w:pPr>
        <w:spacing w:after="0" w:line="132" w:lineRule="exact"/>
        <w:rPr>
          <w:rFonts w:ascii="Arial" w:cs="Arial" w:eastAsia="Arial" w:hAnsi="Arial"/>
          <w:sz w:val="14"/>
          <w:szCs w:val="14"/>
          <w:color w:val="auto"/>
        </w:rPr>
      </w:pPr>
    </w:p>
    <w:p>
      <w:pPr>
        <w:ind w:left="840" w:right="59" w:hanging="345"/>
        <w:spacing w:after="0" w:line="236" w:lineRule="auto"/>
        <w:tabs>
          <w:tab w:leader="none" w:pos="8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Not meaningful. Mr. Bagai’s base salary was not increased; however, the total USD amount fluctuated solely as a result of a change in the exchange rate.</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Incentive Bonus</w:t>
      </w:r>
    </w:p>
    <w:p>
      <w:pPr>
        <w:spacing w:after="0" w:line="158" w:lineRule="exact"/>
        <w:rPr>
          <w:sz w:val="20"/>
          <w:szCs w:val="20"/>
          <w:color w:val="auto"/>
        </w:rPr>
      </w:pPr>
    </w:p>
    <w:p>
      <w:pPr>
        <w:jc w:val="both"/>
        <w:ind w:left="160" w:right="59"/>
        <w:spacing w:after="0" w:line="237" w:lineRule="auto"/>
        <w:rPr>
          <w:sz w:val="20"/>
          <w:szCs w:val="20"/>
          <w:color w:val="auto"/>
        </w:rPr>
      </w:pPr>
      <w:r>
        <w:rPr>
          <w:rFonts w:ascii="Arial" w:cs="Arial" w:eastAsia="Arial" w:hAnsi="Arial"/>
          <w:sz w:val="17"/>
          <w:szCs w:val="17"/>
          <w:color w:val="auto"/>
        </w:rPr>
        <w:t>We have established an annual incentive bonus program in order to align our executive officers’ goals with our performance targets for the current year and to encourage meaningful contributions to our future financial performance. Our Compensation Committee approved the framework of our incentive bonus program in December 2016 for the year 2017 for bonuses payable in respect of 2017 performance. Under the program, bonus target amounts, expressed as a percentage of base salary or annual fixed compensation, are established for participants at the beginning of each year unless their employment agreements contain different terms. Funding of potential bonus payouts for the year are determined by our financial results for the year relative to pre-established financial performance measures as well as a moderate component determined based on the executive’s individual performance against pre-established performance goals. If our performance falls short of target, our aggregate funding of the annual cash bonus incentive pool declines. If we do not achieve a minimum threshold for the established financial performance objectives, then the bonus pool is not funded for that particular objective. At the end of the performance period, our Compensation Committee has discretion to adjust an award payout from the amount yielded by the formula; however, there were no such adjustments for the 2017 fiscal year.</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Our Compensation Committee considered the following when establishing the awards for 2017:</w:t>
      </w:r>
    </w:p>
    <w:p>
      <w:pPr>
        <w:spacing w:after="0" w:line="105" w:lineRule="exact"/>
        <w:rPr>
          <w:sz w:val="20"/>
          <w:szCs w:val="20"/>
          <w:color w:val="auto"/>
        </w:rPr>
      </w:pPr>
    </w:p>
    <w:p>
      <w:pPr>
        <w:jc w:val="both"/>
        <w:ind w:left="840" w:right="59" w:hanging="345"/>
        <w:spacing w:after="0" w:line="242" w:lineRule="auto"/>
        <w:tabs>
          <w:tab w:leader="none" w:pos="840" w:val="left"/>
        </w:tabs>
        <w:numPr>
          <w:ilvl w:val="0"/>
          <w:numId w:val="69"/>
        </w:numPr>
        <w:rPr>
          <w:rFonts w:ascii="Arial" w:cs="Arial" w:eastAsia="Arial" w:hAnsi="Arial"/>
          <w:sz w:val="17"/>
          <w:szCs w:val="17"/>
          <w:color w:val="DD924E"/>
        </w:rPr>
      </w:pPr>
      <w:r>
        <w:rPr>
          <w:rFonts w:ascii="Arial" w:cs="Arial" w:eastAsia="Arial" w:hAnsi="Arial"/>
          <w:sz w:val="17"/>
          <w:szCs w:val="17"/>
          <w:b w:val="1"/>
          <w:bCs w:val="1"/>
          <w:color w:val="auto"/>
        </w:rPr>
        <w:t xml:space="preserve">Bonus Targets. </w:t>
      </w:r>
      <w:r>
        <w:rPr>
          <w:rFonts w:ascii="Arial" w:cs="Arial" w:eastAsia="Arial" w:hAnsi="Arial"/>
          <w:sz w:val="17"/>
          <w:szCs w:val="17"/>
          <w:color w:val="auto"/>
        </w:rPr>
        <w:t>Bonus targets were established based on job responsibilities and comparable market</w:t>
      </w:r>
      <w:r>
        <w:rPr>
          <w:rFonts w:ascii="Arial" w:cs="Arial" w:eastAsia="Arial" w:hAnsi="Arial"/>
          <w:sz w:val="17"/>
          <w:szCs w:val="17"/>
          <w:b w:val="1"/>
          <w:bCs w:val="1"/>
          <w:color w:val="auto"/>
        </w:rPr>
        <w:t xml:space="preserve"> </w:t>
      </w:r>
      <w:r>
        <w:rPr>
          <w:rFonts w:ascii="Arial" w:cs="Arial" w:eastAsia="Arial" w:hAnsi="Arial"/>
          <w:sz w:val="17"/>
          <w:szCs w:val="17"/>
          <w:color w:val="auto"/>
        </w:rPr>
        <w:t>data. Our objective was to set bonus targets such that total 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compensation tied to our performance. During 2017, our Compensation Committee established the following bonus targets (expressed as a percentage of base salary or annual fixed compensation) as well as maximum bonus targets for each named executive officer.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3" w:name="page44"/>
    <w:bookmarkEnd w:id="43"/>
    <w:p>
      <w:pPr>
        <w:spacing w:after="0" w:line="59" w:lineRule="exact"/>
        <w:rPr>
          <w:sz w:val="20"/>
          <w:szCs w:val="20"/>
          <w:color w:val="auto"/>
        </w:rPr>
      </w:pPr>
    </w:p>
    <w:tbl>
      <w:tblPr>
        <w:tblLayout w:type="fixed"/>
        <w:tblInd w:w="830" w:type="dxa"/>
        <w:tblCellMar>
          <w:top w:w="0" w:type="dxa"/>
          <w:left w:w="0" w:type="dxa"/>
          <w:bottom w:w="0" w:type="dxa"/>
          <w:right w:w="0" w:type="dxa"/>
        </w:tblCellMar>
      </w:tblPr>
      <w:tr>
        <w:trPr>
          <w:trHeight w:val="211"/>
        </w:trPr>
        <w:tc>
          <w:tcPr>
            <w:tcW w:w="80" w:type="dxa"/>
            <w:vAlign w:val="bottom"/>
            <w:tcBorders>
              <w:left w:val="single" w:sz="8" w:color="DD924E"/>
              <w:bottom w:val="single" w:sz="8" w:color="DD924E"/>
            </w:tcBorders>
            <w:shd w:val="clear" w:color="auto" w:fill="DD924E"/>
          </w:tcPr>
          <w:p>
            <w:pPr>
              <w:spacing w:after="0"/>
              <w:rPr>
                <w:sz w:val="18"/>
                <w:szCs w:val="18"/>
                <w:color w:val="auto"/>
              </w:rPr>
            </w:pPr>
          </w:p>
        </w:tc>
        <w:tc>
          <w:tcPr>
            <w:tcW w:w="1680" w:type="dxa"/>
            <w:vAlign w:val="bottom"/>
            <w:tcBorders>
              <w:bottom w:val="single" w:sz="8" w:color="auto"/>
            </w:tcBorders>
            <w:shd w:val="clear" w:color="auto" w:fill="DD924E"/>
          </w:tcPr>
          <w:p>
            <w:pPr>
              <w:ind w:left="660"/>
              <w:spacing w:after="0"/>
              <w:rPr>
                <w:sz w:val="20"/>
                <w:szCs w:val="20"/>
                <w:color w:val="auto"/>
              </w:rPr>
            </w:pPr>
            <w:r>
              <w:rPr>
                <w:rFonts w:ascii="Arial" w:cs="Arial" w:eastAsia="Arial" w:hAnsi="Arial"/>
                <w:sz w:val="14"/>
                <w:szCs w:val="14"/>
                <w:b w:val="1"/>
                <w:bCs w:val="1"/>
                <w:color w:val="FFFFFF"/>
              </w:rPr>
              <w:t>Name</w:t>
            </w:r>
          </w:p>
        </w:tc>
        <w:tc>
          <w:tcPr>
            <w:tcW w:w="100" w:type="dxa"/>
            <w:vAlign w:val="bottom"/>
            <w:tcBorders>
              <w:bottom w:val="single" w:sz="8" w:color="DD924E"/>
            </w:tcBorders>
            <w:shd w:val="clear" w:color="auto" w:fill="DD924E"/>
          </w:tcPr>
          <w:p>
            <w:pPr>
              <w:spacing w:after="0"/>
              <w:rPr>
                <w:sz w:val="18"/>
                <w:szCs w:val="18"/>
                <w:color w:val="auto"/>
              </w:rPr>
            </w:pPr>
          </w:p>
        </w:tc>
        <w:tc>
          <w:tcPr>
            <w:tcW w:w="3060" w:type="dxa"/>
            <w:vAlign w:val="bottom"/>
            <w:tcBorders>
              <w:bottom w:val="single" w:sz="8" w:color="auto"/>
            </w:tcBorders>
            <w:shd w:val="clear" w:color="auto" w:fill="DD924E"/>
          </w:tcPr>
          <w:p>
            <w:pPr>
              <w:ind w:left="1100"/>
              <w:spacing w:after="0"/>
              <w:rPr>
                <w:sz w:val="20"/>
                <w:szCs w:val="20"/>
                <w:color w:val="auto"/>
              </w:rPr>
            </w:pPr>
            <w:r>
              <w:rPr>
                <w:rFonts w:ascii="Arial" w:cs="Arial" w:eastAsia="Arial" w:hAnsi="Arial"/>
                <w:sz w:val="14"/>
                <w:szCs w:val="14"/>
                <w:b w:val="1"/>
                <w:bCs w:val="1"/>
                <w:color w:val="FFFFFF"/>
              </w:rPr>
              <w:t>Bonus Target</w:t>
            </w:r>
          </w:p>
        </w:tc>
        <w:tc>
          <w:tcPr>
            <w:tcW w:w="100" w:type="dxa"/>
            <w:vAlign w:val="bottom"/>
            <w:tcBorders>
              <w:bottom w:val="single" w:sz="8" w:color="DD924E"/>
            </w:tcBorders>
            <w:shd w:val="clear" w:color="auto" w:fill="DD924E"/>
          </w:tcPr>
          <w:p>
            <w:pPr>
              <w:spacing w:after="0"/>
              <w:rPr>
                <w:sz w:val="18"/>
                <w:szCs w:val="18"/>
                <w:color w:val="auto"/>
              </w:rPr>
            </w:pPr>
          </w:p>
        </w:tc>
        <w:tc>
          <w:tcPr>
            <w:tcW w:w="3060" w:type="dxa"/>
            <w:vAlign w:val="bottom"/>
            <w:tcBorders>
              <w:bottom w:val="single" w:sz="8" w:color="auto"/>
            </w:tcBorders>
            <w:shd w:val="clear" w:color="auto" w:fill="DD924E"/>
          </w:tcPr>
          <w:p>
            <w:pPr>
              <w:ind w:left="980"/>
              <w:spacing w:after="0"/>
              <w:rPr>
                <w:sz w:val="20"/>
                <w:szCs w:val="20"/>
                <w:color w:val="auto"/>
              </w:rPr>
            </w:pPr>
            <w:r>
              <w:rPr>
                <w:rFonts w:ascii="Arial" w:cs="Arial" w:eastAsia="Arial" w:hAnsi="Arial"/>
                <w:sz w:val="14"/>
                <w:szCs w:val="14"/>
                <w:b w:val="1"/>
                <w:bCs w:val="1"/>
                <w:color w:val="FFFFFF"/>
              </w:rPr>
              <w:t>Bonus Maximum</w:t>
            </w:r>
          </w:p>
        </w:tc>
        <w:tc>
          <w:tcPr>
            <w:tcW w:w="60" w:type="dxa"/>
            <w:vAlign w:val="bottom"/>
            <w:tcBorders>
              <w:bottom w:val="single" w:sz="8" w:color="DD924E"/>
              <w:right w:val="single" w:sz="8" w:color="DD924E"/>
            </w:tcBorders>
            <w:shd w:val="clear" w:color="auto" w:fill="DD924E"/>
          </w:tcPr>
          <w:p>
            <w:pPr>
              <w:spacing w:after="0"/>
              <w:rPr>
                <w:sz w:val="18"/>
                <w:szCs w:val="18"/>
                <w:color w:val="auto"/>
              </w:rPr>
            </w:pPr>
          </w:p>
        </w:tc>
      </w:tr>
      <w:tr>
        <w:trPr>
          <w:trHeight w:val="236"/>
        </w:trPr>
        <w:tc>
          <w:tcPr>
            <w:tcW w:w="80" w:type="dxa"/>
            <w:vAlign w:val="bottom"/>
            <w:tcBorders>
              <w:left w:val="single" w:sz="8" w:color="DD924E"/>
              <w:bottom w:val="single" w:sz="8" w:color="FBF4ED"/>
            </w:tcBorders>
            <w:shd w:val="clear" w:color="auto" w:fill="FBF4ED"/>
          </w:tcPr>
          <w:p>
            <w:pPr>
              <w:spacing w:after="0"/>
              <w:rPr>
                <w:sz w:val="20"/>
                <w:szCs w:val="20"/>
                <w:color w:val="auto"/>
              </w:rPr>
            </w:pPr>
          </w:p>
        </w:tc>
        <w:tc>
          <w:tcPr>
            <w:tcW w:w="1680" w:type="dxa"/>
            <w:vAlign w:val="bottom"/>
            <w:tcBorders>
              <w:bottom w:val="single" w:sz="8" w:color="FBF4ED"/>
            </w:tcBorders>
            <w:shd w:val="clear" w:color="auto" w:fill="FBF4ED"/>
          </w:tcPr>
          <w:p>
            <w:pPr>
              <w:spacing w:after="0"/>
              <w:rPr>
                <w:sz w:val="20"/>
                <w:szCs w:val="20"/>
                <w:color w:val="auto"/>
              </w:rPr>
            </w:pPr>
            <w:r>
              <w:rPr>
                <w:rFonts w:ascii="Arial" w:cs="Arial" w:eastAsia="Arial" w:hAnsi="Arial"/>
                <w:sz w:val="15"/>
                <w:szCs w:val="15"/>
                <w:b w:val="1"/>
                <w:bCs w:val="1"/>
                <w:color w:val="auto"/>
              </w:rPr>
              <w:t>Rohit Kapoor</w:t>
            </w:r>
          </w:p>
        </w:tc>
        <w:tc>
          <w:tcPr>
            <w:tcW w:w="100" w:type="dxa"/>
            <w:vAlign w:val="bottom"/>
            <w:tcBorders>
              <w:bottom w:val="single" w:sz="8" w:color="FBF4ED"/>
            </w:tcBorders>
            <w:shd w:val="clear" w:color="auto" w:fill="FBF4ED"/>
          </w:tcPr>
          <w:p>
            <w:pPr>
              <w:spacing w:after="0"/>
              <w:rPr>
                <w:sz w:val="20"/>
                <w:szCs w:val="20"/>
                <w:color w:val="auto"/>
              </w:rPr>
            </w:pPr>
          </w:p>
        </w:tc>
        <w:tc>
          <w:tcPr>
            <w:tcW w:w="3060" w:type="dxa"/>
            <w:vAlign w:val="bottom"/>
            <w:tcBorders>
              <w:bottom w:val="single" w:sz="8" w:color="FBF4ED"/>
            </w:tcBorders>
            <w:shd w:val="clear" w:color="auto" w:fill="FBF4ED"/>
          </w:tcPr>
          <w:p>
            <w:pPr>
              <w:ind w:left="20"/>
              <w:spacing w:after="0"/>
              <w:rPr>
                <w:sz w:val="20"/>
                <w:szCs w:val="20"/>
                <w:color w:val="auto"/>
              </w:rPr>
            </w:pPr>
            <w:r>
              <w:rPr>
                <w:rFonts w:ascii="Arial" w:cs="Arial" w:eastAsia="Arial" w:hAnsi="Arial"/>
                <w:sz w:val="15"/>
                <w:szCs w:val="15"/>
                <w:color w:val="auto"/>
              </w:rPr>
              <w:t>100% of base salary</w:t>
            </w:r>
          </w:p>
        </w:tc>
        <w:tc>
          <w:tcPr>
            <w:tcW w:w="100" w:type="dxa"/>
            <w:vAlign w:val="bottom"/>
            <w:tcBorders>
              <w:bottom w:val="single" w:sz="8" w:color="FBF4ED"/>
            </w:tcBorders>
            <w:shd w:val="clear" w:color="auto" w:fill="FBF4ED"/>
          </w:tcPr>
          <w:p>
            <w:pPr>
              <w:spacing w:after="0"/>
              <w:rPr>
                <w:sz w:val="20"/>
                <w:szCs w:val="20"/>
                <w:color w:val="auto"/>
              </w:rPr>
            </w:pPr>
          </w:p>
        </w:tc>
        <w:tc>
          <w:tcPr>
            <w:tcW w:w="3120" w:type="dxa"/>
            <w:vAlign w:val="bottom"/>
            <w:tcBorders>
              <w:bottom w:val="single" w:sz="8" w:color="FBF4ED"/>
              <w:right w:val="single" w:sz="8" w:color="DD924E"/>
            </w:tcBorders>
            <w:gridSpan w:val="2"/>
            <w:shd w:val="clear" w:color="auto" w:fill="FBF4ED"/>
          </w:tcPr>
          <w:p>
            <w:pPr>
              <w:spacing w:after="0"/>
              <w:rPr>
                <w:sz w:val="20"/>
                <w:szCs w:val="20"/>
                <w:color w:val="auto"/>
              </w:rPr>
            </w:pPr>
            <w:r>
              <w:rPr>
                <w:rFonts w:ascii="Arial" w:cs="Arial" w:eastAsia="Arial" w:hAnsi="Arial"/>
                <w:sz w:val="15"/>
                <w:szCs w:val="15"/>
                <w:color w:val="auto"/>
              </w:rPr>
              <w:t>200% of base salary</w:t>
            </w:r>
          </w:p>
        </w:tc>
      </w:tr>
      <w:tr>
        <w:trPr>
          <w:trHeight w:val="225"/>
        </w:trPr>
        <w:tc>
          <w:tcPr>
            <w:tcW w:w="80" w:type="dxa"/>
            <w:vAlign w:val="bottom"/>
            <w:tcBorders>
              <w:left w:val="single" w:sz="8" w:color="DD924E"/>
            </w:tcBorders>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5"/>
                <w:szCs w:val="15"/>
                <w:b w:val="1"/>
                <w:bCs w:val="1"/>
                <w:color w:val="auto"/>
              </w:rPr>
              <w:t>Vishal Chhibbar</w:t>
            </w: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color w:val="auto"/>
              </w:rPr>
              <w:t>60% of base salary</w:t>
            </w:r>
          </w:p>
        </w:tc>
        <w:tc>
          <w:tcPr>
            <w:tcW w:w="100" w:type="dxa"/>
            <w:vAlign w:val="bottom"/>
          </w:tcPr>
          <w:p>
            <w:pPr>
              <w:spacing w:after="0"/>
              <w:rPr>
                <w:sz w:val="19"/>
                <w:szCs w:val="19"/>
                <w:color w:val="auto"/>
              </w:rPr>
            </w:pPr>
          </w:p>
        </w:tc>
        <w:tc>
          <w:tcPr>
            <w:tcW w:w="3120" w:type="dxa"/>
            <w:vAlign w:val="bottom"/>
            <w:tcBorders>
              <w:right w:val="single" w:sz="8" w:color="DD924E"/>
            </w:tcBorders>
            <w:gridSpan w:val="2"/>
          </w:tcPr>
          <w:p>
            <w:pPr>
              <w:spacing w:after="0"/>
              <w:rPr>
                <w:sz w:val="20"/>
                <w:szCs w:val="20"/>
                <w:color w:val="auto"/>
              </w:rPr>
            </w:pPr>
            <w:r>
              <w:rPr>
                <w:rFonts w:ascii="Arial" w:cs="Arial" w:eastAsia="Arial" w:hAnsi="Arial"/>
                <w:sz w:val="15"/>
                <w:szCs w:val="15"/>
                <w:color w:val="auto"/>
              </w:rPr>
              <w:t>120% of base salary</w:t>
            </w:r>
          </w:p>
        </w:tc>
      </w:tr>
      <w:tr>
        <w:trPr>
          <w:trHeight w:val="31"/>
        </w:trPr>
        <w:tc>
          <w:tcPr>
            <w:tcW w:w="80" w:type="dxa"/>
            <w:vAlign w:val="bottom"/>
            <w:tcBorders>
              <w:left w:val="single" w:sz="8" w:color="DD924E"/>
            </w:tcBorders>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Borders>
              <w:right w:val="single" w:sz="8" w:color="DD924E"/>
            </w:tcBorders>
            <w:gridSpan w:val="2"/>
          </w:tcPr>
          <w:p>
            <w:pPr>
              <w:spacing w:after="0"/>
              <w:rPr>
                <w:sz w:val="2"/>
                <w:szCs w:val="2"/>
                <w:color w:val="auto"/>
              </w:rPr>
            </w:pPr>
          </w:p>
        </w:tc>
      </w:tr>
      <w:tr>
        <w:trPr>
          <w:trHeight w:val="236"/>
        </w:trPr>
        <w:tc>
          <w:tcPr>
            <w:tcW w:w="80" w:type="dxa"/>
            <w:vAlign w:val="bottom"/>
            <w:tcBorders>
              <w:left w:val="single" w:sz="8" w:color="DD924E"/>
              <w:bottom w:val="single" w:sz="8" w:color="FBF4ED"/>
            </w:tcBorders>
            <w:shd w:val="clear" w:color="auto" w:fill="FBF4ED"/>
          </w:tcPr>
          <w:p>
            <w:pPr>
              <w:spacing w:after="0"/>
              <w:rPr>
                <w:sz w:val="20"/>
                <w:szCs w:val="20"/>
                <w:color w:val="auto"/>
              </w:rPr>
            </w:pPr>
          </w:p>
        </w:tc>
        <w:tc>
          <w:tcPr>
            <w:tcW w:w="1680" w:type="dxa"/>
            <w:vAlign w:val="bottom"/>
            <w:tcBorders>
              <w:bottom w:val="single" w:sz="8" w:color="FBF4ED"/>
            </w:tcBorders>
            <w:shd w:val="clear" w:color="auto" w:fill="FBF4ED"/>
          </w:tcPr>
          <w:p>
            <w:pPr>
              <w:spacing w:after="0"/>
              <w:rPr>
                <w:sz w:val="20"/>
                <w:szCs w:val="20"/>
                <w:color w:val="auto"/>
              </w:rPr>
            </w:pPr>
            <w:r>
              <w:rPr>
                <w:rFonts w:ascii="Arial" w:cs="Arial" w:eastAsia="Arial" w:hAnsi="Arial"/>
                <w:sz w:val="15"/>
                <w:szCs w:val="15"/>
                <w:b w:val="1"/>
                <w:bCs w:val="1"/>
                <w:color w:val="auto"/>
              </w:rPr>
              <w:t>Pavan Bagai</w:t>
            </w:r>
          </w:p>
        </w:tc>
        <w:tc>
          <w:tcPr>
            <w:tcW w:w="100" w:type="dxa"/>
            <w:vAlign w:val="bottom"/>
            <w:tcBorders>
              <w:bottom w:val="single" w:sz="8" w:color="FBF4ED"/>
            </w:tcBorders>
            <w:shd w:val="clear" w:color="auto" w:fill="FBF4ED"/>
          </w:tcPr>
          <w:p>
            <w:pPr>
              <w:spacing w:after="0"/>
              <w:rPr>
                <w:sz w:val="20"/>
                <w:szCs w:val="20"/>
                <w:color w:val="auto"/>
              </w:rPr>
            </w:pPr>
          </w:p>
        </w:tc>
        <w:tc>
          <w:tcPr>
            <w:tcW w:w="3060" w:type="dxa"/>
            <w:vAlign w:val="bottom"/>
            <w:tcBorders>
              <w:bottom w:val="single" w:sz="8" w:color="FBF4ED"/>
            </w:tcBorders>
            <w:shd w:val="clear" w:color="auto" w:fill="FBF4ED"/>
          </w:tcPr>
          <w:p>
            <w:pPr>
              <w:ind w:left="20"/>
              <w:spacing w:after="0"/>
              <w:rPr>
                <w:sz w:val="20"/>
                <w:szCs w:val="20"/>
                <w:color w:val="auto"/>
              </w:rPr>
            </w:pPr>
            <w:r>
              <w:rPr>
                <w:rFonts w:ascii="Arial" w:cs="Arial" w:eastAsia="Arial" w:hAnsi="Arial"/>
                <w:sz w:val="15"/>
                <w:szCs w:val="15"/>
                <w:color w:val="auto"/>
              </w:rPr>
              <w:t>75% of annual fixed compensation</w:t>
            </w:r>
          </w:p>
        </w:tc>
        <w:tc>
          <w:tcPr>
            <w:tcW w:w="100" w:type="dxa"/>
            <w:vAlign w:val="bottom"/>
            <w:tcBorders>
              <w:bottom w:val="single" w:sz="8" w:color="FBF4ED"/>
            </w:tcBorders>
            <w:shd w:val="clear" w:color="auto" w:fill="FBF4ED"/>
          </w:tcPr>
          <w:p>
            <w:pPr>
              <w:spacing w:after="0"/>
              <w:rPr>
                <w:sz w:val="20"/>
                <w:szCs w:val="20"/>
                <w:color w:val="auto"/>
              </w:rPr>
            </w:pPr>
          </w:p>
        </w:tc>
        <w:tc>
          <w:tcPr>
            <w:tcW w:w="3120" w:type="dxa"/>
            <w:vAlign w:val="bottom"/>
            <w:tcBorders>
              <w:bottom w:val="single" w:sz="8" w:color="FBF4ED"/>
              <w:right w:val="single" w:sz="8" w:color="DD924E"/>
            </w:tcBorders>
            <w:gridSpan w:val="2"/>
            <w:shd w:val="clear" w:color="auto" w:fill="FBF4ED"/>
          </w:tcPr>
          <w:p>
            <w:pPr>
              <w:spacing w:after="0"/>
              <w:rPr>
                <w:sz w:val="20"/>
                <w:szCs w:val="20"/>
                <w:color w:val="auto"/>
              </w:rPr>
            </w:pPr>
            <w:r>
              <w:rPr>
                <w:rFonts w:ascii="Arial" w:cs="Arial" w:eastAsia="Arial" w:hAnsi="Arial"/>
                <w:sz w:val="15"/>
                <w:szCs w:val="15"/>
                <w:color w:val="auto"/>
              </w:rPr>
              <w:t>150% of annual fixed compensation</w:t>
            </w:r>
          </w:p>
        </w:tc>
      </w:tr>
      <w:tr>
        <w:trPr>
          <w:trHeight w:val="225"/>
        </w:trPr>
        <w:tc>
          <w:tcPr>
            <w:tcW w:w="80" w:type="dxa"/>
            <w:vAlign w:val="bottom"/>
            <w:tcBorders>
              <w:left w:val="single" w:sz="8" w:color="DD924E"/>
            </w:tcBorders>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5"/>
                <w:szCs w:val="15"/>
                <w:b w:val="1"/>
                <w:bCs w:val="1"/>
                <w:color w:val="auto"/>
              </w:rPr>
              <w:t>Nagaraja Srivatsan</w:t>
            </w: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color w:val="auto"/>
              </w:rPr>
              <w:t>75% of base salary</w:t>
            </w:r>
          </w:p>
        </w:tc>
        <w:tc>
          <w:tcPr>
            <w:tcW w:w="100" w:type="dxa"/>
            <w:vAlign w:val="bottom"/>
          </w:tcPr>
          <w:p>
            <w:pPr>
              <w:spacing w:after="0"/>
              <w:rPr>
                <w:sz w:val="19"/>
                <w:szCs w:val="19"/>
                <w:color w:val="auto"/>
              </w:rPr>
            </w:pPr>
          </w:p>
        </w:tc>
        <w:tc>
          <w:tcPr>
            <w:tcW w:w="3120" w:type="dxa"/>
            <w:vAlign w:val="bottom"/>
            <w:tcBorders>
              <w:right w:val="single" w:sz="8" w:color="DD924E"/>
            </w:tcBorders>
            <w:gridSpan w:val="2"/>
          </w:tcPr>
          <w:p>
            <w:pPr>
              <w:spacing w:after="0"/>
              <w:rPr>
                <w:sz w:val="20"/>
                <w:szCs w:val="20"/>
                <w:color w:val="auto"/>
              </w:rPr>
            </w:pPr>
            <w:r>
              <w:rPr>
                <w:rFonts w:ascii="Arial" w:cs="Arial" w:eastAsia="Arial" w:hAnsi="Arial"/>
                <w:sz w:val="15"/>
                <w:szCs w:val="15"/>
                <w:color w:val="auto"/>
              </w:rPr>
              <w:t>150% of base salary</w:t>
            </w:r>
          </w:p>
        </w:tc>
      </w:tr>
      <w:tr>
        <w:trPr>
          <w:trHeight w:val="31"/>
        </w:trPr>
        <w:tc>
          <w:tcPr>
            <w:tcW w:w="80" w:type="dxa"/>
            <w:vAlign w:val="bottom"/>
            <w:tcBorders>
              <w:left w:val="single" w:sz="8" w:color="DD924E"/>
            </w:tcBorders>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Borders>
              <w:right w:val="single" w:sz="8" w:color="DD924E"/>
            </w:tcBorders>
            <w:gridSpan w:val="2"/>
          </w:tcPr>
          <w:p>
            <w:pPr>
              <w:spacing w:after="0"/>
              <w:rPr>
                <w:sz w:val="2"/>
                <w:szCs w:val="2"/>
                <w:color w:val="auto"/>
              </w:rPr>
            </w:pPr>
          </w:p>
        </w:tc>
      </w:tr>
      <w:tr>
        <w:trPr>
          <w:trHeight w:val="236"/>
        </w:trPr>
        <w:tc>
          <w:tcPr>
            <w:tcW w:w="80" w:type="dxa"/>
            <w:vAlign w:val="bottom"/>
            <w:tcBorders>
              <w:left w:val="single" w:sz="8" w:color="DD924E"/>
              <w:bottom w:val="single" w:sz="8" w:color="FBF4ED"/>
            </w:tcBorders>
            <w:shd w:val="clear" w:color="auto" w:fill="FBF4ED"/>
          </w:tcPr>
          <w:p>
            <w:pPr>
              <w:spacing w:after="0"/>
              <w:rPr>
                <w:sz w:val="20"/>
                <w:szCs w:val="20"/>
                <w:color w:val="auto"/>
              </w:rPr>
            </w:pPr>
          </w:p>
        </w:tc>
        <w:tc>
          <w:tcPr>
            <w:tcW w:w="1680" w:type="dxa"/>
            <w:vAlign w:val="bottom"/>
            <w:tcBorders>
              <w:bottom w:val="single" w:sz="8" w:color="FBF4ED"/>
            </w:tcBorders>
            <w:shd w:val="clear" w:color="auto" w:fill="FBF4ED"/>
          </w:tcPr>
          <w:p>
            <w:pPr>
              <w:spacing w:after="0"/>
              <w:rPr>
                <w:sz w:val="20"/>
                <w:szCs w:val="20"/>
                <w:color w:val="auto"/>
              </w:rPr>
            </w:pPr>
            <w:r>
              <w:rPr>
                <w:rFonts w:ascii="Arial" w:cs="Arial" w:eastAsia="Arial" w:hAnsi="Arial"/>
                <w:sz w:val="15"/>
                <w:szCs w:val="15"/>
                <w:b w:val="1"/>
                <w:bCs w:val="1"/>
                <w:color w:val="auto"/>
              </w:rPr>
              <w:t>Nalin Miglani</w:t>
            </w:r>
          </w:p>
        </w:tc>
        <w:tc>
          <w:tcPr>
            <w:tcW w:w="100" w:type="dxa"/>
            <w:vAlign w:val="bottom"/>
            <w:tcBorders>
              <w:bottom w:val="single" w:sz="8" w:color="FBF4ED"/>
            </w:tcBorders>
            <w:shd w:val="clear" w:color="auto" w:fill="FBF4ED"/>
          </w:tcPr>
          <w:p>
            <w:pPr>
              <w:spacing w:after="0"/>
              <w:rPr>
                <w:sz w:val="20"/>
                <w:szCs w:val="20"/>
                <w:color w:val="auto"/>
              </w:rPr>
            </w:pPr>
          </w:p>
        </w:tc>
        <w:tc>
          <w:tcPr>
            <w:tcW w:w="3060" w:type="dxa"/>
            <w:vAlign w:val="bottom"/>
            <w:tcBorders>
              <w:bottom w:val="single" w:sz="8" w:color="FBF4ED"/>
            </w:tcBorders>
            <w:shd w:val="clear" w:color="auto" w:fill="FBF4ED"/>
          </w:tcPr>
          <w:p>
            <w:pPr>
              <w:ind w:left="20"/>
              <w:spacing w:after="0"/>
              <w:rPr>
                <w:sz w:val="20"/>
                <w:szCs w:val="20"/>
                <w:color w:val="auto"/>
              </w:rPr>
            </w:pPr>
            <w:r>
              <w:rPr>
                <w:rFonts w:ascii="Arial" w:cs="Arial" w:eastAsia="Arial" w:hAnsi="Arial"/>
                <w:sz w:val="15"/>
                <w:szCs w:val="15"/>
                <w:color w:val="auto"/>
              </w:rPr>
              <w:t>60% of base salary</w:t>
            </w:r>
          </w:p>
        </w:tc>
        <w:tc>
          <w:tcPr>
            <w:tcW w:w="100" w:type="dxa"/>
            <w:vAlign w:val="bottom"/>
            <w:tcBorders>
              <w:bottom w:val="single" w:sz="8" w:color="FBF4ED"/>
            </w:tcBorders>
            <w:shd w:val="clear" w:color="auto" w:fill="FBF4ED"/>
          </w:tcPr>
          <w:p>
            <w:pPr>
              <w:spacing w:after="0"/>
              <w:rPr>
                <w:sz w:val="20"/>
                <w:szCs w:val="20"/>
                <w:color w:val="auto"/>
              </w:rPr>
            </w:pPr>
          </w:p>
        </w:tc>
        <w:tc>
          <w:tcPr>
            <w:tcW w:w="3120" w:type="dxa"/>
            <w:vAlign w:val="bottom"/>
            <w:tcBorders>
              <w:bottom w:val="single" w:sz="8" w:color="FBF4ED"/>
              <w:right w:val="single" w:sz="8" w:color="DD924E"/>
            </w:tcBorders>
            <w:gridSpan w:val="2"/>
            <w:shd w:val="clear" w:color="auto" w:fill="FBF4ED"/>
          </w:tcPr>
          <w:p>
            <w:pPr>
              <w:spacing w:after="0"/>
              <w:rPr>
                <w:sz w:val="20"/>
                <w:szCs w:val="20"/>
                <w:color w:val="auto"/>
              </w:rPr>
            </w:pPr>
            <w:r>
              <w:rPr>
                <w:rFonts w:ascii="Arial" w:cs="Arial" w:eastAsia="Arial" w:hAnsi="Arial"/>
                <w:sz w:val="15"/>
                <w:szCs w:val="15"/>
                <w:color w:val="auto"/>
              </w:rPr>
              <w:t>120% of base salary</w:t>
            </w:r>
          </w:p>
        </w:tc>
      </w:tr>
      <w:tr>
        <w:trPr>
          <w:trHeight w:val="20"/>
        </w:trPr>
        <w:tc>
          <w:tcPr>
            <w:tcW w:w="80" w:type="dxa"/>
            <w:vAlign w:val="bottom"/>
            <w:tcBorders>
              <w:left w:val="single" w:sz="8" w:color="DD924E"/>
            </w:tcBorders>
            <w:shd w:val="clear" w:color="auto" w:fill="DD924E"/>
          </w:tcPr>
          <w:p>
            <w:pPr>
              <w:spacing w:after="0" w:line="20" w:lineRule="exact"/>
              <w:rPr>
                <w:sz w:val="1"/>
                <w:szCs w:val="1"/>
                <w:color w:val="auto"/>
              </w:rPr>
            </w:pPr>
          </w:p>
        </w:tc>
        <w:tc>
          <w:tcPr>
            <w:tcW w:w="1680" w:type="dxa"/>
            <w:vAlign w:val="bottom"/>
            <w:shd w:val="clear" w:color="auto" w:fill="DD924E"/>
          </w:tcPr>
          <w:p>
            <w:pPr>
              <w:spacing w:after="0" w:line="20" w:lineRule="exact"/>
              <w:rPr>
                <w:sz w:val="1"/>
                <w:szCs w:val="1"/>
                <w:color w:val="auto"/>
              </w:rPr>
            </w:pPr>
          </w:p>
        </w:tc>
        <w:tc>
          <w:tcPr>
            <w:tcW w:w="100" w:type="dxa"/>
            <w:vAlign w:val="bottom"/>
            <w:shd w:val="clear" w:color="auto" w:fill="DD924E"/>
          </w:tcPr>
          <w:p>
            <w:pPr>
              <w:spacing w:after="0" w:line="20" w:lineRule="exact"/>
              <w:rPr>
                <w:sz w:val="1"/>
                <w:szCs w:val="1"/>
                <w:color w:val="auto"/>
              </w:rPr>
            </w:pPr>
          </w:p>
        </w:tc>
        <w:tc>
          <w:tcPr>
            <w:tcW w:w="3060" w:type="dxa"/>
            <w:vAlign w:val="bottom"/>
            <w:shd w:val="clear" w:color="auto" w:fill="DD924E"/>
          </w:tcPr>
          <w:p>
            <w:pPr>
              <w:spacing w:after="0" w:line="20" w:lineRule="exact"/>
              <w:rPr>
                <w:sz w:val="1"/>
                <w:szCs w:val="1"/>
                <w:color w:val="auto"/>
              </w:rPr>
            </w:pPr>
          </w:p>
        </w:tc>
        <w:tc>
          <w:tcPr>
            <w:tcW w:w="100" w:type="dxa"/>
            <w:vAlign w:val="bottom"/>
            <w:shd w:val="clear" w:color="auto" w:fill="DD924E"/>
          </w:tcPr>
          <w:p>
            <w:pPr>
              <w:spacing w:after="0" w:line="20" w:lineRule="exact"/>
              <w:rPr>
                <w:sz w:val="1"/>
                <w:szCs w:val="1"/>
                <w:color w:val="auto"/>
              </w:rPr>
            </w:pPr>
          </w:p>
        </w:tc>
        <w:tc>
          <w:tcPr>
            <w:tcW w:w="3060" w:type="dxa"/>
            <w:vAlign w:val="bottom"/>
            <w:shd w:val="clear" w:color="auto" w:fill="DD924E"/>
          </w:tcPr>
          <w:p>
            <w:pPr>
              <w:spacing w:after="0" w:line="20" w:lineRule="exact"/>
              <w:rPr>
                <w:sz w:val="1"/>
                <w:szCs w:val="1"/>
                <w:color w:val="auto"/>
              </w:rPr>
            </w:pPr>
          </w:p>
        </w:tc>
        <w:tc>
          <w:tcPr>
            <w:tcW w:w="60" w:type="dxa"/>
            <w:vAlign w:val="bottom"/>
            <w:tcBorders>
              <w:right w:val="single" w:sz="8" w:color="DD924E"/>
            </w:tcBorders>
            <w:shd w:val="clear" w:color="auto" w:fill="DD924E"/>
          </w:tcPr>
          <w:p>
            <w:pPr>
              <w:spacing w:after="0" w:line="20" w:lineRule="exact"/>
              <w:rPr>
                <w:sz w:val="1"/>
                <w:szCs w:val="1"/>
                <w:color w:val="auto"/>
              </w:rPr>
            </w:pPr>
          </w:p>
        </w:tc>
      </w:tr>
    </w:tbl>
    <w:p>
      <w:pPr>
        <w:spacing w:after="0" w:line="107" w:lineRule="exact"/>
        <w:rPr>
          <w:sz w:val="20"/>
          <w:szCs w:val="20"/>
          <w:color w:val="auto"/>
        </w:rPr>
      </w:pPr>
    </w:p>
    <w:p>
      <w:pPr>
        <w:jc w:val="both"/>
        <w:ind w:left="840" w:right="59" w:hanging="345"/>
        <w:spacing w:after="0" w:line="254" w:lineRule="auto"/>
        <w:tabs>
          <w:tab w:leader="none" w:pos="840" w:val="left"/>
        </w:tabs>
        <w:numPr>
          <w:ilvl w:val="0"/>
          <w:numId w:val="70"/>
        </w:numPr>
        <w:rPr>
          <w:rFonts w:ascii="Arial" w:cs="Arial" w:eastAsia="Arial" w:hAnsi="Arial"/>
          <w:sz w:val="17"/>
          <w:szCs w:val="17"/>
          <w:color w:val="DD924E"/>
        </w:rPr>
      </w:pPr>
      <w:r>
        <w:rPr>
          <w:rFonts w:ascii="Arial" w:cs="Arial" w:eastAsia="Arial" w:hAnsi="Arial"/>
          <w:sz w:val="17"/>
          <w:szCs w:val="17"/>
          <w:b w:val="1"/>
          <w:bCs w:val="1"/>
          <w:color w:val="auto"/>
        </w:rPr>
        <w:t xml:space="preserve">Performance Measures. </w:t>
      </w:r>
      <w:r>
        <w:rPr>
          <w:rFonts w:ascii="Arial" w:cs="Arial" w:eastAsia="Arial" w:hAnsi="Arial"/>
          <w:sz w:val="17"/>
          <w:szCs w:val="17"/>
          <w:color w:val="auto"/>
        </w:rPr>
        <w:t>Our executives were eligible to earn annual bonuses based on their achievement</w:t>
      </w:r>
      <w:r>
        <w:rPr>
          <w:rFonts w:ascii="Arial" w:cs="Arial" w:eastAsia="Arial" w:hAnsi="Arial"/>
          <w:sz w:val="17"/>
          <w:szCs w:val="17"/>
          <w:b w:val="1"/>
          <w:bCs w:val="1"/>
          <w:color w:val="auto"/>
        </w:rPr>
        <w:t xml:space="preserve"> </w:t>
      </w:r>
      <w:r>
        <w:rPr>
          <w:rFonts w:ascii="Arial" w:cs="Arial" w:eastAsia="Arial" w:hAnsi="Arial"/>
          <w:sz w:val="17"/>
          <w:szCs w:val="17"/>
          <w:color w:val="auto"/>
        </w:rPr>
        <w:t>of company-wide performance metrics, business line or other company performance metrics and individual performance, as described in the tables below.</w:t>
      </w:r>
    </w:p>
    <w:p>
      <w:pPr>
        <w:spacing w:after="0" w:line="118" w:lineRule="exact"/>
        <w:rPr>
          <w:sz w:val="20"/>
          <w:szCs w:val="20"/>
          <w:color w:val="auto"/>
        </w:rPr>
      </w:pPr>
    </w:p>
    <w:tbl>
      <w:tblPr>
        <w:tblLayout w:type="fixed"/>
        <w:tblInd w:w="830" w:type="dxa"/>
        <w:tblCellMar>
          <w:top w:w="0" w:type="dxa"/>
          <w:left w:w="0" w:type="dxa"/>
          <w:bottom w:w="0" w:type="dxa"/>
          <w:right w:w="0" w:type="dxa"/>
        </w:tblCellMar>
      </w:tblPr>
      <w:tr>
        <w:trPr>
          <w:trHeight w:val="167"/>
        </w:trPr>
        <w:tc>
          <w:tcPr>
            <w:tcW w:w="80" w:type="dxa"/>
            <w:vAlign w:val="bottom"/>
            <w:tcBorders>
              <w:left w:val="single" w:sz="8" w:color="DD924E"/>
            </w:tcBorders>
            <w:shd w:val="clear" w:color="auto" w:fill="DD924E"/>
          </w:tcPr>
          <w:p>
            <w:pPr>
              <w:spacing w:after="0"/>
              <w:rPr>
                <w:sz w:val="14"/>
                <w:szCs w:val="14"/>
                <w:color w:val="auto"/>
              </w:rPr>
            </w:pPr>
          </w:p>
        </w:tc>
        <w:tc>
          <w:tcPr>
            <w:tcW w:w="1560" w:type="dxa"/>
            <w:vAlign w:val="bottom"/>
            <w:shd w:val="clear" w:color="auto" w:fill="DD924E"/>
          </w:tcPr>
          <w:p>
            <w:pPr>
              <w:spacing w:after="0"/>
              <w:rPr>
                <w:sz w:val="14"/>
                <w:szCs w:val="14"/>
                <w:color w:val="auto"/>
              </w:rPr>
            </w:pPr>
          </w:p>
        </w:tc>
        <w:tc>
          <w:tcPr>
            <w:tcW w:w="120" w:type="dxa"/>
            <w:vAlign w:val="bottom"/>
            <w:shd w:val="clear" w:color="auto" w:fill="DD924E"/>
          </w:tcPr>
          <w:p>
            <w:pPr>
              <w:spacing w:after="0"/>
              <w:rPr>
                <w:sz w:val="14"/>
                <w:szCs w:val="14"/>
                <w:color w:val="auto"/>
              </w:rPr>
            </w:pPr>
          </w:p>
        </w:tc>
        <w:tc>
          <w:tcPr>
            <w:tcW w:w="204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8"/>
              </w:rPr>
              <w:t>Company-Wide</w:t>
            </w:r>
          </w:p>
        </w:tc>
        <w:tc>
          <w:tcPr>
            <w:tcW w:w="100" w:type="dxa"/>
            <w:vAlign w:val="bottom"/>
            <w:shd w:val="clear" w:color="auto" w:fill="DD924E"/>
          </w:tcPr>
          <w:p>
            <w:pPr>
              <w:spacing w:after="0"/>
              <w:rPr>
                <w:sz w:val="14"/>
                <w:szCs w:val="14"/>
                <w:color w:val="auto"/>
              </w:rPr>
            </w:pPr>
          </w:p>
        </w:tc>
        <w:tc>
          <w:tcPr>
            <w:tcW w:w="204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Individual</w:t>
            </w:r>
          </w:p>
        </w:tc>
        <w:tc>
          <w:tcPr>
            <w:tcW w:w="100" w:type="dxa"/>
            <w:vAlign w:val="bottom"/>
            <w:shd w:val="clear" w:color="auto" w:fill="DD924E"/>
          </w:tcPr>
          <w:p>
            <w:pPr>
              <w:spacing w:after="0"/>
              <w:rPr>
                <w:sz w:val="14"/>
                <w:szCs w:val="14"/>
                <w:color w:val="auto"/>
              </w:rPr>
            </w:pPr>
          </w:p>
        </w:tc>
        <w:tc>
          <w:tcPr>
            <w:tcW w:w="2100" w:type="dxa"/>
            <w:vAlign w:val="bottom"/>
            <w:tcBorders>
              <w:right w:val="single" w:sz="8" w:color="DD924E"/>
            </w:tcBorders>
            <w:shd w:val="clear" w:color="auto" w:fill="DD924E"/>
          </w:tcPr>
          <w:p>
            <w:pPr>
              <w:jc w:val="center"/>
              <w:ind w:right="12"/>
              <w:spacing w:after="0"/>
              <w:rPr>
                <w:sz w:val="20"/>
                <w:szCs w:val="20"/>
                <w:color w:val="auto"/>
              </w:rPr>
            </w:pPr>
            <w:r>
              <w:rPr>
                <w:rFonts w:ascii="Arial" w:cs="Arial" w:eastAsia="Arial" w:hAnsi="Arial"/>
                <w:sz w:val="14"/>
                <w:szCs w:val="14"/>
                <w:b w:val="1"/>
                <w:bCs w:val="1"/>
                <w:color w:val="FFFFFF"/>
                <w:w w:val="97"/>
              </w:rPr>
              <w:t>Business Line or Other</w:t>
            </w:r>
          </w:p>
        </w:tc>
      </w:tr>
      <w:tr>
        <w:trPr>
          <w:trHeight w:val="198"/>
        </w:trPr>
        <w:tc>
          <w:tcPr>
            <w:tcW w:w="80" w:type="dxa"/>
            <w:vAlign w:val="bottom"/>
            <w:tcBorders>
              <w:left w:val="single" w:sz="8" w:color="DD924E"/>
              <w:bottom w:val="single" w:sz="8" w:color="DD924E"/>
            </w:tcBorders>
            <w:shd w:val="clear" w:color="auto" w:fill="DD924E"/>
          </w:tcPr>
          <w:p>
            <w:pPr>
              <w:spacing w:after="0"/>
              <w:rPr>
                <w:sz w:val="17"/>
                <w:szCs w:val="17"/>
                <w:color w:val="auto"/>
              </w:rPr>
            </w:pPr>
          </w:p>
        </w:tc>
        <w:tc>
          <w:tcPr>
            <w:tcW w:w="1560" w:type="dxa"/>
            <w:vAlign w:val="bottom"/>
            <w:tcBorders>
              <w:bottom w:val="single" w:sz="8" w:color="auto"/>
            </w:tcBorders>
            <w:shd w:val="clear" w:color="auto" w:fill="DD924E"/>
          </w:tcPr>
          <w:p>
            <w:pPr>
              <w:ind w:left="600"/>
              <w:spacing w:after="0"/>
              <w:rPr>
                <w:sz w:val="20"/>
                <w:szCs w:val="20"/>
                <w:color w:val="auto"/>
              </w:rPr>
            </w:pPr>
            <w:r>
              <w:rPr>
                <w:rFonts w:ascii="Arial" w:cs="Arial" w:eastAsia="Arial" w:hAnsi="Arial"/>
                <w:sz w:val="14"/>
                <w:szCs w:val="14"/>
                <w:b w:val="1"/>
                <w:bCs w:val="1"/>
                <w:color w:val="FFFFFF"/>
              </w:rPr>
              <w:t>Name</w:t>
            </w:r>
          </w:p>
        </w:tc>
        <w:tc>
          <w:tcPr>
            <w:tcW w:w="120" w:type="dxa"/>
            <w:vAlign w:val="bottom"/>
            <w:tcBorders>
              <w:bottom w:val="single" w:sz="8" w:color="DD924E"/>
            </w:tcBorders>
            <w:shd w:val="clear" w:color="auto" w:fill="DD924E"/>
          </w:tcPr>
          <w:p>
            <w:pPr>
              <w:spacing w:after="0"/>
              <w:rPr>
                <w:sz w:val="17"/>
                <w:szCs w:val="17"/>
                <w:color w:val="auto"/>
              </w:rPr>
            </w:pPr>
          </w:p>
        </w:tc>
        <w:tc>
          <w:tcPr>
            <w:tcW w:w="2040" w:type="dxa"/>
            <w:vAlign w:val="bottom"/>
            <w:tcBorders>
              <w:bottom w:val="single" w:sz="8" w:color="auto"/>
            </w:tcBorders>
            <w:shd w:val="clear" w:color="auto" w:fill="DD924E"/>
          </w:tcPr>
          <w:p>
            <w:pPr>
              <w:jc w:val="center"/>
              <w:spacing w:after="0" w:line="180" w:lineRule="exact"/>
              <w:rPr>
                <w:sz w:val="20"/>
                <w:szCs w:val="20"/>
                <w:color w:val="auto"/>
              </w:rPr>
            </w:pPr>
            <w:r>
              <w:rPr>
                <w:rFonts w:ascii="Arial" w:cs="Arial" w:eastAsia="Arial" w:hAnsi="Arial"/>
                <w:sz w:val="14"/>
                <w:szCs w:val="14"/>
                <w:b w:val="1"/>
                <w:bCs w:val="1"/>
                <w:color w:val="FFFFFF"/>
                <w:w w:val="94"/>
              </w:rPr>
              <w:t>Performance</w:t>
            </w:r>
            <w:r>
              <w:rPr>
                <w:rFonts w:ascii="Arial" w:cs="Arial" w:eastAsia="Arial" w:hAnsi="Arial"/>
                <w:sz w:val="20"/>
                <w:szCs w:val="20"/>
                <w:b w:val="1"/>
                <w:bCs w:val="1"/>
                <w:color w:val="FFFFFF"/>
                <w:w w:val="94"/>
                <w:vertAlign w:val="superscript"/>
              </w:rPr>
              <w:t>(1)</w:t>
            </w:r>
          </w:p>
        </w:tc>
        <w:tc>
          <w:tcPr>
            <w:tcW w:w="100" w:type="dxa"/>
            <w:vAlign w:val="bottom"/>
            <w:tcBorders>
              <w:bottom w:val="single" w:sz="8" w:color="DD924E"/>
            </w:tcBorders>
            <w:shd w:val="clear" w:color="auto" w:fill="DD924E"/>
          </w:tcPr>
          <w:p>
            <w:pPr>
              <w:spacing w:after="0"/>
              <w:rPr>
                <w:sz w:val="17"/>
                <w:szCs w:val="17"/>
                <w:color w:val="auto"/>
              </w:rPr>
            </w:pPr>
          </w:p>
        </w:tc>
        <w:tc>
          <w:tcPr>
            <w:tcW w:w="204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8"/>
              </w:rPr>
              <w:t>Performance</w:t>
            </w:r>
          </w:p>
        </w:tc>
        <w:tc>
          <w:tcPr>
            <w:tcW w:w="100" w:type="dxa"/>
            <w:vAlign w:val="bottom"/>
            <w:tcBorders>
              <w:bottom w:val="single" w:sz="8" w:color="DD924E"/>
            </w:tcBorders>
            <w:shd w:val="clear" w:color="auto" w:fill="DD924E"/>
          </w:tcPr>
          <w:p>
            <w:pPr>
              <w:spacing w:after="0"/>
              <w:rPr>
                <w:sz w:val="17"/>
                <w:szCs w:val="17"/>
                <w:color w:val="auto"/>
              </w:rPr>
            </w:pPr>
          </w:p>
        </w:tc>
        <w:tc>
          <w:tcPr>
            <w:tcW w:w="2100" w:type="dxa"/>
            <w:vAlign w:val="bottom"/>
            <w:tcBorders>
              <w:bottom w:val="single" w:sz="8" w:color="auto"/>
              <w:right w:val="single" w:sz="8" w:color="DD924E"/>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6"/>
              </w:rPr>
              <w:t>Company Performance</w:t>
            </w:r>
          </w:p>
        </w:tc>
      </w:tr>
      <w:tr>
        <w:trPr>
          <w:trHeight w:val="236"/>
        </w:trPr>
        <w:tc>
          <w:tcPr>
            <w:tcW w:w="80" w:type="dxa"/>
            <w:vAlign w:val="bottom"/>
            <w:tcBorders>
              <w:left w:val="single" w:sz="8" w:color="DD924E"/>
              <w:bottom w:val="single" w:sz="8" w:color="FBF4ED"/>
            </w:tcBorders>
            <w:shd w:val="clear" w:color="auto" w:fill="FBF4ED"/>
          </w:tcPr>
          <w:p>
            <w:pPr>
              <w:spacing w:after="0"/>
              <w:rPr>
                <w:sz w:val="20"/>
                <w:szCs w:val="20"/>
                <w:color w:val="auto"/>
              </w:rPr>
            </w:pPr>
          </w:p>
        </w:tc>
        <w:tc>
          <w:tcPr>
            <w:tcW w:w="1560" w:type="dxa"/>
            <w:vAlign w:val="bottom"/>
            <w:tcBorders>
              <w:bottom w:val="single" w:sz="8" w:color="FBF4ED"/>
            </w:tcBorders>
            <w:shd w:val="clear" w:color="auto" w:fill="FBF4ED"/>
          </w:tcPr>
          <w:p>
            <w:pPr>
              <w:spacing w:after="0"/>
              <w:rPr>
                <w:sz w:val="20"/>
                <w:szCs w:val="20"/>
                <w:color w:val="auto"/>
              </w:rPr>
            </w:pPr>
            <w:r>
              <w:rPr>
                <w:rFonts w:ascii="Arial" w:cs="Arial" w:eastAsia="Arial" w:hAnsi="Arial"/>
                <w:sz w:val="15"/>
                <w:szCs w:val="15"/>
                <w:b w:val="1"/>
                <w:bCs w:val="1"/>
                <w:color w:val="auto"/>
              </w:rPr>
              <w:t>Rohit Kapoor</w:t>
            </w:r>
          </w:p>
        </w:tc>
        <w:tc>
          <w:tcPr>
            <w:tcW w:w="2160" w:type="dxa"/>
            <w:vAlign w:val="bottom"/>
            <w:tcBorders>
              <w:bottom w:val="single" w:sz="8" w:color="FBF4ED"/>
            </w:tcBorders>
            <w:gridSpan w:val="2"/>
            <w:shd w:val="clear" w:color="auto" w:fill="FBF4ED"/>
          </w:tcPr>
          <w:p>
            <w:pPr>
              <w:jc w:val="center"/>
              <w:ind w:left="23"/>
              <w:spacing w:after="0"/>
              <w:rPr>
                <w:sz w:val="20"/>
                <w:szCs w:val="20"/>
                <w:color w:val="auto"/>
              </w:rPr>
            </w:pPr>
            <w:r>
              <w:rPr>
                <w:rFonts w:ascii="Arial" w:cs="Arial" w:eastAsia="Arial" w:hAnsi="Arial"/>
                <w:sz w:val="15"/>
                <w:szCs w:val="15"/>
                <w:color w:val="auto"/>
                <w:w w:val="99"/>
              </w:rPr>
              <w:t>65%</w:t>
            </w:r>
          </w:p>
        </w:tc>
        <w:tc>
          <w:tcPr>
            <w:tcW w:w="2140" w:type="dxa"/>
            <w:vAlign w:val="bottom"/>
            <w:tcBorders>
              <w:bottom w:val="single" w:sz="8" w:color="FBF4ED"/>
            </w:tcBorders>
            <w:gridSpan w:val="2"/>
            <w:shd w:val="clear" w:color="auto" w:fill="FBF4ED"/>
          </w:tcPr>
          <w:p>
            <w:pPr>
              <w:jc w:val="center"/>
              <w:ind w:left="23"/>
              <w:spacing w:after="0"/>
              <w:rPr>
                <w:sz w:val="20"/>
                <w:szCs w:val="20"/>
                <w:color w:val="auto"/>
              </w:rPr>
            </w:pPr>
            <w:r>
              <w:rPr>
                <w:rFonts w:ascii="Arial" w:cs="Arial" w:eastAsia="Arial" w:hAnsi="Arial"/>
                <w:sz w:val="15"/>
                <w:szCs w:val="15"/>
                <w:color w:val="auto"/>
              </w:rPr>
              <w:t>15%</w:t>
            </w:r>
          </w:p>
        </w:tc>
        <w:tc>
          <w:tcPr>
            <w:tcW w:w="2200" w:type="dxa"/>
            <w:vAlign w:val="bottom"/>
            <w:tcBorders>
              <w:bottom w:val="single" w:sz="8" w:color="FBF4ED"/>
              <w:right w:val="single" w:sz="8" w:color="DD924E"/>
            </w:tcBorders>
            <w:gridSpan w:val="2"/>
            <w:shd w:val="clear" w:color="auto" w:fill="FBF4ED"/>
          </w:tcPr>
          <w:p>
            <w:pPr>
              <w:jc w:val="center"/>
              <w:spacing w:after="0"/>
              <w:rPr>
                <w:sz w:val="20"/>
                <w:szCs w:val="20"/>
                <w:color w:val="auto"/>
              </w:rPr>
            </w:pPr>
            <w:r>
              <w:rPr>
                <w:rFonts w:ascii="Arial" w:cs="Arial" w:eastAsia="Arial" w:hAnsi="Arial"/>
                <w:sz w:val="15"/>
                <w:szCs w:val="15"/>
                <w:color w:val="auto"/>
              </w:rPr>
              <w:t>20%</w:t>
            </w:r>
          </w:p>
        </w:tc>
      </w:tr>
      <w:tr>
        <w:trPr>
          <w:trHeight w:val="225"/>
        </w:trPr>
        <w:tc>
          <w:tcPr>
            <w:tcW w:w="80" w:type="dxa"/>
            <w:vAlign w:val="bottom"/>
            <w:tcBorders>
              <w:left w:val="single" w:sz="8" w:color="DD924E"/>
            </w:tcBorders>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5"/>
                <w:szCs w:val="15"/>
                <w:b w:val="1"/>
                <w:bCs w:val="1"/>
                <w:color w:val="auto"/>
              </w:rPr>
              <w:t>Vishal Chhibbar</w:t>
            </w:r>
          </w:p>
        </w:tc>
        <w:tc>
          <w:tcPr>
            <w:tcW w:w="2160" w:type="dxa"/>
            <w:vAlign w:val="bottom"/>
            <w:gridSpan w:val="2"/>
          </w:tcPr>
          <w:p>
            <w:pPr>
              <w:jc w:val="center"/>
              <w:ind w:left="23"/>
              <w:spacing w:after="0"/>
              <w:rPr>
                <w:sz w:val="20"/>
                <w:szCs w:val="20"/>
                <w:color w:val="auto"/>
              </w:rPr>
            </w:pPr>
            <w:r>
              <w:rPr>
                <w:rFonts w:ascii="Arial" w:cs="Arial" w:eastAsia="Arial" w:hAnsi="Arial"/>
                <w:sz w:val="15"/>
                <w:szCs w:val="15"/>
                <w:color w:val="auto"/>
                <w:w w:val="99"/>
              </w:rPr>
              <w:t>60%</w:t>
            </w:r>
          </w:p>
        </w:tc>
        <w:tc>
          <w:tcPr>
            <w:tcW w:w="2140" w:type="dxa"/>
            <w:vAlign w:val="bottom"/>
            <w:gridSpan w:val="2"/>
          </w:tcPr>
          <w:p>
            <w:pPr>
              <w:jc w:val="center"/>
              <w:ind w:left="23"/>
              <w:spacing w:after="0"/>
              <w:rPr>
                <w:sz w:val="20"/>
                <w:szCs w:val="20"/>
                <w:color w:val="auto"/>
              </w:rPr>
            </w:pPr>
            <w:r>
              <w:rPr>
                <w:rFonts w:ascii="Arial" w:cs="Arial" w:eastAsia="Arial" w:hAnsi="Arial"/>
                <w:sz w:val="15"/>
                <w:szCs w:val="15"/>
                <w:color w:val="auto"/>
              </w:rPr>
              <w:t>20%</w:t>
            </w:r>
          </w:p>
        </w:tc>
        <w:tc>
          <w:tcPr>
            <w:tcW w:w="2200" w:type="dxa"/>
            <w:vAlign w:val="bottom"/>
            <w:tcBorders>
              <w:right w:val="single" w:sz="8" w:color="DD924E"/>
            </w:tcBorders>
            <w:gridSpan w:val="2"/>
          </w:tcPr>
          <w:p>
            <w:pPr>
              <w:jc w:val="center"/>
              <w:spacing w:after="0"/>
              <w:rPr>
                <w:sz w:val="20"/>
                <w:szCs w:val="20"/>
                <w:color w:val="auto"/>
              </w:rPr>
            </w:pPr>
            <w:r>
              <w:rPr>
                <w:rFonts w:ascii="Arial" w:cs="Arial" w:eastAsia="Arial" w:hAnsi="Arial"/>
                <w:sz w:val="15"/>
                <w:szCs w:val="15"/>
                <w:color w:val="auto"/>
              </w:rPr>
              <w:t>20%</w:t>
            </w:r>
          </w:p>
        </w:tc>
      </w:tr>
      <w:tr>
        <w:trPr>
          <w:trHeight w:val="31"/>
        </w:trPr>
        <w:tc>
          <w:tcPr>
            <w:tcW w:w="80" w:type="dxa"/>
            <w:vAlign w:val="bottom"/>
            <w:tcBorders>
              <w:left w:val="single" w:sz="8" w:color="DD924E"/>
            </w:tcBorders>
          </w:tcPr>
          <w:p>
            <w:pPr>
              <w:spacing w:after="0"/>
              <w:rPr>
                <w:sz w:val="2"/>
                <w:szCs w:val="2"/>
                <w:color w:val="auto"/>
              </w:rPr>
            </w:pPr>
          </w:p>
        </w:tc>
        <w:tc>
          <w:tcPr>
            <w:tcW w:w="156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2140" w:type="dxa"/>
            <w:vAlign w:val="bottom"/>
            <w:gridSpan w:val="2"/>
          </w:tcPr>
          <w:p>
            <w:pPr>
              <w:spacing w:after="0"/>
              <w:rPr>
                <w:sz w:val="2"/>
                <w:szCs w:val="2"/>
                <w:color w:val="auto"/>
              </w:rPr>
            </w:pPr>
          </w:p>
        </w:tc>
        <w:tc>
          <w:tcPr>
            <w:tcW w:w="2200" w:type="dxa"/>
            <w:vAlign w:val="bottom"/>
            <w:tcBorders>
              <w:right w:val="single" w:sz="8" w:color="DD924E"/>
            </w:tcBorders>
            <w:gridSpan w:val="2"/>
          </w:tcPr>
          <w:p>
            <w:pPr>
              <w:spacing w:after="0"/>
              <w:rPr>
                <w:sz w:val="2"/>
                <w:szCs w:val="2"/>
                <w:color w:val="auto"/>
              </w:rPr>
            </w:pPr>
          </w:p>
        </w:tc>
      </w:tr>
      <w:tr>
        <w:trPr>
          <w:trHeight w:val="236"/>
        </w:trPr>
        <w:tc>
          <w:tcPr>
            <w:tcW w:w="80" w:type="dxa"/>
            <w:vAlign w:val="bottom"/>
            <w:tcBorders>
              <w:left w:val="single" w:sz="8" w:color="DD924E"/>
              <w:bottom w:val="single" w:sz="8" w:color="FBF4ED"/>
            </w:tcBorders>
            <w:shd w:val="clear" w:color="auto" w:fill="FBF4ED"/>
          </w:tcPr>
          <w:p>
            <w:pPr>
              <w:spacing w:after="0"/>
              <w:rPr>
                <w:sz w:val="20"/>
                <w:szCs w:val="20"/>
                <w:color w:val="auto"/>
              </w:rPr>
            </w:pPr>
          </w:p>
        </w:tc>
        <w:tc>
          <w:tcPr>
            <w:tcW w:w="1560" w:type="dxa"/>
            <w:vAlign w:val="bottom"/>
            <w:tcBorders>
              <w:bottom w:val="single" w:sz="8" w:color="FBF4ED"/>
            </w:tcBorders>
            <w:shd w:val="clear" w:color="auto" w:fill="FBF4ED"/>
          </w:tcPr>
          <w:p>
            <w:pPr>
              <w:spacing w:after="0"/>
              <w:rPr>
                <w:sz w:val="20"/>
                <w:szCs w:val="20"/>
                <w:color w:val="auto"/>
              </w:rPr>
            </w:pPr>
            <w:r>
              <w:rPr>
                <w:rFonts w:ascii="Arial" w:cs="Arial" w:eastAsia="Arial" w:hAnsi="Arial"/>
                <w:sz w:val="15"/>
                <w:szCs w:val="15"/>
                <w:b w:val="1"/>
                <w:bCs w:val="1"/>
                <w:color w:val="auto"/>
              </w:rPr>
              <w:t>Pavan Bagai</w:t>
            </w:r>
          </w:p>
        </w:tc>
        <w:tc>
          <w:tcPr>
            <w:tcW w:w="2160" w:type="dxa"/>
            <w:vAlign w:val="bottom"/>
            <w:tcBorders>
              <w:bottom w:val="single" w:sz="8" w:color="FBF4ED"/>
            </w:tcBorders>
            <w:gridSpan w:val="2"/>
            <w:shd w:val="clear" w:color="auto" w:fill="FBF4ED"/>
          </w:tcPr>
          <w:p>
            <w:pPr>
              <w:jc w:val="center"/>
              <w:ind w:left="23"/>
              <w:spacing w:after="0"/>
              <w:rPr>
                <w:sz w:val="20"/>
                <w:szCs w:val="20"/>
                <w:color w:val="auto"/>
              </w:rPr>
            </w:pPr>
            <w:r>
              <w:rPr>
                <w:rFonts w:ascii="Arial" w:cs="Arial" w:eastAsia="Arial" w:hAnsi="Arial"/>
                <w:sz w:val="15"/>
                <w:szCs w:val="15"/>
                <w:color w:val="auto"/>
                <w:w w:val="99"/>
              </w:rPr>
              <w:t>65%</w:t>
            </w:r>
          </w:p>
        </w:tc>
        <w:tc>
          <w:tcPr>
            <w:tcW w:w="2140" w:type="dxa"/>
            <w:vAlign w:val="bottom"/>
            <w:tcBorders>
              <w:bottom w:val="single" w:sz="8" w:color="FBF4ED"/>
            </w:tcBorders>
            <w:gridSpan w:val="2"/>
            <w:shd w:val="clear" w:color="auto" w:fill="FBF4ED"/>
          </w:tcPr>
          <w:p>
            <w:pPr>
              <w:jc w:val="center"/>
              <w:ind w:left="23"/>
              <w:spacing w:after="0"/>
              <w:rPr>
                <w:sz w:val="20"/>
                <w:szCs w:val="20"/>
                <w:color w:val="auto"/>
              </w:rPr>
            </w:pPr>
            <w:r>
              <w:rPr>
                <w:rFonts w:ascii="Arial" w:cs="Arial" w:eastAsia="Arial" w:hAnsi="Arial"/>
                <w:sz w:val="15"/>
                <w:szCs w:val="15"/>
                <w:color w:val="auto"/>
              </w:rPr>
              <w:t>15%</w:t>
            </w:r>
          </w:p>
        </w:tc>
        <w:tc>
          <w:tcPr>
            <w:tcW w:w="2200" w:type="dxa"/>
            <w:vAlign w:val="bottom"/>
            <w:tcBorders>
              <w:bottom w:val="single" w:sz="8" w:color="FBF4ED"/>
              <w:right w:val="single" w:sz="8" w:color="DD924E"/>
            </w:tcBorders>
            <w:gridSpan w:val="2"/>
            <w:shd w:val="clear" w:color="auto" w:fill="FBF4ED"/>
          </w:tcPr>
          <w:p>
            <w:pPr>
              <w:jc w:val="center"/>
              <w:spacing w:after="0"/>
              <w:rPr>
                <w:sz w:val="20"/>
                <w:szCs w:val="20"/>
                <w:color w:val="auto"/>
              </w:rPr>
            </w:pPr>
            <w:r>
              <w:rPr>
                <w:rFonts w:ascii="Arial" w:cs="Arial" w:eastAsia="Arial" w:hAnsi="Arial"/>
                <w:sz w:val="15"/>
                <w:szCs w:val="15"/>
                <w:color w:val="auto"/>
              </w:rPr>
              <w:t>20%</w:t>
            </w:r>
          </w:p>
        </w:tc>
      </w:tr>
      <w:tr>
        <w:trPr>
          <w:trHeight w:val="225"/>
        </w:trPr>
        <w:tc>
          <w:tcPr>
            <w:tcW w:w="80" w:type="dxa"/>
            <w:vAlign w:val="bottom"/>
            <w:tcBorders>
              <w:left w:val="single" w:sz="8" w:color="DD924E"/>
            </w:tcBorders>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5"/>
                <w:szCs w:val="15"/>
                <w:b w:val="1"/>
                <w:bCs w:val="1"/>
                <w:color w:val="auto"/>
              </w:rPr>
              <w:t>Nagaraja Srivatsan</w:t>
            </w:r>
          </w:p>
        </w:tc>
        <w:tc>
          <w:tcPr>
            <w:tcW w:w="2160" w:type="dxa"/>
            <w:vAlign w:val="bottom"/>
            <w:gridSpan w:val="2"/>
          </w:tcPr>
          <w:p>
            <w:pPr>
              <w:jc w:val="center"/>
              <w:ind w:left="23"/>
              <w:spacing w:after="0"/>
              <w:rPr>
                <w:sz w:val="20"/>
                <w:szCs w:val="20"/>
                <w:color w:val="auto"/>
              </w:rPr>
            </w:pPr>
            <w:r>
              <w:rPr>
                <w:rFonts w:ascii="Arial" w:cs="Arial" w:eastAsia="Arial" w:hAnsi="Arial"/>
                <w:sz w:val="15"/>
                <w:szCs w:val="15"/>
                <w:color w:val="auto"/>
                <w:w w:val="99"/>
              </w:rPr>
              <w:t>60%</w:t>
            </w:r>
          </w:p>
        </w:tc>
        <w:tc>
          <w:tcPr>
            <w:tcW w:w="2140" w:type="dxa"/>
            <w:vAlign w:val="bottom"/>
            <w:gridSpan w:val="2"/>
          </w:tcPr>
          <w:p>
            <w:pPr>
              <w:jc w:val="center"/>
              <w:ind w:left="23"/>
              <w:spacing w:after="0"/>
              <w:rPr>
                <w:sz w:val="20"/>
                <w:szCs w:val="20"/>
                <w:color w:val="auto"/>
              </w:rPr>
            </w:pPr>
            <w:r>
              <w:rPr>
                <w:rFonts w:ascii="Arial" w:cs="Arial" w:eastAsia="Arial" w:hAnsi="Arial"/>
                <w:sz w:val="15"/>
                <w:szCs w:val="15"/>
                <w:color w:val="auto"/>
              </w:rPr>
              <w:t>20%</w:t>
            </w:r>
          </w:p>
        </w:tc>
        <w:tc>
          <w:tcPr>
            <w:tcW w:w="2200" w:type="dxa"/>
            <w:vAlign w:val="bottom"/>
            <w:tcBorders>
              <w:right w:val="single" w:sz="8" w:color="DD924E"/>
            </w:tcBorders>
            <w:gridSpan w:val="2"/>
          </w:tcPr>
          <w:p>
            <w:pPr>
              <w:jc w:val="center"/>
              <w:spacing w:after="0"/>
              <w:rPr>
                <w:sz w:val="20"/>
                <w:szCs w:val="20"/>
                <w:color w:val="auto"/>
              </w:rPr>
            </w:pPr>
            <w:r>
              <w:rPr>
                <w:rFonts w:ascii="Arial" w:cs="Arial" w:eastAsia="Arial" w:hAnsi="Arial"/>
                <w:sz w:val="15"/>
                <w:szCs w:val="15"/>
                <w:color w:val="auto"/>
              </w:rPr>
              <w:t>20%</w:t>
            </w:r>
          </w:p>
        </w:tc>
      </w:tr>
      <w:tr>
        <w:trPr>
          <w:trHeight w:val="31"/>
        </w:trPr>
        <w:tc>
          <w:tcPr>
            <w:tcW w:w="80" w:type="dxa"/>
            <w:vAlign w:val="bottom"/>
            <w:tcBorders>
              <w:left w:val="single" w:sz="8" w:color="DD924E"/>
            </w:tcBorders>
          </w:tcPr>
          <w:p>
            <w:pPr>
              <w:spacing w:after="0"/>
              <w:rPr>
                <w:sz w:val="2"/>
                <w:szCs w:val="2"/>
                <w:color w:val="auto"/>
              </w:rPr>
            </w:pPr>
          </w:p>
        </w:tc>
        <w:tc>
          <w:tcPr>
            <w:tcW w:w="156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2140" w:type="dxa"/>
            <w:vAlign w:val="bottom"/>
            <w:gridSpan w:val="2"/>
          </w:tcPr>
          <w:p>
            <w:pPr>
              <w:spacing w:after="0"/>
              <w:rPr>
                <w:sz w:val="2"/>
                <w:szCs w:val="2"/>
                <w:color w:val="auto"/>
              </w:rPr>
            </w:pPr>
          </w:p>
        </w:tc>
        <w:tc>
          <w:tcPr>
            <w:tcW w:w="2200" w:type="dxa"/>
            <w:vAlign w:val="bottom"/>
            <w:tcBorders>
              <w:right w:val="single" w:sz="8" w:color="DD924E"/>
            </w:tcBorders>
            <w:gridSpan w:val="2"/>
          </w:tcPr>
          <w:p>
            <w:pPr>
              <w:spacing w:after="0"/>
              <w:rPr>
                <w:sz w:val="2"/>
                <w:szCs w:val="2"/>
                <w:color w:val="auto"/>
              </w:rPr>
            </w:pPr>
          </w:p>
        </w:tc>
      </w:tr>
      <w:tr>
        <w:trPr>
          <w:trHeight w:val="236"/>
        </w:trPr>
        <w:tc>
          <w:tcPr>
            <w:tcW w:w="80" w:type="dxa"/>
            <w:vAlign w:val="bottom"/>
            <w:tcBorders>
              <w:left w:val="single" w:sz="8" w:color="DD924E"/>
              <w:bottom w:val="single" w:sz="8" w:color="FBF4ED"/>
            </w:tcBorders>
            <w:shd w:val="clear" w:color="auto" w:fill="FBF4ED"/>
          </w:tcPr>
          <w:p>
            <w:pPr>
              <w:spacing w:after="0"/>
              <w:rPr>
                <w:sz w:val="20"/>
                <w:szCs w:val="20"/>
                <w:color w:val="auto"/>
              </w:rPr>
            </w:pPr>
          </w:p>
        </w:tc>
        <w:tc>
          <w:tcPr>
            <w:tcW w:w="1560" w:type="dxa"/>
            <w:vAlign w:val="bottom"/>
            <w:tcBorders>
              <w:bottom w:val="single" w:sz="8" w:color="FBF4ED"/>
            </w:tcBorders>
            <w:shd w:val="clear" w:color="auto" w:fill="FBF4ED"/>
          </w:tcPr>
          <w:p>
            <w:pPr>
              <w:spacing w:after="0"/>
              <w:rPr>
                <w:sz w:val="20"/>
                <w:szCs w:val="20"/>
                <w:color w:val="auto"/>
              </w:rPr>
            </w:pPr>
            <w:r>
              <w:rPr>
                <w:rFonts w:ascii="Arial" w:cs="Arial" w:eastAsia="Arial" w:hAnsi="Arial"/>
                <w:sz w:val="15"/>
                <w:szCs w:val="15"/>
                <w:b w:val="1"/>
                <w:bCs w:val="1"/>
                <w:color w:val="auto"/>
              </w:rPr>
              <w:t>Nalin Miglani</w:t>
            </w:r>
          </w:p>
        </w:tc>
        <w:tc>
          <w:tcPr>
            <w:tcW w:w="2160" w:type="dxa"/>
            <w:vAlign w:val="bottom"/>
            <w:tcBorders>
              <w:bottom w:val="single" w:sz="8" w:color="FBF4ED"/>
            </w:tcBorders>
            <w:gridSpan w:val="2"/>
            <w:shd w:val="clear" w:color="auto" w:fill="FBF4ED"/>
          </w:tcPr>
          <w:p>
            <w:pPr>
              <w:jc w:val="center"/>
              <w:ind w:left="23"/>
              <w:spacing w:after="0"/>
              <w:rPr>
                <w:sz w:val="20"/>
                <w:szCs w:val="20"/>
                <w:color w:val="auto"/>
              </w:rPr>
            </w:pPr>
            <w:r>
              <w:rPr>
                <w:rFonts w:ascii="Arial" w:cs="Arial" w:eastAsia="Arial" w:hAnsi="Arial"/>
                <w:sz w:val="15"/>
                <w:szCs w:val="15"/>
                <w:color w:val="auto"/>
                <w:w w:val="99"/>
              </w:rPr>
              <w:t>60%</w:t>
            </w:r>
          </w:p>
        </w:tc>
        <w:tc>
          <w:tcPr>
            <w:tcW w:w="2140" w:type="dxa"/>
            <w:vAlign w:val="bottom"/>
            <w:tcBorders>
              <w:bottom w:val="single" w:sz="8" w:color="FBF4ED"/>
            </w:tcBorders>
            <w:gridSpan w:val="2"/>
            <w:shd w:val="clear" w:color="auto" w:fill="FBF4ED"/>
          </w:tcPr>
          <w:p>
            <w:pPr>
              <w:jc w:val="center"/>
              <w:ind w:left="23"/>
              <w:spacing w:after="0"/>
              <w:rPr>
                <w:sz w:val="20"/>
                <w:szCs w:val="20"/>
                <w:color w:val="auto"/>
              </w:rPr>
            </w:pPr>
            <w:r>
              <w:rPr>
                <w:rFonts w:ascii="Arial" w:cs="Arial" w:eastAsia="Arial" w:hAnsi="Arial"/>
                <w:sz w:val="15"/>
                <w:szCs w:val="15"/>
                <w:color w:val="auto"/>
              </w:rPr>
              <w:t>20%</w:t>
            </w:r>
          </w:p>
        </w:tc>
        <w:tc>
          <w:tcPr>
            <w:tcW w:w="2200" w:type="dxa"/>
            <w:vAlign w:val="bottom"/>
            <w:tcBorders>
              <w:bottom w:val="single" w:sz="8" w:color="FBF4ED"/>
              <w:right w:val="single" w:sz="8" w:color="DD924E"/>
            </w:tcBorders>
            <w:gridSpan w:val="2"/>
            <w:shd w:val="clear" w:color="auto" w:fill="FBF4ED"/>
          </w:tcPr>
          <w:p>
            <w:pPr>
              <w:jc w:val="center"/>
              <w:spacing w:after="0"/>
              <w:rPr>
                <w:sz w:val="20"/>
                <w:szCs w:val="20"/>
                <w:color w:val="auto"/>
              </w:rPr>
            </w:pPr>
            <w:r>
              <w:rPr>
                <w:rFonts w:ascii="Arial" w:cs="Arial" w:eastAsia="Arial" w:hAnsi="Arial"/>
                <w:sz w:val="15"/>
                <w:szCs w:val="15"/>
                <w:color w:val="auto"/>
              </w:rPr>
              <w:t>20%</w:t>
            </w:r>
          </w:p>
        </w:tc>
      </w:tr>
      <w:tr>
        <w:trPr>
          <w:trHeight w:val="20"/>
        </w:trPr>
        <w:tc>
          <w:tcPr>
            <w:tcW w:w="80" w:type="dxa"/>
            <w:vAlign w:val="bottom"/>
            <w:tcBorders>
              <w:left w:val="single" w:sz="8" w:color="DD924E"/>
            </w:tcBorders>
            <w:shd w:val="clear" w:color="auto" w:fill="DD924E"/>
          </w:tcPr>
          <w:p>
            <w:pPr>
              <w:spacing w:after="0" w:line="20" w:lineRule="exact"/>
              <w:rPr>
                <w:sz w:val="1"/>
                <w:szCs w:val="1"/>
                <w:color w:val="auto"/>
              </w:rPr>
            </w:pPr>
          </w:p>
        </w:tc>
        <w:tc>
          <w:tcPr>
            <w:tcW w:w="1560" w:type="dxa"/>
            <w:vAlign w:val="bottom"/>
            <w:shd w:val="clear" w:color="auto" w:fill="DD924E"/>
          </w:tcPr>
          <w:p>
            <w:pPr>
              <w:spacing w:after="0" w:line="20" w:lineRule="exact"/>
              <w:rPr>
                <w:sz w:val="1"/>
                <w:szCs w:val="1"/>
                <w:color w:val="auto"/>
              </w:rPr>
            </w:pPr>
          </w:p>
        </w:tc>
        <w:tc>
          <w:tcPr>
            <w:tcW w:w="120" w:type="dxa"/>
            <w:vAlign w:val="bottom"/>
            <w:shd w:val="clear" w:color="auto" w:fill="DD924E"/>
          </w:tcPr>
          <w:p>
            <w:pPr>
              <w:spacing w:after="0" w:line="20" w:lineRule="exact"/>
              <w:rPr>
                <w:sz w:val="1"/>
                <w:szCs w:val="1"/>
                <w:color w:val="auto"/>
              </w:rPr>
            </w:pPr>
          </w:p>
        </w:tc>
        <w:tc>
          <w:tcPr>
            <w:tcW w:w="2040" w:type="dxa"/>
            <w:vAlign w:val="bottom"/>
            <w:shd w:val="clear" w:color="auto" w:fill="DD924E"/>
          </w:tcPr>
          <w:p>
            <w:pPr>
              <w:spacing w:after="0" w:line="20" w:lineRule="exact"/>
              <w:rPr>
                <w:sz w:val="1"/>
                <w:szCs w:val="1"/>
                <w:color w:val="auto"/>
              </w:rPr>
            </w:pPr>
          </w:p>
        </w:tc>
        <w:tc>
          <w:tcPr>
            <w:tcW w:w="100" w:type="dxa"/>
            <w:vAlign w:val="bottom"/>
            <w:shd w:val="clear" w:color="auto" w:fill="DD924E"/>
          </w:tcPr>
          <w:p>
            <w:pPr>
              <w:spacing w:after="0" w:line="20" w:lineRule="exact"/>
              <w:rPr>
                <w:sz w:val="1"/>
                <w:szCs w:val="1"/>
                <w:color w:val="auto"/>
              </w:rPr>
            </w:pPr>
          </w:p>
        </w:tc>
        <w:tc>
          <w:tcPr>
            <w:tcW w:w="2040" w:type="dxa"/>
            <w:vAlign w:val="bottom"/>
            <w:shd w:val="clear" w:color="auto" w:fill="DD924E"/>
          </w:tcPr>
          <w:p>
            <w:pPr>
              <w:spacing w:after="0" w:line="20" w:lineRule="exact"/>
              <w:rPr>
                <w:sz w:val="1"/>
                <w:szCs w:val="1"/>
                <w:color w:val="auto"/>
              </w:rPr>
            </w:pPr>
          </w:p>
        </w:tc>
        <w:tc>
          <w:tcPr>
            <w:tcW w:w="100" w:type="dxa"/>
            <w:vAlign w:val="bottom"/>
            <w:shd w:val="clear" w:color="auto" w:fill="DD924E"/>
          </w:tcPr>
          <w:p>
            <w:pPr>
              <w:spacing w:after="0" w:line="20" w:lineRule="exact"/>
              <w:rPr>
                <w:sz w:val="1"/>
                <w:szCs w:val="1"/>
                <w:color w:val="auto"/>
              </w:rPr>
            </w:pPr>
          </w:p>
        </w:tc>
        <w:tc>
          <w:tcPr>
            <w:tcW w:w="2100" w:type="dxa"/>
            <w:vAlign w:val="bottom"/>
            <w:tcBorders>
              <w:right w:val="single" w:sz="8" w:color="DD924E"/>
            </w:tcBorders>
            <w:shd w:val="clear" w:color="auto" w:fill="DD924E"/>
          </w:tcPr>
          <w:p>
            <w:pPr>
              <w:spacing w:after="0" w:line="20" w:lineRule="exact"/>
              <w:rPr>
                <w:sz w:val="1"/>
                <w:szCs w:val="1"/>
                <w:color w:val="auto"/>
              </w:rPr>
            </w:pPr>
          </w:p>
        </w:tc>
      </w:tr>
    </w:tbl>
    <w:p>
      <w:pPr>
        <w:spacing w:after="0" w:line="146" w:lineRule="exact"/>
        <w:rPr>
          <w:sz w:val="20"/>
          <w:szCs w:val="20"/>
          <w:color w:val="auto"/>
        </w:rPr>
      </w:pPr>
    </w:p>
    <w:p>
      <w:pPr>
        <w:ind w:left="1180" w:right="79" w:hanging="347"/>
        <w:spacing w:after="0" w:line="236" w:lineRule="auto"/>
        <w:tabs>
          <w:tab w:leader="none" w:pos="11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Based 50% on the Company’s Adjusted EPS goal and 50% on the Company’s revenue goal, for all employees whose incentive bonus is linked to Company-wide financial performance, including our named executive officers.</w:t>
      </w:r>
    </w:p>
    <w:p>
      <w:pPr>
        <w:spacing w:after="0" w:line="114" w:lineRule="exact"/>
        <w:rPr>
          <w:sz w:val="20"/>
          <w:szCs w:val="20"/>
          <w:color w:val="auto"/>
        </w:rPr>
      </w:pPr>
    </w:p>
    <w:p>
      <w:pPr>
        <w:jc w:val="both"/>
        <w:ind w:left="160" w:right="59"/>
        <w:spacing w:after="0" w:line="237" w:lineRule="auto"/>
        <w:rPr>
          <w:sz w:val="20"/>
          <w:szCs w:val="20"/>
          <w:color w:val="auto"/>
        </w:rPr>
      </w:pPr>
      <w:r>
        <w:rPr>
          <w:rFonts w:ascii="Arial" w:cs="Arial" w:eastAsia="Arial" w:hAnsi="Arial"/>
          <w:sz w:val="17"/>
          <w:szCs w:val="17"/>
          <w:color w:val="auto"/>
        </w:rPr>
        <w:t>Following the Committee’s 2016 adjustments to the annual bonus program to include personal performance goals for each of our named executive officers, the Committee continued in 2017 to set the business line and other Company performance goals as well as the individual performance goals described above for all named executive officers to ensure the executives were properly focused on both the Company’s Adjusted EPS and revenue goals, aggregate of business units performance on revenue and Adjusted EPS goals and other areas of performance that are unique to their positions within the organization. The Compensation Committee believes achievement of these performance metrics are monitored by our investors, will drive our business and will lead to increased stockholder value. In addition, the moderate individual performance component allows the Committee to consider each executive officer’s accomplishments in the context of their specific roles and responsibilities.</w:t>
      </w:r>
    </w:p>
    <w:p>
      <w:pPr>
        <w:spacing w:after="0" w:line="114" w:lineRule="exact"/>
        <w:rPr>
          <w:sz w:val="20"/>
          <w:szCs w:val="20"/>
          <w:color w:val="auto"/>
        </w:rPr>
      </w:pPr>
    </w:p>
    <w:p>
      <w:pPr>
        <w:jc w:val="both"/>
        <w:ind w:left="840" w:right="59" w:hanging="345"/>
        <w:spacing w:after="0" w:line="254" w:lineRule="auto"/>
        <w:tabs>
          <w:tab w:leader="none" w:pos="840" w:val="left"/>
        </w:tabs>
        <w:numPr>
          <w:ilvl w:val="0"/>
          <w:numId w:val="72"/>
        </w:numPr>
        <w:rPr>
          <w:rFonts w:ascii="Arial" w:cs="Arial" w:eastAsia="Arial" w:hAnsi="Arial"/>
          <w:sz w:val="17"/>
          <w:szCs w:val="17"/>
          <w:color w:val="DD924E"/>
        </w:rPr>
      </w:pPr>
      <w:r>
        <w:rPr>
          <w:rFonts w:ascii="Arial" w:cs="Arial" w:eastAsia="Arial" w:hAnsi="Arial"/>
          <w:sz w:val="17"/>
          <w:szCs w:val="17"/>
          <w:b w:val="1"/>
          <w:bCs w:val="1"/>
          <w:color w:val="auto"/>
        </w:rPr>
        <w:t xml:space="preserve">Determination of Financial Performance Achievement. </w:t>
      </w:r>
      <w:r>
        <w:rPr>
          <w:rFonts w:ascii="Arial" w:cs="Arial" w:eastAsia="Arial" w:hAnsi="Arial"/>
          <w:sz w:val="17"/>
          <w:szCs w:val="17"/>
          <w:color w:val="auto"/>
        </w:rPr>
        <w:t>In 2017, the portion of incentive bonus</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that were subject to financial performance measures could have ranged from zero to 200% of target depending on the achievement of performance goals, as follows:</w:t>
      </w:r>
    </w:p>
    <w:p>
      <w:pPr>
        <w:spacing w:after="0" w:line="118" w:lineRule="exact"/>
        <w:rPr>
          <w:sz w:val="20"/>
          <w:szCs w:val="20"/>
          <w:color w:val="auto"/>
        </w:rPr>
      </w:pPr>
    </w:p>
    <w:tbl>
      <w:tblPr>
        <w:tblLayout w:type="fixed"/>
        <w:tblInd w:w="170" w:type="dxa"/>
        <w:tblCellMar>
          <w:top w:w="0" w:type="dxa"/>
          <w:left w:w="0" w:type="dxa"/>
          <w:bottom w:w="0" w:type="dxa"/>
          <w:right w:w="0" w:type="dxa"/>
        </w:tblCellMar>
      </w:tblPr>
      <w:tr>
        <w:trPr>
          <w:trHeight w:val="211"/>
        </w:trPr>
        <w:tc>
          <w:tcPr>
            <w:tcW w:w="60" w:type="dxa"/>
            <w:vAlign w:val="bottom"/>
            <w:tcBorders>
              <w:left w:val="single" w:sz="8" w:color="DD924E"/>
            </w:tcBorders>
            <w:shd w:val="clear" w:color="auto" w:fill="DD924E"/>
          </w:tcPr>
          <w:p>
            <w:pPr>
              <w:spacing w:after="0"/>
              <w:rPr>
                <w:sz w:val="18"/>
                <w:szCs w:val="18"/>
                <w:color w:val="auto"/>
              </w:rPr>
            </w:pPr>
          </w:p>
        </w:tc>
        <w:tc>
          <w:tcPr>
            <w:tcW w:w="4060" w:type="dxa"/>
            <w:vAlign w:val="bottom"/>
            <w:gridSpan w:val="2"/>
            <w:shd w:val="clear" w:color="auto" w:fill="DD924E"/>
          </w:tcPr>
          <w:p>
            <w:pPr>
              <w:ind w:left="1380"/>
              <w:spacing w:after="0"/>
              <w:rPr>
                <w:sz w:val="20"/>
                <w:szCs w:val="20"/>
                <w:color w:val="auto"/>
              </w:rPr>
            </w:pPr>
            <w:r>
              <w:rPr>
                <w:rFonts w:ascii="Arial" w:cs="Arial" w:eastAsia="Arial" w:hAnsi="Arial"/>
                <w:sz w:val="14"/>
                <w:szCs w:val="14"/>
                <w:b w:val="1"/>
                <w:bCs w:val="1"/>
                <w:color w:val="FFFFFF"/>
              </w:rPr>
              <w:t>Adjusted EPS Goals</w:t>
            </w:r>
          </w:p>
        </w:tc>
        <w:tc>
          <w:tcPr>
            <w:tcW w:w="560" w:type="dxa"/>
            <w:vAlign w:val="bottom"/>
            <w:shd w:val="clear" w:color="auto" w:fill="DD924E"/>
          </w:tcPr>
          <w:p>
            <w:pPr>
              <w:spacing w:after="0"/>
              <w:rPr>
                <w:sz w:val="18"/>
                <w:szCs w:val="18"/>
                <w:color w:val="auto"/>
              </w:rPr>
            </w:pPr>
          </w:p>
        </w:tc>
        <w:tc>
          <w:tcPr>
            <w:tcW w:w="4140" w:type="dxa"/>
            <w:vAlign w:val="bottom"/>
            <w:tcBorders>
              <w:right w:val="single" w:sz="8" w:color="DD924E"/>
            </w:tcBorders>
            <w:gridSpan w:val="2"/>
            <w:shd w:val="clear" w:color="auto" w:fill="DD924E"/>
          </w:tcPr>
          <w:p>
            <w:pPr>
              <w:ind w:left="1540"/>
              <w:spacing w:after="0"/>
              <w:rPr>
                <w:sz w:val="20"/>
                <w:szCs w:val="20"/>
                <w:color w:val="auto"/>
              </w:rPr>
            </w:pPr>
            <w:r>
              <w:rPr>
                <w:rFonts w:ascii="Arial" w:cs="Arial" w:eastAsia="Arial" w:hAnsi="Arial"/>
                <w:sz w:val="14"/>
                <w:szCs w:val="14"/>
                <w:b w:val="1"/>
                <w:bCs w:val="1"/>
                <w:color w:val="FFFFFF"/>
              </w:rPr>
              <w:t>Revenue Goals</w:t>
            </w:r>
          </w:p>
        </w:tc>
      </w:tr>
      <w:tr>
        <w:trPr>
          <w:trHeight w:val="168"/>
        </w:trPr>
        <w:tc>
          <w:tcPr>
            <w:tcW w:w="60" w:type="dxa"/>
            <w:vAlign w:val="bottom"/>
            <w:tcBorders>
              <w:top w:val="single" w:sz="8" w:color="DD924E"/>
              <w:left w:val="single" w:sz="8" w:color="DD924E"/>
            </w:tcBorders>
            <w:shd w:val="clear" w:color="auto" w:fill="FBF4ED"/>
          </w:tcPr>
          <w:p>
            <w:pPr>
              <w:spacing w:after="0"/>
              <w:rPr>
                <w:sz w:val="14"/>
                <w:szCs w:val="14"/>
                <w:color w:val="auto"/>
              </w:rPr>
            </w:pPr>
          </w:p>
        </w:tc>
        <w:tc>
          <w:tcPr>
            <w:tcW w:w="2140" w:type="dxa"/>
            <w:vAlign w:val="bottom"/>
            <w:tcBorders>
              <w:top w:val="single" w:sz="8" w:color="auto"/>
            </w:tcBorders>
            <w:shd w:val="clear" w:color="auto" w:fill="FBF4ED"/>
          </w:tcPr>
          <w:p>
            <w:pPr>
              <w:jc w:val="center"/>
              <w:spacing w:after="0"/>
              <w:rPr>
                <w:sz w:val="20"/>
                <w:szCs w:val="20"/>
                <w:color w:val="auto"/>
              </w:rPr>
            </w:pPr>
            <w:r>
              <w:rPr>
                <w:rFonts w:ascii="Arial" w:cs="Arial" w:eastAsia="Arial" w:hAnsi="Arial"/>
                <w:sz w:val="14"/>
                <w:szCs w:val="14"/>
                <w:b w:val="1"/>
                <w:bCs w:val="1"/>
                <w:color w:val="auto"/>
                <w:w w:val="98"/>
              </w:rPr>
              <w:t>% of Adjusted EPS Achieved</w:t>
            </w:r>
          </w:p>
        </w:tc>
        <w:tc>
          <w:tcPr>
            <w:tcW w:w="1920" w:type="dxa"/>
            <w:vAlign w:val="bottom"/>
            <w:tcBorders>
              <w:top w:val="single" w:sz="8" w:color="auto"/>
            </w:tcBorders>
            <w:shd w:val="clear" w:color="auto" w:fill="FBF4ED"/>
          </w:tcPr>
          <w:p>
            <w:pPr>
              <w:spacing w:after="0"/>
              <w:rPr>
                <w:sz w:val="14"/>
                <w:szCs w:val="14"/>
                <w:color w:val="auto"/>
              </w:rPr>
            </w:pPr>
          </w:p>
        </w:tc>
        <w:tc>
          <w:tcPr>
            <w:tcW w:w="560" w:type="dxa"/>
            <w:vAlign w:val="bottom"/>
            <w:tcBorders>
              <w:top w:val="single" w:sz="8" w:color="DD924E"/>
            </w:tcBorders>
            <w:shd w:val="clear" w:color="auto" w:fill="FBF4ED"/>
          </w:tcPr>
          <w:p>
            <w:pPr>
              <w:spacing w:after="0"/>
              <w:rPr>
                <w:sz w:val="14"/>
                <w:szCs w:val="14"/>
                <w:color w:val="auto"/>
              </w:rPr>
            </w:pPr>
          </w:p>
        </w:tc>
        <w:tc>
          <w:tcPr>
            <w:tcW w:w="2080" w:type="dxa"/>
            <w:vAlign w:val="bottom"/>
            <w:tcBorders>
              <w:top w:val="single" w:sz="8" w:color="auto"/>
            </w:tcBorders>
            <w:shd w:val="clear" w:color="auto" w:fill="FBF4ED"/>
          </w:tcPr>
          <w:p>
            <w:pPr>
              <w:jc w:val="center"/>
              <w:spacing w:after="0"/>
              <w:rPr>
                <w:sz w:val="20"/>
                <w:szCs w:val="20"/>
                <w:color w:val="auto"/>
              </w:rPr>
            </w:pPr>
            <w:r>
              <w:rPr>
                <w:rFonts w:ascii="Arial" w:cs="Arial" w:eastAsia="Arial" w:hAnsi="Arial"/>
                <w:sz w:val="14"/>
                <w:szCs w:val="14"/>
                <w:b w:val="1"/>
                <w:bCs w:val="1"/>
                <w:color w:val="auto"/>
                <w:w w:val="97"/>
              </w:rPr>
              <w:t>% of Revenues Achieved</w:t>
            </w:r>
          </w:p>
        </w:tc>
        <w:tc>
          <w:tcPr>
            <w:tcW w:w="2060" w:type="dxa"/>
            <w:vAlign w:val="bottom"/>
            <w:tcBorders>
              <w:top w:val="single" w:sz="8" w:color="auto"/>
              <w:right w:val="single" w:sz="8" w:color="DD924E"/>
            </w:tcBorders>
            <w:shd w:val="clear" w:color="auto" w:fill="FBF4ED"/>
          </w:tcPr>
          <w:p>
            <w:pPr>
              <w:spacing w:after="0"/>
              <w:rPr>
                <w:sz w:val="14"/>
                <w:szCs w:val="14"/>
                <w:color w:val="auto"/>
              </w:rPr>
            </w:pPr>
          </w:p>
        </w:tc>
      </w:tr>
      <w:tr>
        <w:trPr>
          <w:trHeight w:val="191"/>
        </w:trPr>
        <w:tc>
          <w:tcPr>
            <w:tcW w:w="60" w:type="dxa"/>
            <w:vAlign w:val="bottom"/>
            <w:tcBorders>
              <w:left w:val="single" w:sz="8" w:color="DD924E"/>
            </w:tcBorders>
            <w:shd w:val="clear" w:color="auto" w:fill="FBF4ED"/>
          </w:tcPr>
          <w:p>
            <w:pPr>
              <w:spacing w:after="0"/>
              <w:rPr>
                <w:sz w:val="16"/>
                <w:szCs w:val="16"/>
                <w:color w:val="auto"/>
              </w:rPr>
            </w:pPr>
          </w:p>
        </w:tc>
        <w:tc>
          <w:tcPr>
            <w:tcW w:w="2140" w:type="dxa"/>
            <w:vAlign w:val="bottom"/>
            <w:shd w:val="clear" w:color="auto" w:fill="FBF4ED"/>
          </w:tcPr>
          <w:p>
            <w:pPr>
              <w:jc w:val="center"/>
              <w:spacing w:after="0"/>
              <w:rPr>
                <w:sz w:val="20"/>
                <w:szCs w:val="20"/>
                <w:color w:val="auto"/>
              </w:rPr>
            </w:pPr>
            <w:r>
              <w:rPr>
                <w:rFonts w:ascii="Arial" w:cs="Arial" w:eastAsia="Arial" w:hAnsi="Arial"/>
                <w:sz w:val="14"/>
                <w:szCs w:val="14"/>
                <w:b w:val="1"/>
                <w:bCs w:val="1"/>
                <w:color w:val="auto"/>
                <w:w w:val="97"/>
              </w:rPr>
              <w:t>Compared to Target Goal</w:t>
            </w:r>
          </w:p>
        </w:tc>
        <w:tc>
          <w:tcPr>
            <w:tcW w:w="1920" w:type="dxa"/>
            <w:vAlign w:val="bottom"/>
            <w:shd w:val="clear" w:color="auto" w:fill="FBF4ED"/>
          </w:tcPr>
          <w:p>
            <w:pPr>
              <w:jc w:val="center"/>
              <w:ind w:left="72"/>
              <w:spacing w:after="0"/>
              <w:rPr>
                <w:sz w:val="20"/>
                <w:szCs w:val="20"/>
                <w:color w:val="auto"/>
              </w:rPr>
            </w:pPr>
            <w:r>
              <w:rPr>
                <w:rFonts w:ascii="Arial" w:cs="Arial" w:eastAsia="Arial" w:hAnsi="Arial"/>
                <w:sz w:val="14"/>
                <w:szCs w:val="14"/>
                <w:b w:val="1"/>
                <w:bCs w:val="1"/>
                <w:color w:val="auto"/>
                <w:w w:val="96"/>
              </w:rPr>
              <w:t>% of Target Portion Funded</w:t>
            </w:r>
          </w:p>
        </w:tc>
        <w:tc>
          <w:tcPr>
            <w:tcW w:w="560" w:type="dxa"/>
            <w:vAlign w:val="bottom"/>
            <w:shd w:val="clear" w:color="auto" w:fill="FBF4ED"/>
          </w:tcPr>
          <w:p>
            <w:pPr>
              <w:spacing w:after="0"/>
              <w:rPr>
                <w:sz w:val="16"/>
                <w:szCs w:val="16"/>
                <w:color w:val="auto"/>
              </w:rPr>
            </w:pPr>
          </w:p>
        </w:tc>
        <w:tc>
          <w:tcPr>
            <w:tcW w:w="2080" w:type="dxa"/>
            <w:vAlign w:val="bottom"/>
            <w:shd w:val="clear" w:color="auto" w:fill="FBF4ED"/>
          </w:tcPr>
          <w:p>
            <w:pPr>
              <w:jc w:val="center"/>
              <w:spacing w:after="0"/>
              <w:rPr>
                <w:sz w:val="20"/>
                <w:szCs w:val="20"/>
                <w:color w:val="auto"/>
              </w:rPr>
            </w:pPr>
            <w:r>
              <w:rPr>
                <w:rFonts w:ascii="Arial" w:cs="Arial" w:eastAsia="Arial" w:hAnsi="Arial"/>
                <w:sz w:val="14"/>
                <w:szCs w:val="14"/>
                <w:b w:val="1"/>
                <w:bCs w:val="1"/>
                <w:color w:val="auto"/>
                <w:w w:val="96"/>
              </w:rPr>
              <w:t>Compared to Target Goal</w:t>
            </w:r>
          </w:p>
        </w:tc>
        <w:tc>
          <w:tcPr>
            <w:tcW w:w="2060" w:type="dxa"/>
            <w:vAlign w:val="bottom"/>
            <w:tcBorders>
              <w:right w:val="single" w:sz="8" w:color="DD924E"/>
            </w:tcBorders>
            <w:shd w:val="clear" w:color="auto" w:fill="FBF4ED"/>
          </w:tcPr>
          <w:p>
            <w:pPr>
              <w:jc w:val="center"/>
              <w:ind w:left="12"/>
              <w:spacing w:after="0"/>
              <w:rPr>
                <w:sz w:val="20"/>
                <w:szCs w:val="20"/>
                <w:color w:val="auto"/>
              </w:rPr>
            </w:pPr>
            <w:r>
              <w:rPr>
                <w:rFonts w:ascii="Arial" w:cs="Arial" w:eastAsia="Arial" w:hAnsi="Arial"/>
                <w:sz w:val="14"/>
                <w:szCs w:val="14"/>
                <w:b w:val="1"/>
                <w:bCs w:val="1"/>
                <w:color w:val="auto"/>
                <w:w w:val="96"/>
              </w:rPr>
              <w:t>% of Target Portion Funded</w:t>
            </w:r>
          </w:p>
        </w:tc>
      </w:tr>
      <w:tr>
        <w:trPr>
          <w:trHeight w:val="199"/>
        </w:trPr>
        <w:tc>
          <w:tcPr>
            <w:tcW w:w="60" w:type="dxa"/>
            <w:vAlign w:val="bottom"/>
            <w:tcBorders>
              <w:left w:val="single" w:sz="8" w:color="DD924E"/>
            </w:tcBorders>
          </w:tcPr>
          <w:p>
            <w:pPr>
              <w:spacing w:after="0"/>
              <w:rPr>
                <w:sz w:val="17"/>
                <w:szCs w:val="17"/>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7"/>
              </w:rPr>
              <w:t>Less than 90%</w:t>
            </w:r>
          </w:p>
        </w:tc>
        <w:tc>
          <w:tcPr>
            <w:tcW w:w="1920" w:type="dxa"/>
            <w:vAlign w:val="bottom"/>
          </w:tcPr>
          <w:p>
            <w:pPr>
              <w:jc w:val="center"/>
              <w:ind w:left="52"/>
              <w:spacing w:after="0"/>
              <w:rPr>
                <w:sz w:val="20"/>
                <w:szCs w:val="20"/>
                <w:color w:val="auto"/>
              </w:rPr>
            </w:pPr>
            <w:r>
              <w:rPr>
                <w:rFonts w:ascii="Arial" w:cs="Arial" w:eastAsia="Arial" w:hAnsi="Arial"/>
                <w:sz w:val="14"/>
                <w:szCs w:val="14"/>
                <w:color w:val="auto"/>
                <w:w w:val="98"/>
              </w:rPr>
              <w:t>0%</w:t>
            </w:r>
          </w:p>
        </w:tc>
        <w:tc>
          <w:tcPr>
            <w:tcW w:w="56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7"/>
              </w:rPr>
              <w:t>Less than 90%</w:t>
            </w:r>
          </w:p>
        </w:tc>
        <w:tc>
          <w:tcPr>
            <w:tcW w:w="2060" w:type="dxa"/>
            <w:vAlign w:val="bottom"/>
            <w:tcBorders>
              <w:right w:val="single" w:sz="8" w:color="DD924E"/>
            </w:tcBorders>
          </w:tcPr>
          <w:p>
            <w:pPr>
              <w:jc w:val="center"/>
              <w:ind w:left="32"/>
              <w:spacing w:after="0"/>
              <w:rPr>
                <w:sz w:val="20"/>
                <w:szCs w:val="20"/>
                <w:color w:val="auto"/>
              </w:rPr>
            </w:pPr>
            <w:r>
              <w:rPr>
                <w:rFonts w:ascii="Arial" w:cs="Arial" w:eastAsia="Arial" w:hAnsi="Arial"/>
                <w:sz w:val="14"/>
                <w:szCs w:val="14"/>
                <w:color w:val="auto"/>
                <w:w w:val="98"/>
              </w:rPr>
              <w:t>0%</w:t>
            </w:r>
          </w:p>
        </w:tc>
      </w:tr>
      <w:tr>
        <w:trPr>
          <w:trHeight w:val="211"/>
        </w:trPr>
        <w:tc>
          <w:tcPr>
            <w:tcW w:w="60" w:type="dxa"/>
            <w:vAlign w:val="bottom"/>
            <w:tcBorders>
              <w:left w:val="single" w:sz="8" w:color="DD924E"/>
            </w:tcBorders>
            <w:shd w:val="clear" w:color="auto" w:fill="FBF4ED"/>
          </w:tcPr>
          <w:p>
            <w:pPr>
              <w:spacing w:after="0"/>
              <w:rPr>
                <w:sz w:val="18"/>
                <w:szCs w:val="18"/>
                <w:color w:val="auto"/>
              </w:rPr>
            </w:pPr>
          </w:p>
        </w:tc>
        <w:tc>
          <w:tcPr>
            <w:tcW w:w="2140" w:type="dxa"/>
            <w:vAlign w:val="bottom"/>
            <w:shd w:val="clear" w:color="auto" w:fill="FBF4ED"/>
          </w:tcPr>
          <w:p>
            <w:pPr>
              <w:jc w:val="center"/>
              <w:spacing w:after="0"/>
              <w:rPr>
                <w:sz w:val="20"/>
                <w:szCs w:val="20"/>
                <w:color w:val="auto"/>
              </w:rPr>
            </w:pPr>
            <w:r>
              <w:rPr>
                <w:rFonts w:ascii="Arial" w:cs="Arial" w:eastAsia="Arial" w:hAnsi="Arial"/>
                <w:sz w:val="14"/>
                <w:szCs w:val="14"/>
                <w:color w:val="auto"/>
                <w:w w:val="97"/>
              </w:rPr>
              <w:t>At 90%</w:t>
            </w:r>
          </w:p>
        </w:tc>
        <w:tc>
          <w:tcPr>
            <w:tcW w:w="1920" w:type="dxa"/>
            <w:vAlign w:val="bottom"/>
            <w:shd w:val="clear" w:color="auto" w:fill="FBF4ED"/>
          </w:tcPr>
          <w:p>
            <w:pPr>
              <w:jc w:val="center"/>
              <w:ind w:left="52"/>
              <w:spacing w:after="0"/>
              <w:rPr>
                <w:sz w:val="20"/>
                <w:szCs w:val="20"/>
                <w:color w:val="auto"/>
              </w:rPr>
            </w:pPr>
            <w:r>
              <w:rPr>
                <w:rFonts w:ascii="Arial" w:cs="Arial" w:eastAsia="Arial" w:hAnsi="Arial"/>
                <w:sz w:val="14"/>
                <w:szCs w:val="14"/>
                <w:color w:val="auto"/>
                <w:w w:val="99"/>
              </w:rPr>
              <w:t>25%</w:t>
            </w:r>
          </w:p>
        </w:tc>
        <w:tc>
          <w:tcPr>
            <w:tcW w:w="560" w:type="dxa"/>
            <w:vAlign w:val="bottom"/>
            <w:shd w:val="clear" w:color="auto" w:fill="FBF4ED"/>
          </w:tcPr>
          <w:p>
            <w:pPr>
              <w:spacing w:after="0"/>
              <w:rPr>
                <w:sz w:val="18"/>
                <w:szCs w:val="18"/>
                <w:color w:val="auto"/>
              </w:rPr>
            </w:pPr>
          </w:p>
        </w:tc>
        <w:tc>
          <w:tcPr>
            <w:tcW w:w="2080" w:type="dxa"/>
            <w:vAlign w:val="bottom"/>
            <w:shd w:val="clear" w:color="auto" w:fill="FBF4ED"/>
          </w:tcPr>
          <w:p>
            <w:pPr>
              <w:jc w:val="center"/>
              <w:ind w:left="12"/>
              <w:spacing w:after="0"/>
              <w:rPr>
                <w:sz w:val="20"/>
                <w:szCs w:val="20"/>
                <w:color w:val="auto"/>
              </w:rPr>
            </w:pPr>
            <w:r>
              <w:rPr>
                <w:rFonts w:ascii="Arial" w:cs="Arial" w:eastAsia="Arial" w:hAnsi="Arial"/>
                <w:sz w:val="14"/>
                <w:szCs w:val="14"/>
                <w:color w:val="auto"/>
                <w:w w:val="97"/>
              </w:rPr>
              <w:t>At 90%</w:t>
            </w:r>
          </w:p>
        </w:tc>
        <w:tc>
          <w:tcPr>
            <w:tcW w:w="2060" w:type="dxa"/>
            <w:vAlign w:val="bottom"/>
            <w:tcBorders>
              <w:right w:val="single" w:sz="8" w:color="DD924E"/>
            </w:tcBorders>
            <w:shd w:val="clear" w:color="auto" w:fill="FBF4ED"/>
          </w:tcPr>
          <w:p>
            <w:pPr>
              <w:jc w:val="center"/>
              <w:ind w:left="32"/>
              <w:spacing w:after="0"/>
              <w:rPr>
                <w:sz w:val="20"/>
                <w:szCs w:val="20"/>
                <w:color w:val="auto"/>
              </w:rPr>
            </w:pPr>
            <w:r>
              <w:rPr>
                <w:rFonts w:ascii="Arial" w:cs="Arial" w:eastAsia="Arial" w:hAnsi="Arial"/>
                <w:sz w:val="14"/>
                <w:szCs w:val="14"/>
                <w:color w:val="auto"/>
                <w:w w:val="99"/>
              </w:rPr>
              <w:t>25%</w:t>
            </w:r>
          </w:p>
        </w:tc>
      </w:tr>
      <w:tr>
        <w:trPr>
          <w:trHeight w:val="184"/>
        </w:trPr>
        <w:tc>
          <w:tcPr>
            <w:tcW w:w="60" w:type="dxa"/>
            <w:vAlign w:val="bottom"/>
            <w:tcBorders>
              <w:left w:val="single" w:sz="8" w:color="DD924E"/>
            </w:tcBorders>
          </w:tcPr>
          <w:p>
            <w:pPr>
              <w:spacing w:after="0"/>
              <w:rPr>
                <w:sz w:val="16"/>
                <w:szCs w:val="16"/>
                <w:color w:val="auto"/>
              </w:rPr>
            </w:pPr>
          </w:p>
        </w:tc>
        <w:tc>
          <w:tcPr>
            <w:tcW w:w="2140" w:type="dxa"/>
            <w:vAlign w:val="bottom"/>
          </w:tcPr>
          <w:p>
            <w:pPr>
              <w:spacing w:after="0"/>
              <w:rPr>
                <w:sz w:val="16"/>
                <w:szCs w:val="16"/>
                <w:color w:val="auto"/>
              </w:rPr>
            </w:pPr>
          </w:p>
        </w:tc>
        <w:tc>
          <w:tcPr>
            <w:tcW w:w="1920" w:type="dxa"/>
            <w:vAlign w:val="bottom"/>
          </w:tcPr>
          <w:p>
            <w:pPr>
              <w:jc w:val="center"/>
              <w:ind w:left="52"/>
              <w:spacing w:after="0"/>
              <w:rPr>
                <w:sz w:val="20"/>
                <w:szCs w:val="20"/>
                <w:color w:val="auto"/>
              </w:rPr>
            </w:pPr>
            <w:r>
              <w:rPr>
                <w:rFonts w:ascii="Arial" w:cs="Arial" w:eastAsia="Arial" w:hAnsi="Arial"/>
                <w:sz w:val="14"/>
                <w:szCs w:val="14"/>
                <w:color w:val="auto"/>
                <w:w w:val="98"/>
              </w:rPr>
              <w:t>Linear interpolation from 25%</w:t>
            </w:r>
          </w:p>
        </w:tc>
        <w:tc>
          <w:tcPr>
            <w:tcW w:w="5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60" w:type="dxa"/>
            <w:vAlign w:val="bottom"/>
            <w:tcBorders>
              <w:right w:val="single" w:sz="8" w:color="DD924E"/>
            </w:tcBorders>
          </w:tcPr>
          <w:p>
            <w:pPr>
              <w:jc w:val="center"/>
              <w:ind w:left="12"/>
              <w:spacing w:after="0"/>
              <w:rPr>
                <w:sz w:val="20"/>
                <w:szCs w:val="20"/>
                <w:color w:val="auto"/>
              </w:rPr>
            </w:pPr>
            <w:r>
              <w:rPr>
                <w:rFonts w:ascii="Arial" w:cs="Arial" w:eastAsia="Arial" w:hAnsi="Arial"/>
                <w:sz w:val="14"/>
                <w:szCs w:val="14"/>
                <w:color w:val="auto"/>
                <w:w w:val="97"/>
              </w:rPr>
              <w:t>Linear interpolation from 25%</w:t>
            </w:r>
          </w:p>
        </w:tc>
      </w:tr>
      <w:tr>
        <w:trPr>
          <w:trHeight w:val="169"/>
        </w:trPr>
        <w:tc>
          <w:tcPr>
            <w:tcW w:w="60" w:type="dxa"/>
            <w:vAlign w:val="bottom"/>
            <w:tcBorders>
              <w:left w:val="single" w:sz="8" w:color="DD924E"/>
            </w:tcBorders>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6"/>
              </w:rPr>
              <w:t>From 90% to 100%</w:t>
            </w:r>
          </w:p>
        </w:tc>
        <w:tc>
          <w:tcPr>
            <w:tcW w:w="1920" w:type="dxa"/>
            <w:vAlign w:val="bottom"/>
          </w:tcPr>
          <w:p>
            <w:pPr>
              <w:jc w:val="center"/>
              <w:ind w:left="72"/>
              <w:spacing w:after="0"/>
              <w:rPr>
                <w:sz w:val="20"/>
                <w:szCs w:val="20"/>
                <w:color w:val="auto"/>
              </w:rPr>
            </w:pPr>
            <w:r>
              <w:rPr>
                <w:rFonts w:ascii="Arial" w:cs="Arial" w:eastAsia="Arial" w:hAnsi="Arial"/>
                <w:sz w:val="14"/>
                <w:szCs w:val="14"/>
                <w:color w:val="auto"/>
                <w:w w:val="97"/>
              </w:rPr>
              <w:t>to 100%</w:t>
            </w:r>
          </w:p>
        </w:tc>
        <w:tc>
          <w:tcPr>
            <w:tcW w:w="5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8"/>
              </w:rPr>
              <w:t>From 90% to 100%</w:t>
            </w:r>
          </w:p>
        </w:tc>
        <w:tc>
          <w:tcPr>
            <w:tcW w:w="2060" w:type="dxa"/>
            <w:vAlign w:val="bottom"/>
            <w:tcBorders>
              <w:right w:val="single" w:sz="8" w:color="DD924E"/>
            </w:tcBorders>
          </w:tcPr>
          <w:p>
            <w:pPr>
              <w:jc w:val="center"/>
              <w:ind w:left="12"/>
              <w:spacing w:after="0"/>
              <w:rPr>
                <w:sz w:val="20"/>
                <w:szCs w:val="20"/>
                <w:color w:val="auto"/>
              </w:rPr>
            </w:pPr>
            <w:r>
              <w:rPr>
                <w:rFonts w:ascii="Arial" w:cs="Arial" w:eastAsia="Arial" w:hAnsi="Arial"/>
                <w:sz w:val="14"/>
                <w:szCs w:val="14"/>
                <w:color w:val="auto"/>
                <w:w w:val="97"/>
              </w:rPr>
              <w:t>to 100%</w:t>
            </w:r>
          </w:p>
        </w:tc>
      </w:tr>
      <w:tr>
        <w:trPr>
          <w:trHeight w:val="211"/>
        </w:trPr>
        <w:tc>
          <w:tcPr>
            <w:tcW w:w="60" w:type="dxa"/>
            <w:vAlign w:val="bottom"/>
            <w:tcBorders>
              <w:left w:val="single" w:sz="8" w:color="DD924E"/>
            </w:tcBorders>
            <w:shd w:val="clear" w:color="auto" w:fill="FBF4ED"/>
          </w:tcPr>
          <w:p>
            <w:pPr>
              <w:spacing w:after="0"/>
              <w:rPr>
                <w:sz w:val="18"/>
                <w:szCs w:val="18"/>
                <w:color w:val="auto"/>
              </w:rPr>
            </w:pPr>
          </w:p>
        </w:tc>
        <w:tc>
          <w:tcPr>
            <w:tcW w:w="2140" w:type="dxa"/>
            <w:vAlign w:val="bottom"/>
            <w:shd w:val="clear" w:color="auto" w:fill="FBF4ED"/>
          </w:tcPr>
          <w:p>
            <w:pPr>
              <w:jc w:val="center"/>
              <w:spacing w:after="0"/>
              <w:rPr>
                <w:sz w:val="20"/>
                <w:szCs w:val="20"/>
                <w:color w:val="auto"/>
              </w:rPr>
            </w:pPr>
            <w:r>
              <w:rPr>
                <w:rFonts w:ascii="Arial" w:cs="Arial" w:eastAsia="Arial" w:hAnsi="Arial"/>
                <w:sz w:val="14"/>
                <w:szCs w:val="14"/>
                <w:color w:val="auto"/>
                <w:w w:val="98"/>
              </w:rPr>
              <w:t>At 100%</w:t>
            </w:r>
          </w:p>
        </w:tc>
        <w:tc>
          <w:tcPr>
            <w:tcW w:w="1920" w:type="dxa"/>
            <w:vAlign w:val="bottom"/>
            <w:shd w:val="clear" w:color="auto" w:fill="FBF4ED"/>
          </w:tcPr>
          <w:p>
            <w:pPr>
              <w:jc w:val="center"/>
              <w:ind w:left="52"/>
              <w:spacing w:after="0"/>
              <w:rPr>
                <w:sz w:val="20"/>
                <w:szCs w:val="20"/>
                <w:color w:val="auto"/>
              </w:rPr>
            </w:pPr>
            <w:r>
              <w:rPr>
                <w:rFonts w:ascii="Arial" w:cs="Arial" w:eastAsia="Arial" w:hAnsi="Arial"/>
                <w:sz w:val="14"/>
                <w:szCs w:val="14"/>
                <w:color w:val="auto"/>
              </w:rPr>
              <w:t>100%</w:t>
            </w:r>
          </w:p>
        </w:tc>
        <w:tc>
          <w:tcPr>
            <w:tcW w:w="560" w:type="dxa"/>
            <w:vAlign w:val="bottom"/>
            <w:shd w:val="clear" w:color="auto" w:fill="FBF4ED"/>
          </w:tcPr>
          <w:p>
            <w:pPr>
              <w:spacing w:after="0"/>
              <w:rPr>
                <w:sz w:val="18"/>
                <w:szCs w:val="18"/>
                <w:color w:val="auto"/>
              </w:rPr>
            </w:pPr>
          </w:p>
        </w:tc>
        <w:tc>
          <w:tcPr>
            <w:tcW w:w="2080" w:type="dxa"/>
            <w:vAlign w:val="bottom"/>
            <w:shd w:val="clear" w:color="auto" w:fill="FBF4ED"/>
          </w:tcPr>
          <w:p>
            <w:pPr>
              <w:jc w:val="center"/>
              <w:ind w:left="12"/>
              <w:spacing w:after="0"/>
              <w:rPr>
                <w:sz w:val="20"/>
                <w:szCs w:val="20"/>
                <w:color w:val="auto"/>
              </w:rPr>
            </w:pPr>
            <w:r>
              <w:rPr>
                <w:rFonts w:ascii="Arial" w:cs="Arial" w:eastAsia="Arial" w:hAnsi="Arial"/>
                <w:sz w:val="14"/>
                <w:szCs w:val="14"/>
                <w:color w:val="auto"/>
                <w:w w:val="98"/>
              </w:rPr>
              <w:t>At 100%</w:t>
            </w:r>
          </w:p>
        </w:tc>
        <w:tc>
          <w:tcPr>
            <w:tcW w:w="2060" w:type="dxa"/>
            <w:vAlign w:val="bottom"/>
            <w:tcBorders>
              <w:right w:val="single" w:sz="8" w:color="DD924E"/>
            </w:tcBorders>
            <w:shd w:val="clear" w:color="auto" w:fill="FBF4ED"/>
          </w:tcPr>
          <w:p>
            <w:pPr>
              <w:jc w:val="center"/>
              <w:ind w:left="32"/>
              <w:spacing w:after="0"/>
              <w:rPr>
                <w:sz w:val="20"/>
                <w:szCs w:val="20"/>
                <w:color w:val="auto"/>
              </w:rPr>
            </w:pPr>
            <w:r>
              <w:rPr>
                <w:rFonts w:ascii="Arial" w:cs="Arial" w:eastAsia="Arial" w:hAnsi="Arial"/>
                <w:sz w:val="14"/>
                <w:szCs w:val="14"/>
                <w:color w:val="auto"/>
              </w:rPr>
              <w:t>100%</w:t>
            </w:r>
          </w:p>
        </w:tc>
      </w:tr>
      <w:tr>
        <w:trPr>
          <w:trHeight w:val="184"/>
        </w:trPr>
        <w:tc>
          <w:tcPr>
            <w:tcW w:w="60" w:type="dxa"/>
            <w:vAlign w:val="bottom"/>
            <w:tcBorders>
              <w:left w:val="single" w:sz="8" w:color="DD924E"/>
            </w:tcBorders>
          </w:tcPr>
          <w:p>
            <w:pPr>
              <w:spacing w:after="0"/>
              <w:rPr>
                <w:sz w:val="16"/>
                <w:szCs w:val="16"/>
                <w:color w:val="auto"/>
              </w:rPr>
            </w:pPr>
          </w:p>
        </w:tc>
        <w:tc>
          <w:tcPr>
            <w:tcW w:w="2140" w:type="dxa"/>
            <w:vAlign w:val="bottom"/>
          </w:tcPr>
          <w:p>
            <w:pPr>
              <w:spacing w:after="0"/>
              <w:rPr>
                <w:sz w:val="16"/>
                <w:szCs w:val="16"/>
                <w:color w:val="auto"/>
              </w:rPr>
            </w:pPr>
          </w:p>
        </w:tc>
        <w:tc>
          <w:tcPr>
            <w:tcW w:w="1920" w:type="dxa"/>
            <w:vAlign w:val="bottom"/>
          </w:tcPr>
          <w:p>
            <w:pPr>
              <w:jc w:val="center"/>
              <w:ind w:left="52"/>
              <w:spacing w:after="0"/>
              <w:rPr>
                <w:sz w:val="20"/>
                <w:szCs w:val="20"/>
                <w:color w:val="auto"/>
              </w:rPr>
            </w:pPr>
            <w:r>
              <w:rPr>
                <w:rFonts w:ascii="Arial" w:cs="Arial" w:eastAsia="Arial" w:hAnsi="Arial"/>
                <w:sz w:val="14"/>
                <w:szCs w:val="14"/>
                <w:color w:val="auto"/>
                <w:w w:val="98"/>
              </w:rPr>
              <w:t>Linear interpolation from</w:t>
            </w:r>
          </w:p>
        </w:tc>
        <w:tc>
          <w:tcPr>
            <w:tcW w:w="5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60" w:type="dxa"/>
            <w:vAlign w:val="bottom"/>
            <w:tcBorders>
              <w:right w:val="single" w:sz="8" w:color="DD924E"/>
            </w:tcBorders>
          </w:tcPr>
          <w:p>
            <w:pPr>
              <w:jc w:val="center"/>
              <w:ind w:left="32"/>
              <w:spacing w:after="0"/>
              <w:rPr>
                <w:sz w:val="20"/>
                <w:szCs w:val="20"/>
                <w:color w:val="auto"/>
              </w:rPr>
            </w:pPr>
            <w:r>
              <w:rPr>
                <w:rFonts w:ascii="Arial" w:cs="Arial" w:eastAsia="Arial" w:hAnsi="Arial"/>
                <w:sz w:val="14"/>
                <w:szCs w:val="14"/>
                <w:color w:val="auto"/>
                <w:w w:val="98"/>
              </w:rPr>
              <w:t>Linear interpolation from</w:t>
            </w:r>
          </w:p>
        </w:tc>
      </w:tr>
      <w:tr>
        <w:trPr>
          <w:trHeight w:val="169"/>
        </w:trPr>
        <w:tc>
          <w:tcPr>
            <w:tcW w:w="60" w:type="dxa"/>
            <w:vAlign w:val="bottom"/>
            <w:tcBorders>
              <w:left w:val="single" w:sz="8" w:color="DD924E"/>
            </w:tcBorders>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7"/>
              </w:rPr>
              <w:t>From 100% to 110%</w:t>
            </w:r>
          </w:p>
        </w:tc>
        <w:tc>
          <w:tcPr>
            <w:tcW w:w="1920" w:type="dxa"/>
            <w:vAlign w:val="bottom"/>
          </w:tcPr>
          <w:p>
            <w:pPr>
              <w:jc w:val="center"/>
              <w:ind w:left="52"/>
              <w:spacing w:after="0"/>
              <w:rPr>
                <w:sz w:val="20"/>
                <w:szCs w:val="20"/>
                <w:color w:val="auto"/>
              </w:rPr>
            </w:pPr>
            <w:r>
              <w:rPr>
                <w:rFonts w:ascii="Arial" w:cs="Arial" w:eastAsia="Arial" w:hAnsi="Arial"/>
                <w:sz w:val="14"/>
                <w:szCs w:val="14"/>
                <w:color w:val="auto"/>
                <w:w w:val="96"/>
              </w:rPr>
              <w:t>100% to 200%</w:t>
            </w:r>
          </w:p>
        </w:tc>
        <w:tc>
          <w:tcPr>
            <w:tcW w:w="560" w:type="dxa"/>
            <w:vAlign w:val="bottom"/>
          </w:tcPr>
          <w:p>
            <w:pPr>
              <w:spacing w:after="0"/>
              <w:rPr>
                <w:sz w:val="14"/>
                <w:szCs w:val="14"/>
                <w:color w:val="auto"/>
              </w:rPr>
            </w:pPr>
          </w:p>
        </w:tc>
        <w:tc>
          <w:tcPr>
            <w:tcW w:w="2080" w:type="dxa"/>
            <w:vAlign w:val="bottom"/>
          </w:tcPr>
          <w:p>
            <w:pPr>
              <w:jc w:val="center"/>
              <w:ind w:left="12"/>
              <w:spacing w:after="0"/>
              <w:rPr>
                <w:sz w:val="20"/>
                <w:szCs w:val="20"/>
                <w:color w:val="auto"/>
              </w:rPr>
            </w:pPr>
            <w:r>
              <w:rPr>
                <w:rFonts w:ascii="Arial" w:cs="Arial" w:eastAsia="Arial" w:hAnsi="Arial"/>
                <w:sz w:val="14"/>
                <w:szCs w:val="14"/>
                <w:color w:val="auto"/>
                <w:w w:val="97"/>
              </w:rPr>
              <w:t>From 100% to 110%</w:t>
            </w:r>
          </w:p>
        </w:tc>
        <w:tc>
          <w:tcPr>
            <w:tcW w:w="2060" w:type="dxa"/>
            <w:vAlign w:val="bottom"/>
            <w:tcBorders>
              <w:right w:val="single" w:sz="8" w:color="DD924E"/>
            </w:tcBorders>
          </w:tcPr>
          <w:p>
            <w:pPr>
              <w:jc w:val="center"/>
              <w:ind w:left="32"/>
              <w:spacing w:after="0"/>
              <w:rPr>
                <w:sz w:val="20"/>
                <w:szCs w:val="20"/>
                <w:color w:val="auto"/>
              </w:rPr>
            </w:pPr>
            <w:r>
              <w:rPr>
                <w:rFonts w:ascii="Arial" w:cs="Arial" w:eastAsia="Arial" w:hAnsi="Arial"/>
                <w:sz w:val="14"/>
                <w:szCs w:val="14"/>
                <w:color w:val="auto"/>
                <w:w w:val="96"/>
              </w:rPr>
              <w:t>100% to 200%</w:t>
            </w:r>
          </w:p>
        </w:tc>
      </w:tr>
      <w:tr>
        <w:trPr>
          <w:trHeight w:val="205"/>
        </w:trPr>
        <w:tc>
          <w:tcPr>
            <w:tcW w:w="60" w:type="dxa"/>
            <w:vAlign w:val="bottom"/>
            <w:tcBorders>
              <w:left w:val="single" w:sz="8" w:color="DD924E"/>
              <w:bottom w:val="single" w:sz="8" w:color="DD924E"/>
            </w:tcBorders>
            <w:shd w:val="clear" w:color="auto" w:fill="FBF4ED"/>
          </w:tcPr>
          <w:p>
            <w:pPr>
              <w:spacing w:after="0"/>
              <w:rPr>
                <w:sz w:val="17"/>
                <w:szCs w:val="17"/>
                <w:color w:val="auto"/>
              </w:rPr>
            </w:pPr>
          </w:p>
        </w:tc>
        <w:tc>
          <w:tcPr>
            <w:tcW w:w="2140" w:type="dxa"/>
            <w:vAlign w:val="bottom"/>
            <w:tcBorders>
              <w:bottom w:val="single" w:sz="8" w:color="DD924E"/>
            </w:tcBorders>
            <w:shd w:val="clear" w:color="auto" w:fill="FBF4ED"/>
          </w:tcPr>
          <w:p>
            <w:pPr>
              <w:jc w:val="center"/>
              <w:spacing w:after="0"/>
              <w:rPr>
                <w:sz w:val="20"/>
                <w:szCs w:val="20"/>
                <w:color w:val="auto"/>
              </w:rPr>
            </w:pPr>
            <w:r>
              <w:rPr>
                <w:rFonts w:ascii="Arial" w:cs="Arial" w:eastAsia="Arial" w:hAnsi="Arial"/>
                <w:sz w:val="14"/>
                <w:szCs w:val="14"/>
                <w:color w:val="auto"/>
                <w:w w:val="98"/>
              </w:rPr>
              <w:t>Above 110%</w:t>
            </w:r>
          </w:p>
        </w:tc>
        <w:tc>
          <w:tcPr>
            <w:tcW w:w="1920" w:type="dxa"/>
            <w:vAlign w:val="bottom"/>
            <w:tcBorders>
              <w:bottom w:val="single" w:sz="8" w:color="DD924E"/>
            </w:tcBorders>
            <w:shd w:val="clear" w:color="auto" w:fill="FBF4ED"/>
          </w:tcPr>
          <w:p>
            <w:pPr>
              <w:jc w:val="center"/>
              <w:ind w:left="52"/>
              <w:spacing w:after="0"/>
              <w:rPr>
                <w:sz w:val="20"/>
                <w:szCs w:val="20"/>
                <w:color w:val="auto"/>
              </w:rPr>
            </w:pPr>
            <w:r>
              <w:rPr>
                <w:rFonts w:ascii="Arial" w:cs="Arial" w:eastAsia="Arial" w:hAnsi="Arial"/>
                <w:sz w:val="14"/>
                <w:szCs w:val="14"/>
                <w:color w:val="auto"/>
              </w:rPr>
              <w:t>200%</w:t>
            </w:r>
          </w:p>
        </w:tc>
        <w:tc>
          <w:tcPr>
            <w:tcW w:w="560" w:type="dxa"/>
            <w:vAlign w:val="bottom"/>
            <w:tcBorders>
              <w:bottom w:val="single" w:sz="8" w:color="DD924E"/>
            </w:tcBorders>
            <w:shd w:val="clear" w:color="auto" w:fill="FBF4ED"/>
          </w:tcPr>
          <w:p>
            <w:pPr>
              <w:spacing w:after="0"/>
              <w:rPr>
                <w:sz w:val="17"/>
                <w:szCs w:val="17"/>
                <w:color w:val="auto"/>
              </w:rPr>
            </w:pPr>
          </w:p>
        </w:tc>
        <w:tc>
          <w:tcPr>
            <w:tcW w:w="2080" w:type="dxa"/>
            <w:vAlign w:val="bottom"/>
            <w:tcBorders>
              <w:bottom w:val="single" w:sz="8" w:color="DD924E"/>
            </w:tcBorders>
            <w:shd w:val="clear" w:color="auto" w:fill="FBF4ED"/>
          </w:tcPr>
          <w:p>
            <w:pPr>
              <w:jc w:val="center"/>
              <w:spacing w:after="0"/>
              <w:rPr>
                <w:sz w:val="20"/>
                <w:szCs w:val="20"/>
                <w:color w:val="auto"/>
              </w:rPr>
            </w:pPr>
            <w:r>
              <w:rPr>
                <w:rFonts w:ascii="Arial" w:cs="Arial" w:eastAsia="Arial" w:hAnsi="Arial"/>
                <w:sz w:val="14"/>
                <w:szCs w:val="14"/>
                <w:color w:val="auto"/>
                <w:w w:val="98"/>
              </w:rPr>
              <w:t>Above 110%</w:t>
            </w:r>
          </w:p>
        </w:tc>
        <w:tc>
          <w:tcPr>
            <w:tcW w:w="2060" w:type="dxa"/>
            <w:vAlign w:val="bottom"/>
            <w:tcBorders>
              <w:bottom w:val="single" w:sz="8" w:color="DD924E"/>
              <w:right w:val="single" w:sz="8" w:color="DD924E"/>
            </w:tcBorders>
            <w:shd w:val="clear" w:color="auto" w:fill="FBF4ED"/>
          </w:tcPr>
          <w:p>
            <w:pPr>
              <w:jc w:val="center"/>
              <w:ind w:left="32"/>
              <w:spacing w:after="0"/>
              <w:rPr>
                <w:sz w:val="20"/>
                <w:szCs w:val="20"/>
                <w:color w:val="auto"/>
              </w:rPr>
            </w:pPr>
            <w:r>
              <w:rPr>
                <w:rFonts w:ascii="Arial" w:cs="Arial" w:eastAsia="Arial" w:hAnsi="Arial"/>
                <w:sz w:val="14"/>
                <w:szCs w:val="14"/>
                <w:color w:val="auto"/>
              </w:rPr>
              <w:t>200%</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4" w:name="page45"/>
    <w:bookmarkEnd w:id="44"/>
    <w:p>
      <w:pPr>
        <w:spacing w:after="0" w:line="58" w:lineRule="exact"/>
        <w:rPr>
          <w:sz w:val="20"/>
          <w:szCs w:val="20"/>
          <w:color w:val="auto"/>
        </w:rPr>
      </w:pPr>
    </w:p>
    <w:p>
      <w:pPr>
        <w:jc w:val="both"/>
        <w:ind w:left="840" w:right="59"/>
        <w:spacing w:after="0" w:line="239" w:lineRule="auto"/>
        <w:rPr>
          <w:sz w:val="20"/>
          <w:szCs w:val="20"/>
          <w:color w:val="auto"/>
        </w:rPr>
      </w:pPr>
      <w:r>
        <w:rPr>
          <w:rFonts w:ascii="Arial" w:cs="Arial" w:eastAsia="Arial" w:hAnsi="Arial"/>
          <w:sz w:val="17"/>
          <w:szCs w:val="17"/>
          <w:color w:val="auto"/>
        </w:rPr>
        <w:t>In 2017, our Compensation Committee established an Adjusted EPS target of $2.62 and a revenue target of $770 million. These targets were greater than the 2016 fiscal year targets as well as actual 2016 performance levels as disclosed in our 2017 proxy statement. Based on our performance during the 2017 fiscal year, we achieved 101.7% of our Adjusted EPS target (Adjusted EPS achievement of $2.65), and 98.1% of our revenue target (revenue achievement of $762.3 million).</w:t>
      </w:r>
    </w:p>
    <w:p>
      <w:pPr>
        <w:spacing w:after="0" w:line="116" w:lineRule="exact"/>
        <w:rPr>
          <w:sz w:val="20"/>
          <w:szCs w:val="20"/>
          <w:color w:val="auto"/>
        </w:rPr>
      </w:pPr>
    </w:p>
    <w:p>
      <w:pPr>
        <w:jc w:val="both"/>
        <w:ind w:left="840" w:right="79"/>
        <w:spacing w:after="0" w:line="247" w:lineRule="auto"/>
        <w:rPr>
          <w:sz w:val="20"/>
          <w:szCs w:val="20"/>
          <w:color w:val="auto"/>
        </w:rPr>
      </w:pPr>
      <w:r>
        <w:rPr>
          <w:rFonts w:ascii="Arial" w:cs="Arial" w:eastAsia="Arial" w:hAnsi="Arial"/>
          <w:sz w:val="17"/>
          <w:szCs w:val="17"/>
          <w:color w:val="auto"/>
        </w:rPr>
        <w:t>The bonus pool funding for employees whose bonuses are tied to the performance of specific business lines is determined by targets established for such businesses by our Compensation Committee.</w:t>
      </w:r>
    </w:p>
    <w:p>
      <w:pPr>
        <w:spacing w:after="0" w:line="103" w:lineRule="exact"/>
        <w:rPr>
          <w:sz w:val="20"/>
          <w:szCs w:val="20"/>
          <w:color w:val="auto"/>
        </w:rPr>
      </w:pPr>
    </w:p>
    <w:p>
      <w:pPr>
        <w:jc w:val="both"/>
        <w:ind w:left="840" w:right="59" w:hanging="345"/>
        <w:spacing w:after="0"/>
        <w:tabs>
          <w:tab w:leader="none" w:pos="840" w:val="left"/>
        </w:tabs>
        <w:numPr>
          <w:ilvl w:val="0"/>
          <w:numId w:val="73"/>
        </w:numPr>
        <w:rPr>
          <w:rFonts w:ascii="Arial" w:cs="Arial" w:eastAsia="Arial" w:hAnsi="Arial"/>
          <w:sz w:val="17"/>
          <w:szCs w:val="17"/>
          <w:color w:val="DD924E"/>
        </w:rPr>
      </w:pPr>
      <w:r>
        <w:rPr>
          <w:rFonts w:ascii="Arial" w:cs="Arial" w:eastAsia="Arial" w:hAnsi="Arial"/>
          <w:sz w:val="17"/>
          <w:szCs w:val="17"/>
          <w:b w:val="1"/>
          <w:bCs w:val="1"/>
          <w:color w:val="auto"/>
        </w:rPr>
        <w:t xml:space="preserve">Individual Performance Measures. </w:t>
      </w:r>
      <w:r>
        <w:rPr>
          <w:rFonts w:ascii="Arial" w:cs="Arial" w:eastAsia="Arial" w:hAnsi="Arial"/>
          <w:sz w:val="17"/>
          <w:szCs w:val="17"/>
          <w:color w:val="auto"/>
        </w:rPr>
        <w:t>As discussed above, each of our named executive officers earns a</w:t>
      </w:r>
      <w:r>
        <w:rPr>
          <w:rFonts w:ascii="Arial" w:cs="Arial" w:eastAsia="Arial" w:hAnsi="Arial"/>
          <w:sz w:val="17"/>
          <w:szCs w:val="17"/>
          <w:b w:val="1"/>
          <w:bCs w:val="1"/>
          <w:color w:val="auto"/>
        </w:rPr>
        <w:t xml:space="preserve"> </w:t>
      </w:r>
      <w:r>
        <w:rPr>
          <w:rFonts w:ascii="Arial" w:cs="Arial" w:eastAsia="Arial" w:hAnsi="Arial"/>
          <w:sz w:val="17"/>
          <w:szCs w:val="17"/>
          <w:color w:val="auto"/>
        </w:rPr>
        <w:t>portion of his respective annual incentive bonuses based on the achievement of individual performance measures. These goals are designed to balance the attention of our named executive officers between the achievement of near-term objectives that improve specific processes or performance metrics and long-term objectives for us. While some of the goals are subjective, other goals, such as client and employee satisfaction metrics, are capable of objective measurement. The individual performance measures are generally based on strategic performance indicators such as improving sales productivity, strengthening our sales effectiveness, supporting inorganic growth through mergers and acquisitions, improving recruitment capabilities, enhancing market recognition, advancing our technological and automation capabilities and achieving revenue growth targets within specific areas.</w:t>
      </w:r>
    </w:p>
    <w:p>
      <w:pPr>
        <w:spacing w:after="0" w:line="109" w:lineRule="exact"/>
        <w:rPr>
          <w:rFonts w:ascii="Arial" w:cs="Arial" w:eastAsia="Arial" w:hAnsi="Arial"/>
          <w:sz w:val="17"/>
          <w:szCs w:val="17"/>
          <w:color w:val="DD924E"/>
        </w:rPr>
      </w:pPr>
    </w:p>
    <w:p>
      <w:pPr>
        <w:jc w:val="both"/>
        <w:ind w:left="840" w:right="59" w:hanging="345"/>
        <w:spacing w:after="0" w:line="238" w:lineRule="auto"/>
        <w:tabs>
          <w:tab w:leader="none" w:pos="840" w:val="left"/>
        </w:tabs>
        <w:numPr>
          <w:ilvl w:val="0"/>
          <w:numId w:val="73"/>
        </w:numPr>
        <w:rPr>
          <w:rFonts w:ascii="Arial" w:cs="Arial" w:eastAsia="Arial" w:hAnsi="Arial"/>
          <w:sz w:val="17"/>
          <w:szCs w:val="17"/>
          <w:color w:val="DD924E"/>
        </w:rPr>
      </w:pPr>
      <w:r>
        <w:rPr>
          <w:rFonts w:ascii="Arial" w:cs="Arial" w:eastAsia="Arial" w:hAnsi="Arial"/>
          <w:sz w:val="17"/>
          <w:szCs w:val="17"/>
          <w:b w:val="1"/>
          <w:bCs w:val="1"/>
          <w:color w:val="auto"/>
        </w:rPr>
        <w:t xml:space="preserve">Determination of Individual Performance Achievement. </w:t>
      </w:r>
      <w:r>
        <w:rPr>
          <w:rFonts w:ascii="Arial" w:cs="Arial" w:eastAsia="Arial" w:hAnsi="Arial"/>
          <w:sz w:val="17"/>
          <w:szCs w:val="17"/>
          <w:color w:val="auto"/>
        </w:rPr>
        <w:t>Mr. Kapoor made performance assessments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compensation recommendations for Messrs. Chhibbar, Bagai, Srivatsan and Miglani and our Compensation Committee approved the recommendations after reviewing similar considerations for such named executive officers. For Mr. Chhibbar, our Compensation Committee noted his role in aligning business metrics with an effective sales cadence, developing investor relations, and growing the finance and accounting business. For Mr. Bagai, our Compensation Committee noted his contribution in leading the operations of the Company and driving significant cost efficiencies as well as his role in growing margins of operational geographies. For Mr. Srivatsan, our Compensation Committee noted his success in establishing effective sales cadence, building the consulting business, and driving more impactful marketing. For Mr. Miglani, our Compensation Committee noted his contribution in streamlining the organization, enabling the Company with digital capabilities, and enabling leadership development. For Mr. Kapoor, the Compensation Committee noted his contribution in significantly enhancing the leadership capacity, meeting business metric targets, streamlining the organization and, in particular, laying a strong foundation for a digital strategy.</w:t>
      </w:r>
    </w:p>
    <w:p>
      <w:pPr>
        <w:spacing w:after="0" w:line="106" w:lineRule="exact"/>
        <w:rPr>
          <w:rFonts w:ascii="Arial" w:cs="Arial" w:eastAsia="Arial" w:hAnsi="Arial"/>
          <w:sz w:val="17"/>
          <w:szCs w:val="17"/>
          <w:color w:val="DD924E"/>
        </w:rPr>
      </w:pPr>
    </w:p>
    <w:p>
      <w:pPr>
        <w:ind w:left="840" w:right="59" w:hanging="345"/>
        <w:spacing w:after="0" w:line="271" w:lineRule="auto"/>
        <w:tabs>
          <w:tab w:leader="none" w:pos="840" w:val="left"/>
        </w:tabs>
        <w:numPr>
          <w:ilvl w:val="0"/>
          <w:numId w:val="73"/>
        </w:numPr>
        <w:rPr>
          <w:rFonts w:ascii="Arial" w:cs="Arial" w:eastAsia="Arial" w:hAnsi="Arial"/>
          <w:sz w:val="17"/>
          <w:szCs w:val="17"/>
          <w:color w:val="DD924E"/>
        </w:rPr>
      </w:pPr>
      <w:r>
        <w:rPr>
          <w:rFonts w:ascii="Arial" w:cs="Arial" w:eastAsia="Arial" w:hAnsi="Arial"/>
          <w:sz w:val="17"/>
          <w:szCs w:val="17"/>
          <w:b w:val="1"/>
          <w:bCs w:val="1"/>
          <w:color w:val="auto"/>
        </w:rPr>
        <w:t xml:space="preserve">Actual Bonus Payments. </w:t>
      </w:r>
      <w:r>
        <w:rPr>
          <w:rFonts w:ascii="Arial" w:cs="Arial" w:eastAsia="Arial" w:hAnsi="Arial"/>
          <w:sz w:val="17"/>
          <w:szCs w:val="17"/>
          <w:color w:val="auto"/>
        </w:rPr>
        <w:t>The table below sets out the 2017 incentive bonuses paid to our named</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officers in March 2018.</w:t>
      </w:r>
    </w:p>
    <w:p>
      <w:pPr>
        <w:spacing w:after="0" w:line="105" w:lineRule="exact"/>
        <w:rPr>
          <w:sz w:val="20"/>
          <w:szCs w:val="20"/>
          <w:color w:val="auto"/>
        </w:rPr>
      </w:pPr>
    </w:p>
    <w:tbl>
      <w:tblPr>
        <w:tblLayout w:type="fixed"/>
        <w:tblInd w:w="830" w:type="dxa"/>
        <w:tblCellMar>
          <w:top w:w="0" w:type="dxa"/>
          <w:left w:w="0" w:type="dxa"/>
          <w:bottom w:w="0" w:type="dxa"/>
          <w:right w:w="0" w:type="dxa"/>
        </w:tblCellMar>
      </w:tblPr>
      <w:tr>
        <w:trPr>
          <w:trHeight w:val="181"/>
        </w:trPr>
        <w:tc>
          <w:tcPr>
            <w:tcW w:w="80" w:type="dxa"/>
            <w:vAlign w:val="bottom"/>
            <w:tcBorders>
              <w:left w:val="single" w:sz="8" w:color="DD924E"/>
            </w:tcBorders>
            <w:shd w:val="clear" w:color="auto" w:fill="DD924E"/>
          </w:tcPr>
          <w:p>
            <w:pPr>
              <w:spacing w:after="0"/>
              <w:rPr>
                <w:sz w:val="15"/>
                <w:szCs w:val="15"/>
                <w:color w:val="auto"/>
              </w:rPr>
            </w:pPr>
          </w:p>
        </w:tc>
        <w:tc>
          <w:tcPr>
            <w:tcW w:w="326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3360" w:type="dxa"/>
            <w:vAlign w:val="bottom"/>
            <w:tcBorders>
              <w:right w:val="single" w:sz="8" w:color="DD924E"/>
            </w:tcBorders>
            <w:shd w:val="clear" w:color="auto" w:fill="DD924E"/>
          </w:tcPr>
          <w:p>
            <w:pPr>
              <w:jc w:val="center"/>
              <w:ind w:right="32"/>
              <w:spacing w:after="0"/>
              <w:rPr>
                <w:sz w:val="20"/>
                <w:szCs w:val="20"/>
                <w:color w:val="auto"/>
              </w:rPr>
            </w:pPr>
            <w:r>
              <w:rPr>
                <w:rFonts w:ascii="Arial" w:cs="Arial" w:eastAsia="Arial" w:hAnsi="Arial"/>
                <w:sz w:val="14"/>
                <w:szCs w:val="14"/>
                <w:b w:val="1"/>
                <w:bCs w:val="1"/>
                <w:color w:val="FFFFFF"/>
                <w:w w:val="99"/>
              </w:rPr>
              <w:t>Earned 2017</w:t>
            </w:r>
          </w:p>
        </w:tc>
      </w:tr>
      <w:tr>
        <w:trPr>
          <w:trHeight w:val="184"/>
        </w:trPr>
        <w:tc>
          <w:tcPr>
            <w:tcW w:w="80" w:type="dxa"/>
            <w:vAlign w:val="bottom"/>
            <w:tcBorders>
              <w:left w:val="single" w:sz="8" w:color="DD924E"/>
              <w:bottom w:val="single" w:sz="8" w:color="DD924E"/>
            </w:tcBorders>
            <w:shd w:val="clear" w:color="auto" w:fill="DD924E"/>
          </w:tcPr>
          <w:p>
            <w:pPr>
              <w:spacing w:after="0"/>
              <w:rPr>
                <w:sz w:val="15"/>
                <w:szCs w:val="15"/>
                <w:color w:val="auto"/>
              </w:rPr>
            </w:pPr>
          </w:p>
        </w:tc>
        <w:tc>
          <w:tcPr>
            <w:tcW w:w="3260" w:type="dxa"/>
            <w:vAlign w:val="bottom"/>
            <w:tcBorders>
              <w:bottom w:val="single" w:sz="8" w:color="auto"/>
            </w:tcBorders>
            <w:shd w:val="clear" w:color="auto" w:fill="DD924E"/>
          </w:tcPr>
          <w:p>
            <w:pPr>
              <w:ind w:left="1440"/>
              <w:spacing w:after="0"/>
              <w:rPr>
                <w:sz w:val="20"/>
                <w:szCs w:val="20"/>
                <w:color w:val="auto"/>
              </w:rPr>
            </w:pPr>
            <w:r>
              <w:rPr>
                <w:rFonts w:ascii="Arial" w:cs="Arial" w:eastAsia="Arial" w:hAnsi="Arial"/>
                <w:sz w:val="14"/>
                <w:szCs w:val="14"/>
                <w:b w:val="1"/>
                <w:bCs w:val="1"/>
                <w:color w:val="FFFFFF"/>
              </w:rPr>
              <w:t>Name</w:t>
            </w:r>
          </w:p>
        </w:tc>
        <w:tc>
          <w:tcPr>
            <w:tcW w:w="100" w:type="dxa"/>
            <w:vAlign w:val="bottom"/>
            <w:tcBorders>
              <w:bottom w:val="single" w:sz="8" w:color="DD924E"/>
            </w:tcBorders>
            <w:shd w:val="clear" w:color="auto" w:fill="DD924E"/>
          </w:tcPr>
          <w:p>
            <w:pPr>
              <w:spacing w:after="0"/>
              <w:rPr>
                <w:sz w:val="15"/>
                <w:szCs w:val="15"/>
                <w:color w:val="auto"/>
              </w:rPr>
            </w:pPr>
          </w:p>
        </w:tc>
        <w:tc>
          <w:tcPr>
            <w:tcW w:w="3360" w:type="dxa"/>
            <w:vAlign w:val="bottom"/>
            <w:tcBorders>
              <w:bottom w:val="single" w:sz="8" w:color="auto"/>
              <w:right w:val="single" w:sz="8" w:color="DD924E"/>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Incentive Bonus ($)</w:t>
            </w:r>
          </w:p>
        </w:tc>
      </w:tr>
      <w:tr>
        <w:trPr>
          <w:trHeight w:val="244"/>
        </w:trPr>
        <w:tc>
          <w:tcPr>
            <w:tcW w:w="80" w:type="dxa"/>
            <w:vAlign w:val="bottom"/>
            <w:tcBorders>
              <w:left w:val="single" w:sz="8" w:color="DD924E"/>
            </w:tcBorders>
            <w:shd w:val="clear" w:color="auto" w:fill="FBF4ED"/>
          </w:tcPr>
          <w:p>
            <w:pPr>
              <w:spacing w:after="0"/>
              <w:rPr>
                <w:sz w:val="21"/>
                <w:szCs w:val="21"/>
                <w:color w:val="auto"/>
              </w:rPr>
            </w:pPr>
          </w:p>
        </w:tc>
        <w:tc>
          <w:tcPr>
            <w:tcW w:w="3260" w:type="dxa"/>
            <w:vAlign w:val="bottom"/>
            <w:shd w:val="clear" w:color="auto" w:fill="FBF4ED"/>
          </w:tcPr>
          <w:p>
            <w:pPr>
              <w:spacing w:after="0"/>
              <w:rPr>
                <w:sz w:val="20"/>
                <w:szCs w:val="20"/>
                <w:color w:val="auto"/>
              </w:rPr>
            </w:pPr>
            <w:r>
              <w:rPr>
                <w:rFonts w:ascii="Arial" w:cs="Arial" w:eastAsia="Arial" w:hAnsi="Arial"/>
                <w:sz w:val="17"/>
                <w:szCs w:val="17"/>
                <w:color w:val="auto"/>
              </w:rPr>
              <w:t>Rohit Kapoor</w:t>
            </w:r>
          </w:p>
        </w:tc>
        <w:tc>
          <w:tcPr>
            <w:tcW w:w="3460" w:type="dxa"/>
            <w:vAlign w:val="bottom"/>
            <w:tcBorders>
              <w:right w:val="single" w:sz="8" w:color="DD924E"/>
            </w:tcBorders>
            <w:gridSpan w:val="2"/>
            <w:shd w:val="clear" w:color="auto" w:fill="FBF4ED"/>
          </w:tcPr>
          <w:p>
            <w:pPr>
              <w:jc w:val="center"/>
              <w:spacing w:after="0"/>
              <w:rPr>
                <w:sz w:val="20"/>
                <w:szCs w:val="20"/>
                <w:color w:val="auto"/>
              </w:rPr>
            </w:pPr>
            <w:r>
              <w:rPr>
                <w:rFonts w:ascii="Arial" w:cs="Arial" w:eastAsia="Arial" w:hAnsi="Arial"/>
                <w:sz w:val="17"/>
                <w:szCs w:val="17"/>
                <w:color w:val="auto"/>
              </w:rPr>
              <w:t>591,028</w:t>
            </w:r>
          </w:p>
        </w:tc>
      </w:tr>
      <w:tr>
        <w:trPr>
          <w:trHeight w:val="237"/>
        </w:trPr>
        <w:tc>
          <w:tcPr>
            <w:tcW w:w="80" w:type="dxa"/>
            <w:vAlign w:val="bottom"/>
            <w:tcBorders>
              <w:left w:val="single" w:sz="8" w:color="DD924E"/>
            </w:tcBorders>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Vishal Chhibbar</w:t>
            </w:r>
          </w:p>
        </w:tc>
        <w:tc>
          <w:tcPr>
            <w:tcW w:w="3460" w:type="dxa"/>
            <w:vAlign w:val="bottom"/>
            <w:tcBorders>
              <w:right w:val="single" w:sz="8" w:color="DD924E"/>
            </w:tcBorders>
            <w:gridSpan w:val="2"/>
          </w:tcPr>
          <w:p>
            <w:pPr>
              <w:jc w:val="center"/>
              <w:spacing w:after="0"/>
              <w:rPr>
                <w:sz w:val="20"/>
                <w:szCs w:val="20"/>
                <w:color w:val="auto"/>
              </w:rPr>
            </w:pPr>
            <w:r>
              <w:rPr>
                <w:rFonts w:ascii="Arial" w:cs="Arial" w:eastAsia="Arial" w:hAnsi="Arial"/>
                <w:sz w:val="17"/>
                <w:szCs w:val="17"/>
                <w:color w:val="auto"/>
              </w:rPr>
              <w:t>252,608</w:t>
            </w:r>
          </w:p>
        </w:tc>
      </w:tr>
      <w:tr>
        <w:trPr>
          <w:trHeight w:val="251"/>
        </w:trPr>
        <w:tc>
          <w:tcPr>
            <w:tcW w:w="80" w:type="dxa"/>
            <w:vAlign w:val="bottom"/>
            <w:tcBorders>
              <w:left w:val="single" w:sz="8" w:color="DD924E"/>
            </w:tcBorders>
            <w:shd w:val="clear" w:color="auto" w:fill="FBF4ED"/>
          </w:tcPr>
          <w:p>
            <w:pPr>
              <w:spacing w:after="0"/>
              <w:rPr>
                <w:sz w:val="21"/>
                <w:szCs w:val="21"/>
                <w:color w:val="auto"/>
              </w:rPr>
            </w:pPr>
          </w:p>
        </w:tc>
        <w:tc>
          <w:tcPr>
            <w:tcW w:w="3260" w:type="dxa"/>
            <w:vAlign w:val="bottom"/>
            <w:shd w:val="clear" w:color="auto" w:fill="FBF4ED"/>
          </w:tcPr>
          <w:p>
            <w:pPr>
              <w:spacing w:after="0" w:line="250" w:lineRule="exact"/>
              <w:rPr>
                <w:sz w:val="20"/>
                <w:szCs w:val="20"/>
                <w:color w:val="auto"/>
              </w:rPr>
            </w:pPr>
            <w:r>
              <w:rPr>
                <w:rFonts w:ascii="Arial" w:cs="Arial" w:eastAsia="Arial" w:hAnsi="Arial"/>
                <w:sz w:val="17"/>
                <w:szCs w:val="17"/>
                <w:color w:val="auto"/>
              </w:rPr>
              <w:t>Pavan Bagai</w:t>
            </w:r>
            <w:r>
              <w:rPr>
                <w:rFonts w:ascii="Arial" w:cs="Arial" w:eastAsia="Arial" w:hAnsi="Arial"/>
                <w:sz w:val="27"/>
                <w:szCs w:val="27"/>
                <w:color w:val="auto"/>
                <w:vertAlign w:val="superscript"/>
              </w:rPr>
              <w:t>(1)</w:t>
            </w:r>
          </w:p>
        </w:tc>
        <w:tc>
          <w:tcPr>
            <w:tcW w:w="3460" w:type="dxa"/>
            <w:vAlign w:val="bottom"/>
            <w:tcBorders>
              <w:right w:val="single" w:sz="8" w:color="DD924E"/>
            </w:tcBorders>
            <w:gridSpan w:val="2"/>
            <w:shd w:val="clear" w:color="auto" w:fill="FBF4ED"/>
          </w:tcPr>
          <w:p>
            <w:pPr>
              <w:jc w:val="center"/>
              <w:spacing w:after="0"/>
              <w:rPr>
                <w:sz w:val="20"/>
                <w:szCs w:val="20"/>
                <w:color w:val="auto"/>
              </w:rPr>
            </w:pPr>
            <w:r>
              <w:rPr>
                <w:rFonts w:ascii="Arial" w:cs="Arial" w:eastAsia="Arial" w:hAnsi="Arial"/>
                <w:sz w:val="17"/>
                <w:szCs w:val="17"/>
                <w:color w:val="auto"/>
              </w:rPr>
              <w:t>265,561</w:t>
            </w:r>
          </w:p>
        </w:tc>
      </w:tr>
      <w:tr>
        <w:trPr>
          <w:trHeight w:val="237"/>
        </w:trPr>
        <w:tc>
          <w:tcPr>
            <w:tcW w:w="80" w:type="dxa"/>
            <w:vAlign w:val="bottom"/>
            <w:tcBorders>
              <w:left w:val="single" w:sz="8" w:color="DD924E"/>
            </w:tcBorders>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Nagaraja Srivatsan</w:t>
            </w:r>
          </w:p>
        </w:tc>
        <w:tc>
          <w:tcPr>
            <w:tcW w:w="3460" w:type="dxa"/>
            <w:vAlign w:val="bottom"/>
            <w:tcBorders>
              <w:right w:val="single" w:sz="8" w:color="DD924E"/>
            </w:tcBorders>
            <w:gridSpan w:val="2"/>
          </w:tcPr>
          <w:p>
            <w:pPr>
              <w:jc w:val="center"/>
              <w:spacing w:after="0"/>
              <w:rPr>
                <w:sz w:val="20"/>
                <w:szCs w:val="20"/>
                <w:color w:val="auto"/>
              </w:rPr>
            </w:pPr>
            <w:r>
              <w:rPr>
                <w:rFonts w:ascii="Arial" w:cs="Arial" w:eastAsia="Arial" w:hAnsi="Arial"/>
                <w:sz w:val="17"/>
                <w:szCs w:val="17"/>
                <w:color w:val="auto"/>
              </w:rPr>
              <w:t>302,701</w:t>
            </w:r>
          </w:p>
        </w:tc>
      </w:tr>
      <w:tr>
        <w:trPr>
          <w:trHeight w:val="244"/>
        </w:trPr>
        <w:tc>
          <w:tcPr>
            <w:tcW w:w="80" w:type="dxa"/>
            <w:vAlign w:val="bottom"/>
            <w:tcBorders>
              <w:left w:val="single" w:sz="8" w:color="DD924E"/>
              <w:bottom w:val="single" w:sz="8" w:color="DD924E"/>
            </w:tcBorders>
            <w:shd w:val="clear" w:color="auto" w:fill="FBF4ED"/>
          </w:tcPr>
          <w:p>
            <w:pPr>
              <w:spacing w:after="0"/>
              <w:rPr>
                <w:sz w:val="21"/>
                <w:szCs w:val="21"/>
                <w:color w:val="auto"/>
              </w:rPr>
            </w:pPr>
          </w:p>
        </w:tc>
        <w:tc>
          <w:tcPr>
            <w:tcW w:w="3260" w:type="dxa"/>
            <w:vAlign w:val="bottom"/>
            <w:tcBorders>
              <w:bottom w:val="single" w:sz="8" w:color="DD924E"/>
            </w:tcBorders>
            <w:shd w:val="clear" w:color="auto" w:fill="FBF4ED"/>
          </w:tcPr>
          <w:p>
            <w:pPr>
              <w:spacing w:after="0"/>
              <w:rPr>
                <w:sz w:val="20"/>
                <w:szCs w:val="20"/>
                <w:color w:val="auto"/>
              </w:rPr>
            </w:pPr>
            <w:r>
              <w:rPr>
                <w:rFonts w:ascii="Arial" w:cs="Arial" w:eastAsia="Arial" w:hAnsi="Arial"/>
                <w:sz w:val="17"/>
                <w:szCs w:val="17"/>
                <w:color w:val="auto"/>
              </w:rPr>
              <w:t>Nalin Miglani</w:t>
            </w:r>
          </w:p>
        </w:tc>
        <w:tc>
          <w:tcPr>
            <w:tcW w:w="3460" w:type="dxa"/>
            <w:vAlign w:val="bottom"/>
            <w:tcBorders>
              <w:bottom w:val="single" w:sz="8" w:color="DD924E"/>
              <w:right w:val="single" w:sz="8" w:color="DD924E"/>
            </w:tcBorders>
            <w:gridSpan w:val="2"/>
            <w:shd w:val="clear" w:color="auto" w:fill="FBF4ED"/>
          </w:tcPr>
          <w:p>
            <w:pPr>
              <w:jc w:val="center"/>
              <w:spacing w:after="0"/>
              <w:rPr>
                <w:sz w:val="20"/>
                <w:szCs w:val="20"/>
                <w:color w:val="auto"/>
              </w:rPr>
            </w:pPr>
            <w:r>
              <w:rPr>
                <w:rFonts w:ascii="Arial" w:cs="Arial" w:eastAsia="Arial" w:hAnsi="Arial"/>
                <w:sz w:val="17"/>
                <w:szCs w:val="17"/>
                <w:color w:val="auto"/>
              </w:rPr>
              <w:t>249,083</w:t>
            </w:r>
          </w:p>
        </w:tc>
      </w:tr>
    </w:tbl>
    <w:p>
      <w:pPr>
        <w:spacing w:after="0" w:line="140" w:lineRule="exact"/>
        <w:rPr>
          <w:sz w:val="20"/>
          <w:szCs w:val="20"/>
          <w:color w:val="auto"/>
        </w:rPr>
      </w:pPr>
    </w:p>
    <w:p>
      <w:pPr>
        <w:ind w:left="1180" w:right="79" w:hanging="347"/>
        <w:spacing w:after="0" w:line="247" w:lineRule="auto"/>
        <w:tabs>
          <w:tab w:leader="none" w:pos="11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exchange rate used for the bonus conversion from Indian rupees to U.S. dollars for Mr. Bagai was 63.87 INR to 1 USD, which was the exchange rate on December 31, 2017.</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5" w:name="page46"/>
    <w:bookmarkEnd w:id="45"/>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Long-Term Equity Incentives</w:t>
      </w:r>
    </w:p>
    <w:p>
      <w:pPr>
        <w:spacing w:after="0" w:line="145"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The Committee continues to believe that long-term equity awards provide employees with the incentive to stay with us for longer periods of time, which in turn, provides us with greater stability as we grow. These incentives foster the long-term perspective necessary for continued success in our business because the value of the awards is directly linked to long-term stock price performance, and they ensure that our executive officers are properly focused on stockholder value.</w:t>
      </w:r>
    </w:p>
    <w:p>
      <w:pPr>
        <w:spacing w:after="0" w:line="129" w:lineRule="exact"/>
        <w:rPr>
          <w:sz w:val="20"/>
          <w:szCs w:val="20"/>
          <w:color w:val="auto"/>
        </w:rPr>
      </w:pPr>
    </w:p>
    <w:p>
      <w:pPr>
        <w:jc w:val="both"/>
        <w:ind w:left="160" w:right="59"/>
        <w:spacing w:after="0" w:line="238" w:lineRule="auto"/>
        <w:rPr>
          <w:sz w:val="20"/>
          <w:szCs w:val="20"/>
          <w:color w:val="auto"/>
        </w:rPr>
      </w:pPr>
      <w:r>
        <w:rPr>
          <w:rFonts w:ascii="Arial" w:cs="Arial" w:eastAsia="Arial" w:hAnsi="Arial"/>
          <w:sz w:val="17"/>
          <w:szCs w:val="17"/>
          <w:color w:val="auto"/>
        </w:rPr>
        <w:t>Moreover, the Committee favors restricted stock unit awards as these awards offer executives the opportunity to receive shares of our common stock on or shortly following the date that the restrictions lapse. Such awards serve both to reward and retain executives because value is linked to the price of our stock on the date that the restriction lapses, and the executive must generally remain in employment through the date that the restrictions lapse. Restricted stock unit awards provide a significant degree of alignment of interests between our executives and stockholders.</w:t>
      </w:r>
    </w:p>
    <w:p>
      <w:pPr>
        <w:spacing w:after="0" w:line="132"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The Committee also believes that the mix between Time-Vested RSUs and Performance-Vested RSUs provides an appropriate balance between incentivizing our executives to continue their employment with the Company and to ensure they are focused on long-term financial performance and generating stockholder value, which will enable them to realize additional compensation.</w:t>
      </w:r>
    </w:p>
    <w:p>
      <w:pPr>
        <w:spacing w:after="0" w:line="119"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Finally, restricted stock units are potentially less dilutive to stockholders’ equity than stock options because restricted stock awards are full value awards, and our Compensation Committee can award fewer shares than an equivalent value of stock options.</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Fiscal Year 2017 Awards</w:t>
      </w:r>
    </w:p>
    <w:p>
      <w:pPr>
        <w:spacing w:after="0" w:line="162"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Under our equity compensation program, our executive officers received restricted stock units under the 2015 Amendment and Restatement of the 2006 Omnibus Award Plan (the “2015 Plan”). We awarded restricted stock units to all of our named executive officers in the portions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74295</wp:posOffset>
            </wp:positionV>
            <wp:extent cx="5348605" cy="5372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48605" cy="53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40" w:right="59" w:hanging="345"/>
        <w:spacing w:after="0" w:line="247" w:lineRule="auto"/>
        <w:tabs>
          <w:tab w:leader="none" w:pos="840" w:val="left"/>
        </w:tabs>
        <w:numPr>
          <w:ilvl w:val="0"/>
          <w:numId w:val="75"/>
        </w:numPr>
        <w:rPr>
          <w:rFonts w:ascii="Arial" w:cs="Arial" w:eastAsia="Arial" w:hAnsi="Arial"/>
          <w:sz w:val="17"/>
          <w:szCs w:val="17"/>
          <w:color w:val="DD924E"/>
        </w:rPr>
      </w:pPr>
      <w:r>
        <w:rPr>
          <w:rFonts w:ascii="Arial" w:cs="Arial" w:eastAsia="Arial" w:hAnsi="Arial"/>
          <w:sz w:val="17"/>
          <w:szCs w:val="17"/>
          <w:color w:val="auto"/>
        </w:rPr>
        <w:t>The Time-Vested RSUs will vest in increments of 25% on each of the first four anniversaries of the grant date, subject to continuous service with the Company through the applicable vesting date.</w:t>
      </w:r>
    </w:p>
    <w:p>
      <w:pPr>
        <w:spacing w:after="0" w:line="123" w:lineRule="exact"/>
        <w:rPr>
          <w:rFonts w:ascii="Arial" w:cs="Arial" w:eastAsia="Arial" w:hAnsi="Arial"/>
          <w:sz w:val="17"/>
          <w:szCs w:val="17"/>
          <w:color w:val="DD924E"/>
        </w:rPr>
      </w:pPr>
    </w:p>
    <w:p>
      <w:pPr>
        <w:ind w:left="840" w:right="79" w:hanging="345"/>
        <w:spacing w:after="0" w:line="247" w:lineRule="auto"/>
        <w:tabs>
          <w:tab w:leader="none" w:pos="840" w:val="left"/>
        </w:tabs>
        <w:numPr>
          <w:ilvl w:val="0"/>
          <w:numId w:val="75"/>
        </w:numPr>
        <w:rPr>
          <w:rFonts w:ascii="Arial" w:cs="Arial" w:eastAsia="Arial" w:hAnsi="Arial"/>
          <w:sz w:val="17"/>
          <w:szCs w:val="17"/>
          <w:color w:val="DD924E"/>
        </w:rPr>
      </w:pPr>
      <w:r>
        <w:rPr>
          <w:rFonts w:ascii="Arial" w:cs="Arial" w:eastAsia="Arial" w:hAnsi="Arial"/>
          <w:sz w:val="17"/>
          <w:szCs w:val="17"/>
          <w:color w:val="auto"/>
        </w:rPr>
        <w:t>The Committee believes these Time-Vested RSUs provide an important role in promoting retention of our executive officers.</w:t>
      </w:r>
    </w:p>
    <w:p>
      <w:pPr>
        <w:spacing w:after="0" w:line="123" w:lineRule="exact"/>
        <w:rPr>
          <w:rFonts w:ascii="Arial" w:cs="Arial" w:eastAsia="Arial" w:hAnsi="Arial"/>
          <w:sz w:val="17"/>
          <w:szCs w:val="17"/>
          <w:color w:val="DD924E"/>
        </w:rPr>
      </w:pPr>
    </w:p>
    <w:p>
      <w:pPr>
        <w:ind w:left="840" w:right="79" w:hanging="345"/>
        <w:spacing w:after="0" w:line="247" w:lineRule="auto"/>
        <w:tabs>
          <w:tab w:leader="none" w:pos="840" w:val="left"/>
        </w:tabs>
        <w:numPr>
          <w:ilvl w:val="0"/>
          <w:numId w:val="75"/>
        </w:numPr>
        <w:rPr>
          <w:rFonts w:ascii="Arial" w:cs="Arial" w:eastAsia="Arial" w:hAnsi="Arial"/>
          <w:sz w:val="17"/>
          <w:szCs w:val="17"/>
          <w:color w:val="DD924E"/>
        </w:rPr>
      </w:pPr>
      <w:r>
        <w:rPr>
          <w:rFonts w:ascii="Arial" w:cs="Arial" w:eastAsia="Arial" w:hAnsi="Arial"/>
          <w:sz w:val="17"/>
          <w:szCs w:val="17"/>
          <w:color w:val="auto"/>
        </w:rPr>
        <w:t>The “Performance-Vested” portion of the 2017 RSUs (“PRSUs”) are split into two types that each vest based on separate performance measures as follows:</w:t>
      </w:r>
    </w:p>
    <w:p>
      <w:pPr>
        <w:spacing w:after="0" w:line="90" w:lineRule="exact"/>
        <w:rPr>
          <w:rFonts w:ascii="Arial" w:cs="Arial" w:eastAsia="Arial" w:hAnsi="Arial"/>
          <w:sz w:val="17"/>
          <w:szCs w:val="17"/>
          <w:color w:val="DD924E"/>
        </w:rPr>
      </w:pPr>
    </w:p>
    <w:p>
      <w:pPr>
        <w:ind w:left="1180" w:right="59" w:hanging="338"/>
        <w:spacing w:after="0"/>
        <w:rPr>
          <w:rFonts w:ascii="Arial" w:cs="Arial" w:eastAsia="Arial" w:hAnsi="Arial"/>
          <w:sz w:val="17"/>
          <w:szCs w:val="17"/>
          <w:color w:val="DD924E"/>
        </w:rPr>
      </w:pPr>
      <w:r>
        <w:rPr>
          <w:rFonts w:ascii="Arial" w:cs="Arial" w:eastAsia="Arial" w:hAnsi="Arial"/>
          <w:sz w:val="17"/>
          <w:szCs w:val="17"/>
          <w:b w:val="1"/>
          <w:bCs w:val="1"/>
          <w:color w:val="DD924E"/>
        </w:rPr>
        <w:t xml:space="preserve">– </w:t>
      </w:r>
      <w:r>
        <w:rPr>
          <w:rFonts w:ascii="Arial" w:cs="Arial" w:eastAsia="Arial" w:hAnsi="Arial"/>
          <w:sz w:val="17"/>
          <w:szCs w:val="17"/>
          <w:b w:val="1"/>
          <w:bCs w:val="1"/>
          <w:color w:val="000000"/>
        </w:rPr>
        <w:t>Revenue-Linked PRSUs:</w:t>
      </w:r>
      <w:r>
        <w:rPr>
          <w:rFonts w:ascii="Arial" w:cs="Arial" w:eastAsia="Arial" w:hAnsi="Arial"/>
          <w:sz w:val="17"/>
          <w:szCs w:val="17"/>
          <w:b w:val="1"/>
          <w:bCs w:val="1"/>
          <w:color w:val="DD924E"/>
        </w:rPr>
        <w:t xml:space="preserve"> </w:t>
      </w:r>
      <w:r>
        <w:rPr>
          <w:rFonts w:ascii="Arial" w:cs="Arial" w:eastAsia="Arial" w:hAnsi="Arial"/>
          <w:sz w:val="17"/>
          <w:szCs w:val="17"/>
          <w:color w:val="000000"/>
        </w:rPr>
        <w:t>50% of these performance-based restricted stock unit awards will cliff-vest</w:t>
      </w:r>
      <w:r>
        <w:rPr>
          <w:rFonts w:ascii="Arial" w:cs="Arial" w:eastAsia="Arial" w:hAnsi="Arial"/>
          <w:sz w:val="17"/>
          <w:szCs w:val="17"/>
          <w:b w:val="1"/>
          <w:bCs w:val="1"/>
          <w:color w:val="DD924E"/>
        </w:rPr>
        <w:t xml:space="preserve"> </w:t>
      </w:r>
      <w:r>
        <w:rPr>
          <w:rFonts w:ascii="Arial" w:cs="Arial" w:eastAsia="Arial" w:hAnsi="Arial"/>
          <w:sz w:val="17"/>
          <w:szCs w:val="17"/>
          <w:color w:val="000000"/>
        </w:rPr>
        <w:t>on December 31 of the third fiscal year in the performance period, subject to achievement of threshold Company revenues against an aggregate revenue target over the grant’s three year performance period of January 1, 2017 to December 31, 2019 and continuous employment through December 31, 2019 — we call these awards “Revenue-Linked PRSUs.” The Committee selected revenue as the PRSU goal because it is pivotal to achieving our growth objectives, enables a longer term assessment of our performance than the one year calculation in the annual incentive bonus program, and is an important metric for our investors. The ultimate amount of Revenue-Linked PRSUs that a recipient earns may be up to 200% of the target award of Revenue-Linked RSUs. To the extent the Company’s revenue falls in between 90% and 98%, the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6" w:name="page47"/>
    <w:bookmarkEnd w:id="46"/>
    <w:p>
      <w:pPr>
        <w:spacing w:after="0" w:line="58" w:lineRule="exact"/>
        <w:rPr>
          <w:sz w:val="20"/>
          <w:szCs w:val="20"/>
          <w:color w:val="auto"/>
        </w:rPr>
      </w:pPr>
    </w:p>
    <w:p>
      <w:pPr>
        <w:jc w:val="both"/>
        <w:ind w:left="1180" w:right="120"/>
        <w:spacing w:after="0" w:line="238" w:lineRule="auto"/>
        <w:rPr>
          <w:sz w:val="20"/>
          <w:szCs w:val="20"/>
          <w:color w:val="auto"/>
        </w:rPr>
      </w:pPr>
      <w:r>
        <w:rPr>
          <w:rFonts w:ascii="Arial" w:cs="Arial" w:eastAsia="Arial" w:hAnsi="Arial"/>
          <w:sz w:val="17"/>
          <w:szCs w:val="17"/>
          <w:color w:val="auto"/>
        </w:rPr>
        <w:t>percentage of Revenue-Based RSUS earned will be determined based on straight line interpolation calculated using a revenue target range between 90% and 100% and a funding range between 0% and 100%. Likewise, if performance is between 102% and 110%, the percentage of Revenue-Based RSUS earned will be determined based on straight line interpolation calculated using a revenue target range between 100% and 110% and a funding range between 100% and 200%. The chart below sets forth the revenue target achievement thresholds and corresponding funding percentage:</w:t>
      </w:r>
    </w:p>
    <w:p>
      <w:pPr>
        <w:spacing w:after="0" w:line="120" w:lineRule="exact"/>
        <w:rPr>
          <w:sz w:val="20"/>
          <w:szCs w:val="20"/>
          <w:color w:val="auto"/>
        </w:rPr>
      </w:pPr>
    </w:p>
    <w:tbl>
      <w:tblPr>
        <w:tblLayout w:type="fixed"/>
        <w:tblInd w:w="1190" w:type="dxa"/>
        <w:tblCellMar>
          <w:top w:w="0" w:type="dxa"/>
          <w:left w:w="0" w:type="dxa"/>
          <w:bottom w:w="0" w:type="dxa"/>
          <w:right w:w="0" w:type="dxa"/>
        </w:tblCellMar>
      </w:tblPr>
      <w:tr>
        <w:trPr>
          <w:trHeight w:val="211"/>
        </w:trPr>
        <w:tc>
          <w:tcPr>
            <w:tcW w:w="60" w:type="dxa"/>
            <w:vAlign w:val="bottom"/>
            <w:tcBorders>
              <w:left w:val="single" w:sz="8" w:color="DD924E"/>
              <w:bottom w:val="single" w:sz="8" w:color="DD924E"/>
            </w:tcBorders>
            <w:shd w:val="clear" w:color="auto" w:fill="DD924E"/>
          </w:tcPr>
          <w:p>
            <w:pPr>
              <w:spacing w:after="0"/>
              <w:rPr>
                <w:sz w:val="18"/>
                <w:szCs w:val="18"/>
                <w:color w:val="auto"/>
              </w:rPr>
            </w:pPr>
          </w:p>
        </w:tc>
        <w:tc>
          <w:tcPr>
            <w:tcW w:w="304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Revenue Target Achievement</w:t>
            </w:r>
          </w:p>
        </w:tc>
        <w:tc>
          <w:tcPr>
            <w:tcW w:w="120" w:type="dxa"/>
            <w:vAlign w:val="bottom"/>
            <w:tcBorders>
              <w:bottom w:val="single" w:sz="8" w:color="DD924E"/>
            </w:tcBorders>
            <w:shd w:val="clear" w:color="auto" w:fill="DD924E"/>
          </w:tcPr>
          <w:p>
            <w:pPr>
              <w:spacing w:after="0"/>
              <w:rPr>
                <w:sz w:val="18"/>
                <w:szCs w:val="18"/>
                <w:color w:val="auto"/>
              </w:rPr>
            </w:pPr>
          </w:p>
        </w:tc>
        <w:tc>
          <w:tcPr>
            <w:tcW w:w="4580" w:type="dxa"/>
            <w:vAlign w:val="bottom"/>
            <w:tcBorders>
              <w:bottom w:val="single" w:sz="8" w:color="auto"/>
              <w:right w:val="single" w:sz="8" w:color="DD924E"/>
            </w:tcBorders>
            <w:shd w:val="clear" w:color="auto" w:fill="DD924E"/>
          </w:tcPr>
          <w:p>
            <w:pPr>
              <w:ind w:left="1580"/>
              <w:spacing w:after="0"/>
              <w:rPr>
                <w:sz w:val="20"/>
                <w:szCs w:val="20"/>
                <w:color w:val="auto"/>
              </w:rPr>
            </w:pPr>
            <w:r>
              <w:rPr>
                <w:rFonts w:ascii="Arial" w:cs="Arial" w:eastAsia="Arial" w:hAnsi="Arial"/>
                <w:sz w:val="14"/>
                <w:szCs w:val="14"/>
                <w:b w:val="1"/>
                <w:bCs w:val="1"/>
                <w:color w:val="FFFFFF"/>
              </w:rPr>
              <w:t>Funding Percentage</w:t>
            </w:r>
          </w:p>
        </w:tc>
      </w:tr>
      <w:tr>
        <w:trPr>
          <w:trHeight w:val="237"/>
        </w:trPr>
        <w:tc>
          <w:tcPr>
            <w:tcW w:w="60" w:type="dxa"/>
            <w:vAlign w:val="bottom"/>
            <w:tcBorders>
              <w:left w:val="single" w:sz="8" w:color="DD924E"/>
            </w:tcBorders>
          </w:tcPr>
          <w:p>
            <w:pPr>
              <w:spacing w:after="0"/>
              <w:rPr>
                <w:sz w:val="20"/>
                <w:szCs w:val="20"/>
                <w:color w:val="auto"/>
              </w:rPr>
            </w:pPr>
          </w:p>
        </w:tc>
        <w:tc>
          <w:tcPr>
            <w:tcW w:w="3040" w:type="dxa"/>
            <w:vAlign w:val="bottom"/>
          </w:tcPr>
          <w:p>
            <w:pPr>
              <w:jc w:val="center"/>
              <w:spacing w:after="0"/>
              <w:rPr>
                <w:sz w:val="20"/>
                <w:szCs w:val="20"/>
                <w:color w:val="auto"/>
              </w:rPr>
            </w:pPr>
            <w:r>
              <w:rPr>
                <w:rFonts w:ascii="Arial" w:cs="Arial" w:eastAsia="Arial" w:hAnsi="Arial"/>
                <w:sz w:val="17"/>
                <w:szCs w:val="17"/>
                <w:b w:val="1"/>
                <w:bCs w:val="1"/>
                <w:color w:val="auto"/>
              </w:rPr>
              <w:t>110% or more</w:t>
            </w:r>
          </w:p>
        </w:tc>
        <w:tc>
          <w:tcPr>
            <w:tcW w:w="4700" w:type="dxa"/>
            <w:vAlign w:val="bottom"/>
            <w:tcBorders>
              <w:right w:val="single" w:sz="8" w:color="DD924E"/>
            </w:tcBorders>
            <w:gridSpan w:val="2"/>
          </w:tcPr>
          <w:p>
            <w:pPr>
              <w:jc w:val="center"/>
              <w:spacing w:after="0"/>
              <w:rPr>
                <w:sz w:val="20"/>
                <w:szCs w:val="20"/>
                <w:color w:val="auto"/>
              </w:rPr>
            </w:pPr>
            <w:r>
              <w:rPr>
                <w:rFonts w:ascii="Arial" w:cs="Arial" w:eastAsia="Arial" w:hAnsi="Arial"/>
                <w:sz w:val="17"/>
                <w:szCs w:val="17"/>
                <w:color w:val="auto"/>
              </w:rPr>
              <w:t>200%</w:t>
            </w:r>
          </w:p>
        </w:tc>
      </w:tr>
      <w:tr>
        <w:trPr>
          <w:trHeight w:val="251"/>
        </w:trPr>
        <w:tc>
          <w:tcPr>
            <w:tcW w:w="60" w:type="dxa"/>
            <w:vAlign w:val="bottom"/>
            <w:tcBorders>
              <w:left w:val="single" w:sz="8" w:color="DD924E"/>
            </w:tcBorders>
            <w:shd w:val="clear" w:color="auto" w:fill="FBF4ED"/>
          </w:tcPr>
          <w:p>
            <w:pPr>
              <w:spacing w:after="0"/>
              <w:rPr>
                <w:sz w:val="21"/>
                <w:szCs w:val="21"/>
                <w:color w:val="auto"/>
              </w:rPr>
            </w:pPr>
          </w:p>
        </w:tc>
        <w:tc>
          <w:tcPr>
            <w:tcW w:w="3040" w:type="dxa"/>
            <w:vAlign w:val="bottom"/>
            <w:shd w:val="clear" w:color="auto" w:fill="FBF4ED"/>
          </w:tcPr>
          <w:p>
            <w:pPr>
              <w:jc w:val="center"/>
              <w:spacing w:after="0"/>
              <w:rPr>
                <w:sz w:val="20"/>
                <w:szCs w:val="20"/>
                <w:color w:val="auto"/>
              </w:rPr>
            </w:pPr>
            <w:r>
              <w:rPr>
                <w:rFonts w:ascii="Arial" w:cs="Arial" w:eastAsia="Arial" w:hAnsi="Arial"/>
                <w:sz w:val="17"/>
                <w:szCs w:val="17"/>
                <w:b w:val="1"/>
                <w:bCs w:val="1"/>
                <w:color w:val="auto"/>
              </w:rPr>
              <w:t>98% to 102%</w:t>
            </w:r>
          </w:p>
        </w:tc>
        <w:tc>
          <w:tcPr>
            <w:tcW w:w="4700" w:type="dxa"/>
            <w:vAlign w:val="bottom"/>
            <w:tcBorders>
              <w:right w:val="single" w:sz="8" w:color="DD924E"/>
            </w:tcBorders>
            <w:gridSpan w:val="2"/>
            <w:shd w:val="clear" w:color="auto" w:fill="FBF4ED"/>
          </w:tcPr>
          <w:p>
            <w:pPr>
              <w:jc w:val="center"/>
              <w:spacing w:after="0"/>
              <w:rPr>
                <w:sz w:val="20"/>
                <w:szCs w:val="20"/>
                <w:color w:val="auto"/>
              </w:rPr>
            </w:pPr>
            <w:r>
              <w:rPr>
                <w:rFonts w:ascii="Arial" w:cs="Arial" w:eastAsia="Arial" w:hAnsi="Arial"/>
                <w:sz w:val="17"/>
                <w:szCs w:val="17"/>
                <w:color w:val="auto"/>
              </w:rPr>
              <w:t>100%</w:t>
            </w:r>
          </w:p>
        </w:tc>
      </w:tr>
      <w:tr>
        <w:trPr>
          <w:trHeight w:val="237"/>
        </w:trPr>
        <w:tc>
          <w:tcPr>
            <w:tcW w:w="60" w:type="dxa"/>
            <w:vAlign w:val="bottom"/>
            <w:tcBorders>
              <w:left w:val="single" w:sz="8" w:color="DD924E"/>
              <w:bottom w:val="single" w:sz="8" w:color="DD924E"/>
            </w:tcBorders>
          </w:tcPr>
          <w:p>
            <w:pPr>
              <w:spacing w:after="0"/>
              <w:rPr>
                <w:sz w:val="20"/>
                <w:szCs w:val="20"/>
                <w:color w:val="auto"/>
              </w:rPr>
            </w:pPr>
          </w:p>
        </w:tc>
        <w:tc>
          <w:tcPr>
            <w:tcW w:w="3040" w:type="dxa"/>
            <w:vAlign w:val="bottom"/>
            <w:tcBorders>
              <w:bottom w:val="single" w:sz="8" w:color="DD924E"/>
            </w:tcBorders>
          </w:tcPr>
          <w:p>
            <w:pPr>
              <w:jc w:val="center"/>
              <w:spacing w:after="0"/>
              <w:rPr>
                <w:sz w:val="20"/>
                <w:szCs w:val="20"/>
                <w:color w:val="auto"/>
              </w:rPr>
            </w:pPr>
            <w:r>
              <w:rPr>
                <w:rFonts w:ascii="Arial" w:cs="Arial" w:eastAsia="Arial" w:hAnsi="Arial"/>
                <w:sz w:val="17"/>
                <w:szCs w:val="17"/>
                <w:b w:val="1"/>
                <w:bCs w:val="1"/>
                <w:color w:val="auto"/>
              </w:rPr>
              <w:t>90% or less</w:t>
            </w:r>
          </w:p>
        </w:tc>
        <w:tc>
          <w:tcPr>
            <w:tcW w:w="4700" w:type="dxa"/>
            <w:vAlign w:val="bottom"/>
            <w:tcBorders>
              <w:bottom w:val="single" w:sz="8" w:color="DD924E"/>
              <w:right w:val="single" w:sz="8" w:color="DD924E"/>
            </w:tcBorders>
            <w:gridSpan w:val="2"/>
          </w:tcPr>
          <w:p>
            <w:pPr>
              <w:jc w:val="center"/>
              <w:spacing w:after="0"/>
              <w:rPr>
                <w:sz w:val="20"/>
                <w:szCs w:val="20"/>
                <w:color w:val="auto"/>
              </w:rPr>
            </w:pPr>
            <w:r>
              <w:rPr>
                <w:rFonts w:ascii="Arial" w:cs="Arial" w:eastAsia="Arial" w:hAnsi="Arial"/>
                <w:sz w:val="17"/>
                <w:szCs w:val="17"/>
                <w:color w:val="auto"/>
                <w:w w:val="97"/>
              </w:rPr>
              <w:t>0%</w:t>
            </w:r>
          </w:p>
        </w:tc>
      </w:tr>
    </w:tbl>
    <w:p>
      <w:pPr>
        <w:spacing w:after="0" w:line="120" w:lineRule="exact"/>
        <w:rPr>
          <w:sz w:val="20"/>
          <w:szCs w:val="20"/>
          <w:color w:val="auto"/>
        </w:rPr>
      </w:pPr>
    </w:p>
    <w:p>
      <w:pPr>
        <w:ind w:left="1180" w:right="120" w:hanging="338"/>
        <w:spacing w:after="0" w:line="239" w:lineRule="auto"/>
        <w:rPr>
          <w:sz w:val="20"/>
          <w:szCs w:val="20"/>
          <w:color w:val="auto"/>
        </w:rPr>
      </w:pPr>
      <w:r>
        <w:rPr>
          <w:rFonts w:ascii="Arial" w:cs="Arial" w:eastAsia="Arial" w:hAnsi="Arial"/>
          <w:sz w:val="17"/>
          <w:szCs w:val="17"/>
          <w:b w:val="1"/>
          <w:bCs w:val="1"/>
          <w:color w:val="DD924E"/>
        </w:rPr>
        <w:t xml:space="preserve">– </w:t>
      </w:r>
      <w:r>
        <w:rPr>
          <w:rFonts w:ascii="Arial" w:cs="Arial" w:eastAsia="Arial" w:hAnsi="Arial"/>
          <w:sz w:val="17"/>
          <w:szCs w:val="17"/>
          <w:b w:val="1"/>
          <w:bCs w:val="1"/>
          <w:color w:val="000000"/>
        </w:rPr>
        <w:t>Relative TSR-Linked PRSUs:</w:t>
      </w:r>
      <w:r>
        <w:rPr>
          <w:rFonts w:ascii="Arial" w:cs="Arial" w:eastAsia="Arial" w:hAnsi="Arial"/>
          <w:sz w:val="17"/>
          <w:szCs w:val="17"/>
          <w:b w:val="1"/>
          <w:bCs w:val="1"/>
          <w:color w:val="DD924E"/>
        </w:rPr>
        <w:t xml:space="preserve"> </w:t>
      </w:r>
      <w:r>
        <w:rPr>
          <w:rFonts w:ascii="Arial" w:cs="Arial" w:eastAsia="Arial" w:hAnsi="Arial"/>
          <w:sz w:val="17"/>
          <w:szCs w:val="17"/>
          <w:color w:val="000000"/>
        </w:rPr>
        <w:t>The remaining 50% of the performance-based restricted stock unit</w:t>
      </w:r>
      <w:r>
        <w:rPr>
          <w:rFonts w:ascii="Arial" w:cs="Arial" w:eastAsia="Arial" w:hAnsi="Arial"/>
          <w:sz w:val="17"/>
          <w:szCs w:val="17"/>
          <w:b w:val="1"/>
          <w:bCs w:val="1"/>
          <w:color w:val="DD924E"/>
        </w:rPr>
        <w:t xml:space="preserve"> </w:t>
      </w:r>
      <w:r>
        <w:rPr>
          <w:rFonts w:ascii="Arial" w:cs="Arial" w:eastAsia="Arial" w:hAnsi="Arial"/>
          <w:sz w:val="17"/>
          <w:szCs w:val="17"/>
          <w:color w:val="000000"/>
        </w:rPr>
        <w:t>awards cliff-vest on December 31 of the third fiscal year in the performance period, based on the achievement of relative total stockholder return performance of the Company against a peer group over the grant’s three-year performance period of January 1, 2017 to December 31, 2019 and continuous employment through December 31, 2019 — we call these awards “Relative TSR-Linked PRSUs.” The Company’s TSR for the TSR performance period will be computed and then compared to the TSR of the companies in the TSR peer group, which is comprised of the public companies traded on either the NYSE or NASDAQ stock markets in our 8-digit Global Industry Classification Standard sub-industry group. This peer group is broader than the compensation peer group to allow for a more robust market comparison of our TSR performance over the relevant period. For the Relative TSR-Linked PRSUs granted in 2017, the Company included a negative TSR cap. Under the negative TSR cap, if the total stockholder return is negative over the course of the three year performance period, no named executive officer may receive greater than 100% funding of the TSR-Linked PRSUs.</w:t>
      </w:r>
    </w:p>
    <w:p>
      <w:pPr>
        <w:spacing w:after="0" w:line="130" w:lineRule="exact"/>
        <w:rPr>
          <w:sz w:val="20"/>
          <w:szCs w:val="20"/>
          <w:color w:val="auto"/>
        </w:rPr>
      </w:pPr>
    </w:p>
    <w:p>
      <w:pPr>
        <w:jc w:val="both"/>
        <w:ind w:left="1180" w:right="120"/>
        <w:spacing w:after="0" w:line="241" w:lineRule="auto"/>
        <w:rPr>
          <w:sz w:val="20"/>
          <w:szCs w:val="20"/>
          <w:color w:val="auto"/>
        </w:rPr>
      </w:pPr>
      <w:r>
        <w:rPr>
          <w:rFonts w:ascii="Arial" w:cs="Arial" w:eastAsia="Arial" w:hAnsi="Arial"/>
          <w:sz w:val="17"/>
          <w:szCs w:val="17"/>
          <w:color w:val="auto"/>
        </w:rPr>
        <w:t>The percentage of Relative TSR-Linked PRSUs earned will be determined based on straight-line interpolation to the extent the Company’s TSR falls in between the 20th and 80th percentiles, as per the chart below:</w:t>
      </w:r>
    </w:p>
    <w:p>
      <w:pPr>
        <w:spacing w:after="0" w:line="117" w:lineRule="exact"/>
        <w:rPr>
          <w:sz w:val="20"/>
          <w:szCs w:val="20"/>
          <w:color w:val="auto"/>
        </w:rPr>
      </w:pPr>
    </w:p>
    <w:tbl>
      <w:tblPr>
        <w:tblLayout w:type="fixed"/>
        <w:tblInd w:w="1190" w:type="dxa"/>
        <w:tblCellMar>
          <w:top w:w="0" w:type="dxa"/>
          <w:left w:w="0" w:type="dxa"/>
          <w:bottom w:w="0" w:type="dxa"/>
          <w:right w:w="0" w:type="dxa"/>
        </w:tblCellMar>
      </w:tblPr>
      <w:tr>
        <w:trPr>
          <w:trHeight w:val="211"/>
        </w:trPr>
        <w:tc>
          <w:tcPr>
            <w:tcW w:w="60" w:type="dxa"/>
            <w:vAlign w:val="bottom"/>
            <w:tcBorders>
              <w:left w:val="single" w:sz="8" w:color="DD924E"/>
              <w:bottom w:val="single" w:sz="8" w:color="DD924E"/>
            </w:tcBorders>
            <w:shd w:val="clear" w:color="auto" w:fill="DD924E"/>
          </w:tcPr>
          <w:p>
            <w:pPr>
              <w:spacing w:after="0"/>
              <w:rPr>
                <w:sz w:val="18"/>
                <w:szCs w:val="18"/>
                <w:color w:val="auto"/>
              </w:rPr>
            </w:pPr>
          </w:p>
        </w:tc>
        <w:tc>
          <w:tcPr>
            <w:tcW w:w="304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8"/>
              </w:rPr>
              <w:t>TSR Peer Group Percentile</w:t>
            </w:r>
          </w:p>
        </w:tc>
        <w:tc>
          <w:tcPr>
            <w:tcW w:w="120" w:type="dxa"/>
            <w:vAlign w:val="bottom"/>
            <w:tcBorders>
              <w:bottom w:val="single" w:sz="8" w:color="DD924E"/>
            </w:tcBorders>
            <w:shd w:val="clear" w:color="auto" w:fill="DD924E"/>
          </w:tcPr>
          <w:p>
            <w:pPr>
              <w:spacing w:after="0"/>
              <w:rPr>
                <w:sz w:val="18"/>
                <w:szCs w:val="18"/>
                <w:color w:val="auto"/>
              </w:rPr>
            </w:pPr>
          </w:p>
        </w:tc>
        <w:tc>
          <w:tcPr>
            <w:tcW w:w="4580" w:type="dxa"/>
            <w:vAlign w:val="bottom"/>
            <w:tcBorders>
              <w:bottom w:val="single" w:sz="8" w:color="auto"/>
              <w:right w:val="single" w:sz="8" w:color="DD924E"/>
            </w:tcBorders>
            <w:shd w:val="clear" w:color="auto" w:fill="DD924E"/>
          </w:tcPr>
          <w:p>
            <w:pPr>
              <w:ind w:left="620"/>
              <w:spacing w:after="0"/>
              <w:rPr>
                <w:sz w:val="20"/>
                <w:szCs w:val="20"/>
                <w:color w:val="auto"/>
              </w:rPr>
            </w:pPr>
            <w:r>
              <w:rPr>
                <w:rFonts w:ascii="Arial" w:cs="Arial" w:eastAsia="Arial" w:hAnsi="Arial"/>
                <w:sz w:val="14"/>
                <w:szCs w:val="14"/>
                <w:b w:val="1"/>
                <w:bCs w:val="1"/>
                <w:color w:val="FFFFFF"/>
              </w:rPr>
              <w:t>Percentage of Relative TSR-Linked PRSUs Earned</w:t>
            </w:r>
          </w:p>
        </w:tc>
      </w:tr>
      <w:tr>
        <w:trPr>
          <w:trHeight w:val="237"/>
        </w:trPr>
        <w:tc>
          <w:tcPr>
            <w:tcW w:w="60" w:type="dxa"/>
            <w:vAlign w:val="bottom"/>
            <w:tcBorders>
              <w:left w:val="single" w:sz="8" w:color="DD924E"/>
            </w:tcBorders>
          </w:tcPr>
          <w:p>
            <w:pPr>
              <w:spacing w:after="0"/>
              <w:rPr>
                <w:sz w:val="20"/>
                <w:szCs w:val="20"/>
                <w:color w:val="auto"/>
              </w:rPr>
            </w:pPr>
          </w:p>
        </w:tc>
        <w:tc>
          <w:tcPr>
            <w:tcW w:w="3040" w:type="dxa"/>
            <w:vAlign w:val="bottom"/>
          </w:tcPr>
          <w:p>
            <w:pPr>
              <w:jc w:val="center"/>
              <w:spacing w:after="0"/>
              <w:rPr>
                <w:sz w:val="20"/>
                <w:szCs w:val="20"/>
                <w:color w:val="auto"/>
              </w:rPr>
            </w:pPr>
            <w:r>
              <w:rPr>
                <w:rFonts w:ascii="Arial" w:cs="Arial" w:eastAsia="Arial" w:hAnsi="Arial"/>
                <w:sz w:val="17"/>
                <w:szCs w:val="17"/>
                <w:b w:val="1"/>
                <w:bCs w:val="1"/>
                <w:color w:val="auto"/>
                <w:w w:val="98"/>
              </w:rPr>
              <w:t>80.0 or more</w:t>
            </w:r>
          </w:p>
        </w:tc>
        <w:tc>
          <w:tcPr>
            <w:tcW w:w="4700" w:type="dxa"/>
            <w:vAlign w:val="bottom"/>
            <w:tcBorders>
              <w:right w:val="single" w:sz="8" w:color="DD924E"/>
            </w:tcBorders>
            <w:gridSpan w:val="2"/>
          </w:tcPr>
          <w:p>
            <w:pPr>
              <w:jc w:val="center"/>
              <w:spacing w:after="0"/>
              <w:rPr>
                <w:sz w:val="20"/>
                <w:szCs w:val="20"/>
                <w:color w:val="auto"/>
              </w:rPr>
            </w:pPr>
            <w:r>
              <w:rPr>
                <w:rFonts w:ascii="Arial" w:cs="Arial" w:eastAsia="Arial" w:hAnsi="Arial"/>
                <w:sz w:val="17"/>
                <w:szCs w:val="17"/>
                <w:color w:val="auto"/>
              </w:rPr>
              <w:t>200%</w:t>
            </w:r>
          </w:p>
        </w:tc>
      </w:tr>
      <w:tr>
        <w:trPr>
          <w:trHeight w:val="251"/>
        </w:trPr>
        <w:tc>
          <w:tcPr>
            <w:tcW w:w="3100" w:type="dxa"/>
            <w:vAlign w:val="bottom"/>
            <w:tcBorders>
              <w:left w:val="single" w:sz="8" w:color="DD924E"/>
            </w:tcBorders>
            <w:gridSpan w:val="2"/>
            <w:shd w:val="clear" w:color="auto" w:fill="FBF4ED"/>
          </w:tcPr>
          <w:p>
            <w:pPr>
              <w:jc w:val="center"/>
              <w:spacing w:after="0"/>
              <w:rPr>
                <w:sz w:val="20"/>
                <w:szCs w:val="20"/>
                <w:color w:val="auto"/>
              </w:rPr>
            </w:pPr>
            <w:r>
              <w:rPr>
                <w:rFonts w:ascii="Arial" w:cs="Arial" w:eastAsia="Arial" w:hAnsi="Arial"/>
                <w:sz w:val="17"/>
                <w:szCs w:val="17"/>
                <w:b w:val="1"/>
                <w:bCs w:val="1"/>
                <w:color w:val="auto"/>
                <w:w w:val="96"/>
              </w:rPr>
              <w:t>65.0</w:t>
            </w:r>
          </w:p>
        </w:tc>
        <w:tc>
          <w:tcPr>
            <w:tcW w:w="4700" w:type="dxa"/>
            <w:vAlign w:val="bottom"/>
            <w:tcBorders>
              <w:right w:val="single" w:sz="8" w:color="DD924E"/>
            </w:tcBorders>
            <w:gridSpan w:val="2"/>
            <w:shd w:val="clear" w:color="auto" w:fill="FBF4ED"/>
          </w:tcPr>
          <w:p>
            <w:pPr>
              <w:jc w:val="center"/>
              <w:spacing w:after="0"/>
              <w:rPr>
                <w:sz w:val="20"/>
                <w:szCs w:val="20"/>
                <w:color w:val="auto"/>
              </w:rPr>
            </w:pPr>
            <w:r>
              <w:rPr>
                <w:rFonts w:ascii="Arial" w:cs="Arial" w:eastAsia="Arial" w:hAnsi="Arial"/>
                <w:sz w:val="17"/>
                <w:szCs w:val="17"/>
                <w:color w:val="auto"/>
              </w:rPr>
              <w:t>150%</w:t>
            </w:r>
          </w:p>
        </w:tc>
      </w:tr>
      <w:tr>
        <w:trPr>
          <w:trHeight w:val="237"/>
        </w:trPr>
        <w:tc>
          <w:tcPr>
            <w:tcW w:w="3100" w:type="dxa"/>
            <w:vAlign w:val="bottom"/>
            <w:tcBorders>
              <w:left w:val="single" w:sz="8" w:color="DD924E"/>
            </w:tcBorders>
            <w:gridSpan w:val="2"/>
          </w:tcPr>
          <w:p>
            <w:pPr>
              <w:jc w:val="center"/>
              <w:spacing w:after="0"/>
              <w:rPr>
                <w:sz w:val="20"/>
                <w:szCs w:val="20"/>
                <w:color w:val="auto"/>
              </w:rPr>
            </w:pPr>
            <w:r>
              <w:rPr>
                <w:rFonts w:ascii="Arial" w:cs="Arial" w:eastAsia="Arial" w:hAnsi="Arial"/>
                <w:sz w:val="17"/>
                <w:szCs w:val="17"/>
                <w:b w:val="1"/>
                <w:bCs w:val="1"/>
                <w:color w:val="auto"/>
                <w:w w:val="96"/>
              </w:rPr>
              <w:t>50.0</w:t>
            </w:r>
          </w:p>
        </w:tc>
        <w:tc>
          <w:tcPr>
            <w:tcW w:w="4700" w:type="dxa"/>
            <w:vAlign w:val="bottom"/>
            <w:tcBorders>
              <w:right w:val="single" w:sz="8" w:color="DD924E"/>
            </w:tcBorders>
            <w:gridSpan w:val="2"/>
          </w:tcPr>
          <w:p>
            <w:pPr>
              <w:jc w:val="center"/>
              <w:spacing w:after="0"/>
              <w:rPr>
                <w:sz w:val="20"/>
                <w:szCs w:val="20"/>
                <w:color w:val="auto"/>
              </w:rPr>
            </w:pPr>
            <w:r>
              <w:rPr>
                <w:rFonts w:ascii="Arial" w:cs="Arial" w:eastAsia="Arial" w:hAnsi="Arial"/>
                <w:sz w:val="17"/>
                <w:szCs w:val="17"/>
                <w:color w:val="auto"/>
              </w:rPr>
              <w:t>100%</w:t>
            </w:r>
          </w:p>
        </w:tc>
      </w:tr>
      <w:tr>
        <w:trPr>
          <w:trHeight w:val="251"/>
        </w:trPr>
        <w:tc>
          <w:tcPr>
            <w:tcW w:w="3100" w:type="dxa"/>
            <w:vAlign w:val="bottom"/>
            <w:tcBorders>
              <w:left w:val="single" w:sz="8" w:color="DD924E"/>
            </w:tcBorders>
            <w:gridSpan w:val="2"/>
            <w:shd w:val="clear" w:color="auto" w:fill="FBF4ED"/>
          </w:tcPr>
          <w:p>
            <w:pPr>
              <w:jc w:val="center"/>
              <w:spacing w:after="0"/>
              <w:rPr>
                <w:sz w:val="20"/>
                <w:szCs w:val="20"/>
                <w:color w:val="auto"/>
              </w:rPr>
            </w:pPr>
            <w:r>
              <w:rPr>
                <w:rFonts w:ascii="Arial" w:cs="Arial" w:eastAsia="Arial" w:hAnsi="Arial"/>
                <w:sz w:val="17"/>
                <w:szCs w:val="17"/>
                <w:b w:val="1"/>
                <w:bCs w:val="1"/>
                <w:color w:val="auto"/>
                <w:w w:val="96"/>
              </w:rPr>
              <w:t>35.0</w:t>
            </w:r>
          </w:p>
        </w:tc>
        <w:tc>
          <w:tcPr>
            <w:tcW w:w="4700" w:type="dxa"/>
            <w:vAlign w:val="bottom"/>
            <w:tcBorders>
              <w:right w:val="single" w:sz="8" w:color="DD924E"/>
            </w:tcBorders>
            <w:gridSpan w:val="2"/>
            <w:shd w:val="clear" w:color="auto" w:fill="FBF4ED"/>
          </w:tcPr>
          <w:p>
            <w:pPr>
              <w:jc w:val="center"/>
              <w:spacing w:after="0"/>
              <w:rPr>
                <w:sz w:val="20"/>
                <w:szCs w:val="20"/>
                <w:color w:val="auto"/>
              </w:rPr>
            </w:pPr>
            <w:r>
              <w:rPr>
                <w:rFonts w:ascii="Arial" w:cs="Arial" w:eastAsia="Arial" w:hAnsi="Arial"/>
                <w:sz w:val="17"/>
                <w:szCs w:val="17"/>
                <w:color w:val="auto"/>
                <w:w w:val="99"/>
              </w:rPr>
              <w:t>50%</w:t>
            </w:r>
          </w:p>
        </w:tc>
      </w:tr>
      <w:tr>
        <w:trPr>
          <w:trHeight w:val="237"/>
        </w:trPr>
        <w:tc>
          <w:tcPr>
            <w:tcW w:w="60" w:type="dxa"/>
            <w:vAlign w:val="bottom"/>
            <w:tcBorders>
              <w:left w:val="single" w:sz="8" w:color="DD924E"/>
              <w:bottom w:val="single" w:sz="8" w:color="DD924E"/>
            </w:tcBorders>
          </w:tcPr>
          <w:p>
            <w:pPr>
              <w:spacing w:after="0"/>
              <w:rPr>
                <w:sz w:val="20"/>
                <w:szCs w:val="20"/>
                <w:color w:val="auto"/>
              </w:rPr>
            </w:pPr>
          </w:p>
        </w:tc>
        <w:tc>
          <w:tcPr>
            <w:tcW w:w="3040" w:type="dxa"/>
            <w:vAlign w:val="bottom"/>
            <w:tcBorders>
              <w:bottom w:val="single" w:sz="8" w:color="DD924E"/>
            </w:tcBorders>
          </w:tcPr>
          <w:p>
            <w:pPr>
              <w:jc w:val="center"/>
              <w:spacing w:after="0"/>
              <w:rPr>
                <w:sz w:val="20"/>
                <w:szCs w:val="20"/>
                <w:color w:val="auto"/>
              </w:rPr>
            </w:pPr>
            <w:r>
              <w:rPr>
                <w:rFonts w:ascii="Arial" w:cs="Arial" w:eastAsia="Arial" w:hAnsi="Arial"/>
                <w:sz w:val="17"/>
                <w:szCs w:val="17"/>
                <w:b w:val="1"/>
                <w:bCs w:val="1"/>
                <w:color w:val="auto"/>
                <w:w w:val="99"/>
              </w:rPr>
              <w:t>20.0 or less</w:t>
            </w:r>
          </w:p>
        </w:tc>
        <w:tc>
          <w:tcPr>
            <w:tcW w:w="4700" w:type="dxa"/>
            <w:vAlign w:val="bottom"/>
            <w:tcBorders>
              <w:bottom w:val="single" w:sz="8" w:color="DD924E"/>
              <w:right w:val="single" w:sz="8" w:color="DD924E"/>
            </w:tcBorders>
            <w:gridSpan w:val="2"/>
          </w:tcPr>
          <w:p>
            <w:pPr>
              <w:jc w:val="center"/>
              <w:spacing w:after="0"/>
              <w:rPr>
                <w:sz w:val="20"/>
                <w:szCs w:val="20"/>
                <w:color w:val="auto"/>
              </w:rPr>
            </w:pPr>
            <w:r>
              <w:rPr>
                <w:rFonts w:ascii="Arial" w:cs="Arial" w:eastAsia="Arial" w:hAnsi="Arial"/>
                <w:sz w:val="17"/>
                <w:szCs w:val="17"/>
                <w:color w:val="auto"/>
                <w:w w:val="97"/>
              </w:rPr>
              <w:t>0%</w:t>
            </w:r>
          </w:p>
        </w:tc>
      </w:tr>
    </w:tbl>
    <w:p>
      <w:pPr>
        <w:spacing w:after="0" w:line="140" w:lineRule="exact"/>
        <w:rPr>
          <w:sz w:val="20"/>
          <w:szCs w:val="20"/>
          <w:color w:val="auto"/>
        </w:rPr>
      </w:pPr>
    </w:p>
    <w:p>
      <w:pPr>
        <w:ind w:left="840" w:right="120" w:hanging="345"/>
        <w:spacing w:after="0" w:line="247" w:lineRule="auto"/>
        <w:tabs>
          <w:tab w:leader="none" w:pos="840" w:val="left"/>
        </w:tabs>
        <w:numPr>
          <w:ilvl w:val="0"/>
          <w:numId w:val="77"/>
        </w:numPr>
        <w:rPr>
          <w:rFonts w:ascii="Arial" w:cs="Arial" w:eastAsia="Arial" w:hAnsi="Arial"/>
          <w:sz w:val="17"/>
          <w:szCs w:val="17"/>
          <w:color w:val="DD924E"/>
        </w:rPr>
      </w:pPr>
      <w:r>
        <w:rPr>
          <w:rFonts w:ascii="Arial" w:cs="Arial" w:eastAsia="Arial" w:hAnsi="Arial"/>
          <w:sz w:val="17"/>
          <w:szCs w:val="17"/>
          <w:color w:val="auto"/>
        </w:rPr>
        <w:t>The Committee believes the PRSUs focus our executives on key drivers of our Company’s business that will ultimately lead to creation of additional stockholder value.</w:t>
      </w:r>
    </w:p>
    <w:p>
      <w:pPr>
        <w:spacing w:after="0" w:line="123" w:lineRule="exact"/>
        <w:rPr>
          <w:sz w:val="20"/>
          <w:szCs w:val="20"/>
          <w:color w:val="auto"/>
        </w:rPr>
      </w:pPr>
    </w:p>
    <w:p>
      <w:pPr>
        <w:jc w:val="both"/>
        <w:ind w:left="160" w:right="120"/>
        <w:spacing w:after="0" w:line="239" w:lineRule="auto"/>
        <w:rPr>
          <w:sz w:val="20"/>
          <w:szCs w:val="20"/>
          <w:color w:val="auto"/>
        </w:rPr>
      </w:pPr>
      <w:r>
        <w:rPr>
          <w:rFonts w:ascii="Arial" w:cs="Arial" w:eastAsia="Arial" w:hAnsi="Arial"/>
          <w:sz w:val="17"/>
          <w:szCs w:val="17"/>
          <w:color w:val="auto"/>
        </w:rPr>
        <w:t>The table below shows the amount of Time-Vested and Performance-Vested RSUs our Compensation Committee awarded our named executive officers in 2017. In general, the Compensation Committee believes that the size of the award granted to an executive officer should increase based on the executive officer’s level of responsibility within the Company.</w:t>
      </w:r>
    </w:p>
    <w:p>
      <w:pPr>
        <w:spacing w:after="0" w:line="120" w:lineRule="exact"/>
        <w:rPr>
          <w:sz w:val="20"/>
          <w:szCs w:val="20"/>
          <w:color w:val="auto"/>
        </w:rPr>
      </w:pPr>
    </w:p>
    <w:tbl>
      <w:tblPr>
        <w:tblLayout w:type="fixed"/>
        <w:tblInd w:w="170" w:type="dxa"/>
        <w:tblCellMar>
          <w:top w:w="0" w:type="dxa"/>
          <w:left w:w="0" w:type="dxa"/>
          <w:bottom w:w="0" w:type="dxa"/>
          <w:right w:w="0" w:type="dxa"/>
        </w:tblCellMar>
      </w:tblPr>
      <w:tr>
        <w:trPr>
          <w:trHeight w:val="211"/>
        </w:trPr>
        <w:tc>
          <w:tcPr>
            <w:tcW w:w="60" w:type="dxa"/>
            <w:vAlign w:val="bottom"/>
            <w:tcBorders>
              <w:left w:val="single" w:sz="8" w:color="DD924E"/>
              <w:bottom w:val="single" w:sz="8" w:color="DD924E"/>
            </w:tcBorders>
            <w:shd w:val="clear" w:color="auto" w:fill="DD924E"/>
          </w:tcPr>
          <w:p>
            <w:pPr>
              <w:spacing w:after="0"/>
              <w:rPr>
                <w:sz w:val="18"/>
                <w:szCs w:val="18"/>
                <w:color w:val="auto"/>
              </w:rPr>
            </w:pPr>
          </w:p>
        </w:tc>
        <w:tc>
          <w:tcPr>
            <w:tcW w:w="1840" w:type="dxa"/>
            <w:vAlign w:val="bottom"/>
            <w:tcBorders>
              <w:bottom w:val="single" w:sz="8" w:color="auto"/>
            </w:tcBorders>
            <w:shd w:val="clear" w:color="auto" w:fill="DD924E"/>
          </w:tcPr>
          <w:p>
            <w:pPr>
              <w:ind w:left="740"/>
              <w:spacing w:after="0"/>
              <w:rPr>
                <w:sz w:val="20"/>
                <w:szCs w:val="20"/>
                <w:color w:val="auto"/>
              </w:rPr>
            </w:pPr>
            <w:r>
              <w:rPr>
                <w:rFonts w:ascii="Arial" w:cs="Arial" w:eastAsia="Arial" w:hAnsi="Arial"/>
                <w:sz w:val="14"/>
                <w:szCs w:val="14"/>
                <w:b w:val="1"/>
                <w:bCs w:val="1"/>
                <w:color w:val="FFFFFF"/>
              </w:rPr>
              <w:t>Name</w:t>
            </w:r>
          </w:p>
        </w:tc>
        <w:tc>
          <w:tcPr>
            <w:tcW w:w="100" w:type="dxa"/>
            <w:vAlign w:val="bottom"/>
            <w:tcBorders>
              <w:bottom w:val="single" w:sz="8" w:color="DD924E"/>
            </w:tcBorders>
            <w:shd w:val="clear" w:color="auto" w:fill="DD924E"/>
          </w:tcPr>
          <w:p>
            <w:pPr>
              <w:spacing w:after="0"/>
              <w:rPr>
                <w:sz w:val="18"/>
                <w:szCs w:val="18"/>
                <w:color w:val="auto"/>
              </w:rPr>
            </w:pPr>
          </w:p>
        </w:tc>
        <w:tc>
          <w:tcPr>
            <w:tcW w:w="1880" w:type="dxa"/>
            <w:vAlign w:val="bottom"/>
            <w:tcBorders>
              <w:bottom w:val="single" w:sz="8" w:color="auto"/>
            </w:tcBorders>
            <w:shd w:val="clear" w:color="auto" w:fill="DD924E"/>
          </w:tcPr>
          <w:p>
            <w:pPr>
              <w:jc w:val="right"/>
              <w:ind w:right="272"/>
              <w:spacing w:after="0"/>
              <w:rPr>
                <w:sz w:val="20"/>
                <w:szCs w:val="20"/>
                <w:color w:val="auto"/>
              </w:rPr>
            </w:pPr>
            <w:r>
              <w:rPr>
                <w:rFonts w:ascii="Arial" w:cs="Arial" w:eastAsia="Arial" w:hAnsi="Arial"/>
                <w:sz w:val="14"/>
                <w:szCs w:val="14"/>
                <w:b w:val="1"/>
                <w:bCs w:val="1"/>
                <w:color w:val="FFFFFF"/>
              </w:rPr>
              <w:t>Time Vested RSUs</w:t>
            </w:r>
          </w:p>
        </w:tc>
        <w:tc>
          <w:tcPr>
            <w:tcW w:w="100" w:type="dxa"/>
            <w:vAlign w:val="bottom"/>
            <w:tcBorders>
              <w:bottom w:val="single" w:sz="8" w:color="DD924E"/>
            </w:tcBorders>
            <w:shd w:val="clear" w:color="auto" w:fill="DD924E"/>
          </w:tcPr>
          <w:p>
            <w:pPr>
              <w:spacing w:after="0"/>
              <w:rPr>
                <w:sz w:val="18"/>
                <w:szCs w:val="18"/>
                <w:color w:val="auto"/>
              </w:rPr>
            </w:pPr>
          </w:p>
        </w:tc>
        <w:tc>
          <w:tcPr>
            <w:tcW w:w="2260" w:type="dxa"/>
            <w:vAlign w:val="bottom"/>
            <w:tcBorders>
              <w:bottom w:val="single" w:sz="8" w:color="auto"/>
            </w:tcBorders>
            <w:shd w:val="clear" w:color="auto" w:fill="DD924E"/>
          </w:tcPr>
          <w:p>
            <w:pPr>
              <w:jc w:val="right"/>
              <w:ind w:right="292"/>
              <w:spacing w:after="0"/>
              <w:rPr>
                <w:sz w:val="20"/>
                <w:szCs w:val="20"/>
                <w:color w:val="auto"/>
              </w:rPr>
            </w:pPr>
            <w:r>
              <w:rPr>
                <w:rFonts w:ascii="Arial" w:cs="Arial" w:eastAsia="Arial" w:hAnsi="Arial"/>
                <w:sz w:val="14"/>
                <w:szCs w:val="14"/>
                <w:b w:val="1"/>
                <w:bCs w:val="1"/>
                <w:color w:val="FFFFFF"/>
              </w:rPr>
              <w:t>Revenue-Linked PRSUs</w:t>
            </w:r>
          </w:p>
        </w:tc>
        <w:tc>
          <w:tcPr>
            <w:tcW w:w="100" w:type="dxa"/>
            <w:vAlign w:val="bottom"/>
            <w:tcBorders>
              <w:bottom w:val="single" w:sz="8" w:color="DD924E"/>
            </w:tcBorders>
            <w:shd w:val="clear" w:color="auto" w:fill="DD924E"/>
          </w:tcPr>
          <w:p>
            <w:pPr>
              <w:spacing w:after="0"/>
              <w:rPr>
                <w:sz w:val="18"/>
                <w:szCs w:val="18"/>
                <w:color w:val="auto"/>
              </w:rPr>
            </w:pPr>
          </w:p>
        </w:tc>
        <w:tc>
          <w:tcPr>
            <w:tcW w:w="2580" w:type="dxa"/>
            <w:vAlign w:val="bottom"/>
            <w:tcBorders>
              <w:bottom w:val="single" w:sz="8" w:color="auto"/>
              <w:right w:val="single" w:sz="8" w:color="DD924E"/>
            </w:tcBorders>
            <w:shd w:val="clear" w:color="auto" w:fill="DD924E"/>
          </w:tcPr>
          <w:p>
            <w:pPr>
              <w:jc w:val="right"/>
              <w:ind w:right="352"/>
              <w:spacing w:after="0"/>
              <w:rPr>
                <w:sz w:val="20"/>
                <w:szCs w:val="20"/>
                <w:color w:val="auto"/>
              </w:rPr>
            </w:pPr>
            <w:r>
              <w:rPr>
                <w:rFonts w:ascii="Arial" w:cs="Arial" w:eastAsia="Arial" w:hAnsi="Arial"/>
                <w:sz w:val="14"/>
                <w:szCs w:val="14"/>
                <w:b w:val="1"/>
                <w:bCs w:val="1"/>
                <w:color w:val="FFFFFF"/>
              </w:rPr>
              <w:t>Relative TSR-Linked PRSUs</w:t>
            </w:r>
          </w:p>
        </w:tc>
      </w:tr>
      <w:tr>
        <w:trPr>
          <w:trHeight w:val="237"/>
        </w:trPr>
        <w:tc>
          <w:tcPr>
            <w:tcW w:w="1900" w:type="dxa"/>
            <w:vAlign w:val="bottom"/>
            <w:tcBorders>
              <w:left w:val="single" w:sz="8" w:color="DD924E"/>
            </w:tcBorders>
            <w:gridSpan w:val="2"/>
          </w:tcPr>
          <w:p>
            <w:pPr>
              <w:ind w:left="60"/>
              <w:spacing w:after="0"/>
              <w:rPr>
                <w:sz w:val="20"/>
                <w:szCs w:val="20"/>
                <w:color w:val="auto"/>
              </w:rPr>
            </w:pPr>
            <w:r>
              <w:rPr>
                <w:rFonts w:ascii="Arial" w:cs="Arial" w:eastAsia="Arial" w:hAnsi="Arial"/>
                <w:sz w:val="17"/>
                <w:szCs w:val="17"/>
                <w:color w:val="auto"/>
              </w:rPr>
              <w:t>Rohit Kapoor</w:t>
            </w:r>
          </w:p>
        </w:tc>
        <w:tc>
          <w:tcPr>
            <w:tcW w:w="1980" w:type="dxa"/>
            <w:vAlign w:val="bottom"/>
            <w:gridSpan w:val="2"/>
          </w:tcPr>
          <w:p>
            <w:pPr>
              <w:jc w:val="right"/>
              <w:ind w:right="612"/>
              <w:spacing w:after="0"/>
              <w:rPr>
                <w:sz w:val="20"/>
                <w:szCs w:val="20"/>
                <w:color w:val="auto"/>
              </w:rPr>
            </w:pPr>
            <w:r>
              <w:rPr>
                <w:rFonts w:ascii="Arial" w:cs="Arial" w:eastAsia="Arial" w:hAnsi="Arial"/>
                <w:sz w:val="17"/>
                <w:szCs w:val="17"/>
                <w:color w:val="auto"/>
              </w:rPr>
              <w:t>31,889</w:t>
            </w:r>
          </w:p>
        </w:tc>
        <w:tc>
          <w:tcPr>
            <w:tcW w:w="2360" w:type="dxa"/>
            <w:vAlign w:val="bottom"/>
            <w:gridSpan w:val="2"/>
          </w:tcPr>
          <w:p>
            <w:pPr>
              <w:jc w:val="right"/>
              <w:ind w:right="812"/>
              <w:spacing w:after="0"/>
              <w:rPr>
                <w:sz w:val="20"/>
                <w:szCs w:val="20"/>
                <w:color w:val="auto"/>
              </w:rPr>
            </w:pPr>
            <w:r>
              <w:rPr>
                <w:rFonts w:ascii="Arial" w:cs="Arial" w:eastAsia="Arial" w:hAnsi="Arial"/>
                <w:sz w:val="17"/>
                <w:szCs w:val="17"/>
                <w:color w:val="auto"/>
              </w:rPr>
              <w:t>15,945</w:t>
            </w:r>
          </w:p>
        </w:tc>
        <w:tc>
          <w:tcPr>
            <w:tcW w:w="2680" w:type="dxa"/>
            <w:vAlign w:val="bottom"/>
            <w:tcBorders>
              <w:right w:val="single" w:sz="8" w:color="DD924E"/>
            </w:tcBorders>
            <w:gridSpan w:val="2"/>
          </w:tcPr>
          <w:p>
            <w:pPr>
              <w:jc w:val="right"/>
              <w:ind w:right="1012"/>
              <w:spacing w:after="0"/>
              <w:rPr>
                <w:sz w:val="20"/>
                <w:szCs w:val="20"/>
                <w:color w:val="auto"/>
              </w:rPr>
            </w:pPr>
            <w:r>
              <w:rPr>
                <w:rFonts w:ascii="Arial" w:cs="Arial" w:eastAsia="Arial" w:hAnsi="Arial"/>
                <w:sz w:val="17"/>
                <w:szCs w:val="17"/>
                <w:color w:val="auto"/>
              </w:rPr>
              <w:t>15,944</w:t>
            </w:r>
          </w:p>
        </w:tc>
      </w:tr>
      <w:tr>
        <w:trPr>
          <w:trHeight w:val="251"/>
        </w:trPr>
        <w:tc>
          <w:tcPr>
            <w:tcW w:w="190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7"/>
                <w:szCs w:val="17"/>
                <w:color w:val="auto"/>
              </w:rPr>
              <w:t>Vishal Chhibbar</w:t>
            </w:r>
          </w:p>
        </w:tc>
        <w:tc>
          <w:tcPr>
            <w:tcW w:w="1980" w:type="dxa"/>
            <w:vAlign w:val="bottom"/>
            <w:gridSpan w:val="2"/>
            <w:shd w:val="clear" w:color="auto" w:fill="FBF4ED"/>
          </w:tcPr>
          <w:p>
            <w:pPr>
              <w:jc w:val="right"/>
              <w:ind w:right="612"/>
              <w:spacing w:after="0"/>
              <w:rPr>
                <w:sz w:val="20"/>
                <w:szCs w:val="20"/>
                <w:color w:val="auto"/>
              </w:rPr>
            </w:pPr>
            <w:r>
              <w:rPr>
                <w:rFonts w:ascii="Arial" w:cs="Arial" w:eastAsia="Arial" w:hAnsi="Arial"/>
                <w:sz w:val="17"/>
                <w:szCs w:val="17"/>
                <w:color w:val="auto"/>
              </w:rPr>
              <w:t>7,275</w:t>
            </w:r>
          </w:p>
        </w:tc>
        <w:tc>
          <w:tcPr>
            <w:tcW w:w="2360" w:type="dxa"/>
            <w:vAlign w:val="bottom"/>
            <w:gridSpan w:val="2"/>
            <w:shd w:val="clear" w:color="auto" w:fill="FBF4ED"/>
          </w:tcPr>
          <w:p>
            <w:pPr>
              <w:jc w:val="right"/>
              <w:ind w:right="812"/>
              <w:spacing w:after="0"/>
              <w:rPr>
                <w:sz w:val="20"/>
                <w:szCs w:val="20"/>
                <w:color w:val="auto"/>
              </w:rPr>
            </w:pPr>
            <w:r>
              <w:rPr>
                <w:rFonts w:ascii="Arial" w:cs="Arial" w:eastAsia="Arial" w:hAnsi="Arial"/>
                <w:sz w:val="17"/>
                <w:szCs w:val="17"/>
                <w:color w:val="auto"/>
              </w:rPr>
              <w:t>3,638</w:t>
            </w:r>
          </w:p>
        </w:tc>
        <w:tc>
          <w:tcPr>
            <w:tcW w:w="2680" w:type="dxa"/>
            <w:vAlign w:val="bottom"/>
            <w:tcBorders>
              <w:right w:val="single" w:sz="8" w:color="DD924E"/>
            </w:tcBorders>
            <w:gridSpan w:val="2"/>
            <w:shd w:val="clear" w:color="auto" w:fill="FBF4ED"/>
          </w:tcPr>
          <w:p>
            <w:pPr>
              <w:jc w:val="right"/>
              <w:ind w:right="1012"/>
              <w:spacing w:after="0"/>
              <w:rPr>
                <w:sz w:val="20"/>
                <w:szCs w:val="20"/>
                <w:color w:val="auto"/>
              </w:rPr>
            </w:pPr>
            <w:r>
              <w:rPr>
                <w:rFonts w:ascii="Arial" w:cs="Arial" w:eastAsia="Arial" w:hAnsi="Arial"/>
                <w:sz w:val="17"/>
                <w:szCs w:val="17"/>
                <w:color w:val="auto"/>
              </w:rPr>
              <w:t>3,637</w:t>
            </w:r>
          </w:p>
        </w:tc>
      </w:tr>
      <w:tr>
        <w:trPr>
          <w:trHeight w:val="237"/>
        </w:trPr>
        <w:tc>
          <w:tcPr>
            <w:tcW w:w="1900" w:type="dxa"/>
            <w:vAlign w:val="bottom"/>
            <w:tcBorders>
              <w:left w:val="single" w:sz="8" w:color="DD924E"/>
            </w:tcBorders>
            <w:gridSpan w:val="2"/>
          </w:tcPr>
          <w:p>
            <w:pPr>
              <w:ind w:left="60"/>
              <w:spacing w:after="0"/>
              <w:rPr>
                <w:sz w:val="20"/>
                <w:szCs w:val="20"/>
                <w:color w:val="auto"/>
              </w:rPr>
            </w:pPr>
            <w:r>
              <w:rPr>
                <w:rFonts w:ascii="Arial" w:cs="Arial" w:eastAsia="Arial" w:hAnsi="Arial"/>
                <w:sz w:val="17"/>
                <w:szCs w:val="17"/>
                <w:color w:val="auto"/>
              </w:rPr>
              <w:t>Pavan Bagai</w:t>
            </w:r>
          </w:p>
        </w:tc>
        <w:tc>
          <w:tcPr>
            <w:tcW w:w="1980" w:type="dxa"/>
            <w:vAlign w:val="bottom"/>
            <w:gridSpan w:val="2"/>
          </w:tcPr>
          <w:p>
            <w:pPr>
              <w:jc w:val="right"/>
              <w:ind w:right="612"/>
              <w:spacing w:after="0"/>
              <w:rPr>
                <w:sz w:val="20"/>
                <w:szCs w:val="20"/>
                <w:color w:val="auto"/>
              </w:rPr>
            </w:pPr>
            <w:r>
              <w:rPr>
                <w:rFonts w:ascii="Arial" w:cs="Arial" w:eastAsia="Arial" w:hAnsi="Arial"/>
                <w:sz w:val="17"/>
                <w:szCs w:val="17"/>
                <w:color w:val="auto"/>
              </w:rPr>
              <w:t>11,500</w:t>
            </w:r>
          </w:p>
        </w:tc>
        <w:tc>
          <w:tcPr>
            <w:tcW w:w="2360" w:type="dxa"/>
            <w:vAlign w:val="bottom"/>
            <w:gridSpan w:val="2"/>
          </w:tcPr>
          <w:p>
            <w:pPr>
              <w:jc w:val="right"/>
              <w:ind w:right="812"/>
              <w:spacing w:after="0"/>
              <w:rPr>
                <w:sz w:val="20"/>
                <w:szCs w:val="20"/>
                <w:color w:val="auto"/>
              </w:rPr>
            </w:pPr>
            <w:r>
              <w:rPr>
                <w:rFonts w:ascii="Arial" w:cs="Arial" w:eastAsia="Arial" w:hAnsi="Arial"/>
                <w:sz w:val="17"/>
                <w:szCs w:val="17"/>
                <w:color w:val="auto"/>
              </w:rPr>
              <w:t>5,750</w:t>
            </w:r>
          </w:p>
        </w:tc>
        <w:tc>
          <w:tcPr>
            <w:tcW w:w="2680" w:type="dxa"/>
            <w:vAlign w:val="bottom"/>
            <w:tcBorders>
              <w:right w:val="single" w:sz="8" w:color="DD924E"/>
            </w:tcBorders>
            <w:gridSpan w:val="2"/>
          </w:tcPr>
          <w:p>
            <w:pPr>
              <w:jc w:val="right"/>
              <w:ind w:right="1012"/>
              <w:spacing w:after="0"/>
              <w:rPr>
                <w:sz w:val="20"/>
                <w:szCs w:val="20"/>
                <w:color w:val="auto"/>
              </w:rPr>
            </w:pPr>
            <w:r>
              <w:rPr>
                <w:rFonts w:ascii="Arial" w:cs="Arial" w:eastAsia="Arial" w:hAnsi="Arial"/>
                <w:sz w:val="17"/>
                <w:szCs w:val="17"/>
                <w:color w:val="auto"/>
              </w:rPr>
              <w:t>5,750</w:t>
            </w:r>
          </w:p>
        </w:tc>
      </w:tr>
      <w:tr>
        <w:trPr>
          <w:trHeight w:val="251"/>
        </w:trPr>
        <w:tc>
          <w:tcPr>
            <w:tcW w:w="190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7"/>
                <w:szCs w:val="17"/>
                <w:color w:val="auto"/>
              </w:rPr>
              <w:t>Nagaraja Srivatsan</w:t>
            </w:r>
          </w:p>
        </w:tc>
        <w:tc>
          <w:tcPr>
            <w:tcW w:w="1980" w:type="dxa"/>
            <w:vAlign w:val="bottom"/>
            <w:gridSpan w:val="2"/>
            <w:shd w:val="clear" w:color="auto" w:fill="FBF4ED"/>
          </w:tcPr>
          <w:p>
            <w:pPr>
              <w:jc w:val="right"/>
              <w:ind w:right="612"/>
              <w:spacing w:after="0"/>
              <w:rPr>
                <w:sz w:val="20"/>
                <w:szCs w:val="20"/>
                <w:color w:val="auto"/>
              </w:rPr>
            </w:pPr>
            <w:r>
              <w:rPr>
                <w:rFonts w:ascii="Arial" w:cs="Arial" w:eastAsia="Arial" w:hAnsi="Arial"/>
                <w:sz w:val="17"/>
                <w:szCs w:val="17"/>
                <w:color w:val="auto"/>
              </w:rPr>
              <w:t>6,600</w:t>
            </w:r>
          </w:p>
        </w:tc>
        <w:tc>
          <w:tcPr>
            <w:tcW w:w="2360" w:type="dxa"/>
            <w:vAlign w:val="bottom"/>
            <w:gridSpan w:val="2"/>
            <w:shd w:val="clear" w:color="auto" w:fill="FBF4ED"/>
          </w:tcPr>
          <w:p>
            <w:pPr>
              <w:jc w:val="right"/>
              <w:ind w:right="812"/>
              <w:spacing w:after="0"/>
              <w:rPr>
                <w:sz w:val="20"/>
                <w:szCs w:val="20"/>
                <w:color w:val="auto"/>
              </w:rPr>
            </w:pPr>
            <w:r>
              <w:rPr>
                <w:rFonts w:ascii="Arial" w:cs="Arial" w:eastAsia="Arial" w:hAnsi="Arial"/>
                <w:sz w:val="17"/>
                <w:szCs w:val="17"/>
                <w:color w:val="auto"/>
              </w:rPr>
              <w:t>3,300</w:t>
            </w:r>
          </w:p>
        </w:tc>
        <w:tc>
          <w:tcPr>
            <w:tcW w:w="2680" w:type="dxa"/>
            <w:vAlign w:val="bottom"/>
            <w:tcBorders>
              <w:right w:val="single" w:sz="8" w:color="DD924E"/>
            </w:tcBorders>
            <w:gridSpan w:val="2"/>
            <w:shd w:val="clear" w:color="auto" w:fill="FBF4ED"/>
          </w:tcPr>
          <w:p>
            <w:pPr>
              <w:jc w:val="right"/>
              <w:ind w:right="1012"/>
              <w:spacing w:after="0"/>
              <w:rPr>
                <w:sz w:val="20"/>
                <w:szCs w:val="20"/>
                <w:color w:val="auto"/>
              </w:rPr>
            </w:pPr>
            <w:r>
              <w:rPr>
                <w:rFonts w:ascii="Arial" w:cs="Arial" w:eastAsia="Arial" w:hAnsi="Arial"/>
                <w:sz w:val="17"/>
                <w:szCs w:val="17"/>
                <w:color w:val="auto"/>
              </w:rPr>
              <w:t>3,300</w:t>
            </w:r>
          </w:p>
        </w:tc>
      </w:tr>
      <w:tr>
        <w:trPr>
          <w:trHeight w:val="237"/>
        </w:trPr>
        <w:tc>
          <w:tcPr>
            <w:tcW w:w="1900" w:type="dxa"/>
            <w:vAlign w:val="bottom"/>
            <w:tcBorders>
              <w:left w:val="single" w:sz="8" w:color="DD924E"/>
              <w:bottom w:val="single" w:sz="8" w:color="DD924E"/>
            </w:tcBorders>
            <w:gridSpan w:val="2"/>
          </w:tcPr>
          <w:p>
            <w:pPr>
              <w:ind w:left="60"/>
              <w:spacing w:after="0"/>
              <w:rPr>
                <w:sz w:val="20"/>
                <w:szCs w:val="20"/>
                <w:color w:val="auto"/>
              </w:rPr>
            </w:pPr>
            <w:r>
              <w:rPr>
                <w:rFonts w:ascii="Arial" w:cs="Arial" w:eastAsia="Arial" w:hAnsi="Arial"/>
                <w:sz w:val="17"/>
                <w:szCs w:val="17"/>
                <w:color w:val="auto"/>
              </w:rPr>
              <w:t>Nalin Miglani</w:t>
            </w:r>
          </w:p>
        </w:tc>
        <w:tc>
          <w:tcPr>
            <w:tcW w:w="1980" w:type="dxa"/>
            <w:vAlign w:val="bottom"/>
            <w:tcBorders>
              <w:bottom w:val="single" w:sz="8" w:color="DD924E"/>
            </w:tcBorders>
            <w:gridSpan w:val="2"/>
          </w:tcPr>
          <w:p>
            <w:pPr>
              <w:jc w:val="right"/>
              <w:ind w:right="612"/>
              <w:spacing w:after="0"/>
              <w:rPr>
                <w:sz w:val="20"/>
                <w:szCs w:val="20"/>
                <w:color w:val="auto"/>
              </w:rPr>
            </w:pPr>
            <w:r>
              <w:rPr>
                <w:rFonts w:ascii="Arial" w:cs="Arial" w:eastAsia="Arial" w:hAnsi="Arial"/>
                <w:sz w:val="17"/>
                <w:szCs w:val="17"/>
                <w:color w:val="auto"/>
              </w:rPr>
              <w:t>7,150</w:t>
            </w:r>
          </w:p>
        </w:tc>
        <w:tc>
          <w:tcPr>
            <w:tcW w:w="2360" w:type="dxa"/>
            <w:vAlign w:val="bottom"/>
            <w:tcBorders>
              <w:bottom w:val="single" w:sz="8" w:color="DD924E"/>
            </w:tcBorders>
            <w:gridSpan w:val="2"/>
          </w:tcPr>
          <w:p>
            <w:pPr>
              <w:jc w:val="right"/>
              <w:ind w:right="812"/>
              <w:spacing w:after="0"/>
              <w:rPr>
                <w:sz w:val="20"/>
                <w:szCs w:val="20"/>
                <w:color w:val="auto"/>
              </w:rPr>
            </w:pPr>
            <w:r>
              <w:rPr>
                <w:rFonts w:ascii="Arial" w:cs="Arial" w:eastAsia="Arial" w:hAnsi="Arial"/>
                <w:sz w:val="17"/>
                <w:szCs w:val="17"/>
                <w:color w:val="auto"/>
              </w:rPr>
              <w:t>3,575</w:t>
            </w:r>
          </w:p>
        </w:tc>
        <w:tc>
          <w:tcPr>
            <w:tcW w:w="2680" w:type="dxa"/>
            <w:vAlign w:val="bottom"/>
            <w:tcBorders>
              <w:bottom w:val="single" w:sz="8" w:color="DD924E"/>
              <w:right w:val="single" w:sz="8" w:color="DD924E"/>
            </w:tcBorders>
            <w:gridSpan w:val="2"/>
          </w:tcPr>
          <w:p>
            <w:pPr>
              <w:jc w:val="right"/>
              <w:ind w:right="1012"/>
              <w:spacing w:after="0"/>
              <w:rPr>
                <w:sz w:val="20"/>
                <w:szCs w:val="20"/>
                <w:color w:val="auto"/>
              </w:rPr>
            </w:pPr>
            <w:r>
              <w:rPr>
                <w:rFonts w:ascii="Arial" w:cs="Arial" w:eastAsia="Arial" w:hAnsi="Arial"/>
                <w:sz w:val="17"/>
                <w:szCs w:val="17"/>
                <w:color w:val="auto"/>
              </w:rPr>
              <w:t>3,575</w:t>
            </w:r>
          </w:p>
        </w:tc>
      </w:tr>
    </w:tbl>
    <w:p>
      <w:pPr>
        <w:spacing w:after="0" w:line="200" w:lineRule="exact"/>
        <w:rPr>
          <w:sz w:val="20"/>
          <w:szCs w:val="20"/>
          <w:color w:val="auto"/>
        </w:rPr>
      </w:pPr>
    </w:p>
    <w:p>
      <w:pPr>
        <w:sectPr>
          <w:pgSz w:w="11900" w:h="16838" w:orient="portrait"/>
          <w:cols w:equalWidth="0" w:num="1">
            <w:col w:w="9080"/>
          </w:cols>
          <w:pgMar w:left="1440" w:top="1440"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80"/>
          </w:cols>
          <w:pgMar w:left="1440" w:top="1440" w:right="1379" w:bottom="1440" w:gutter="0" w:footer="0" w:header="0"/>
          <w:type w:val="continuous"/>
        </w:sectPr>
      </w:pPr>
    </w:p>
    <w:bookmarkStart w:id="47" w:name="page48"/>
    <w:bookmarkEnd w:id="47"/>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Payout of Awards Granted in Prior Fiscal Years</w:t>
      </w:r>
    </w:p>
    <w:p>
      <w:pPr>
        <w:spacing w:after="0" w:line="149"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This was the third and final performance year for the 2015 performance-based restricted stock units. We achieved 98.3% of the revenue target for the revenue-linked restricted stock units resulting in 82.9% of target funding of those grants. The Company’s TSR performance was at the 93rd percentile amongst its peer group, resulting in the executives earning 200% of the 2015 relative TSR-linked restricted stock units pursuant to the terms of the original grant.</w:t>
      </w:r>
    </w:p>
    <w:p>
      <w:pPr>
        <w:spacing w:after="0" w:line="129" w:lineRule="exact"/>
        <w:rPr>
          <w:sz w:val="20"/>
          <w:szCs w:val="20"/>
          <w:color w:val="auto"/>
        </w:rPr>
      </w:pPr>
    </w:p>
    <w:p>
      <w:pPr>
        <w:jc w:val="both"/>
        <w:ind w:left="160" w:right="59"/>
        <w:spacing w:after="0" w:line="238" w:lineRule="auto"/>
        <w:rPr>
          <w:sz w:val="20"/>
          <w:szCs w:val="20"/>
          <w:color w:val="auto"/>
        </w:rPr>
      </w:pPr>
      <w:r>
        <w:rPr>
          <w:rFonts w:ascii="Arial" w:cs="Arial" w:eastAsia="Arial" w:hAnsi="Arial"/>
          <w:sz w:val="17"/>
          <w:szCs w:val="17"/>
          <w:color w:val="auto"/>
        </w:rPr>
        <w:t>Pursuant to the terms of our 2006 Omnibus Award Plan (the “2006 Plan”), Mr. Kapoor received a Stock Price Performance Award in the second quarter of 2015 that he could earn based on the Company’s average stock price exceeding certain targets during the 60 day period prior to December 31, 2017 (target and maximum annual stock price growth were 10% and 21%, respectively) and contingent upon his continuous service through that date. Because of the significant increase in our stock price over the three-year performance period as referenced in the total stockholder return chart on page 30 above, the amount of PRSUs Mr. Kapoor ultimately received was 200% of his Target Award, based on actual performance.</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Benefits and Perquisites</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We offer employee benefits coverage in order to:</w:t>
      </w:r>
    </w:p>
    <w:p>
      <w:pPr>
        <w:spacing w:after="0" w:line="138" w:lineRule="exact"/>
        <w:rPr>
          <w:sz w:val="20"/>
          <w:szCs w:val="20"/>
          <w:color w:val="auto"/>
        </w:rPr>
      </w:pPr>
    </w:p>
    <w:p>
      <w:pPr>
        <w:ind w:left="840" w:hanging="345"/>
        <w:spacing w:after="0"/>
        <w:tabs>
          <w:tab w:leader="none" w:pos="840" w:val="left"/>
        </w:tabs>
        <w:numPr>
          <w:ilvl w:val="0"/>
          <w:numId w:val="78"/>
        </w:numPr>
        <w:rPr>
          <w:rFonts w:ascii="Arial" w:cs="Arial" w:eastAsia="Arial" w:hAnsi="Arial"/>
          <w:sz w:val="17"/>
          <w:szCs w:val="17"/>
          <w:color w:val="DD924E"/>
        </w:rPr>
      </w:pPr>
      <w:r>
        <w:rPr>
          <w:rFonts w:ascii="Arial" w:cs="Arial" w:eastAsia="Arial" w:hAnsi="Arial"/>
          <w:sz w:val="17"/>
          <w:szCs w:val="17"/>
          <w:color w:val="auto"/>
        </w:rPr>
        <w:t>provide our global workforce with a reasonable level of financial support in the event of illness or injury; and</w:t>
      </w:r>
    </w:p>
    <w:p>
      <w:pPr>
        <w:spacing w:after="0" w:line="137" w:lineRule="exact"/>
        <w:rPr>
          <w:rFonts w:ascii="Arial" w:cs="Arial" w:eastAsia="Arial" w:hAnsi="Arial"/>
          <w:sz w:val="17"/>
          <w:szCs w:val="17"/>
          <w:color w:val="DD924E"/>
        </w:rPr>
      </w:pPr>
    </w:p>
    <w:p>
      <w:pPr>
        <w:ind w:left="840" w:right="79" w:hanging="345"/>
        <w:spacing w:after="0" w:line="247" w:lineRule="auto"/>
        <w:tabs>
          <w:tab w:leader="none" w:pos="840" w:val="left"/>
        </w:tabs>
        <w:numPr>
          <w:ilvl w:val="0"/>
          <w:numId w:val="78"/>
        </w:numPr>
        <w:rPr>
          <w:rFonts w:ascii="Arial" w:cs="Arial" w:eastAsia="Arial" w:hAnsi="Arial"/>
          <w:sz w:val="17"/>
          <w:szCs w:val="17"/>
          <w:color w:val="DD924E"/>
        </w:rPr>
      </w:pPr>
      <w:r>
        <w:rPr>
          <w:rFonts w:ascii="Arial" w:cs="Arial" w:eastAsia="Arial" w:hAnsi="Arial"/>
          <w:sz w:val="17"/>
          <w:szCs w:val="17"/>
          <w:color w:val="auto"/>
        </w:rPr>
        <w:t>provide market-competitive benefits that enhance productivity and job satisfaction through programs that focus on work/life balance.</w:t>
      </w:r>
    </w:p>
    <w:p>
      <w:pPr>
        <w:spacing w:after="0" w:line="110" w:lineRule="exact"/>
        <w:rPr>
          <w:sz w:val="20"/>
          <w:szCs w:val="20"/>
          <w:color w:val="auto"/>
        </w:rPr>
      </w:pPr>
    </w:p>
    <w:p>
      <w:pPr>
        <w:jc w:val="both"/>
        <w:ind w:left="160" w:right="59"/>
        <w:spacing w:after="0" w:line="238" w:lineRule="auto"/>
        <w:rPr>
          <w:sz w:val="20"/>
          <w:szCs w:val="20"/>
          <w:color w:val="auto"/>
        </w:rPr>
      </w:pPr>
      <w:r>
        <w:rPr>
          <w:rFonts w:ascii="Arial" w:cs="Arial" w:eastAsia="Arial" w:hAnsi="Arial"/>
          <w:sz w:val="17"/>
          <w:szCs w:val="17"/>
          <w:color w:val="auto"/>
        </w:rPr>
        <w:t>The benefits available for all U.S. employees include customary medical and dental coverage, disability insurance and life insurance. In addition, our 401(k) plan provides a reasonable level of retirement income reflecting employees’ careers with us. A number of our U.S. employees, including our U.S.-based named executive officers, participate in these plans. The cost of employee benefits is partially borne by our employees, including our named executive officers. Our named executive officer in India, Mr. Bagai, is eligible to participate in the Company’s pension benefit, health and welfare and fringe benefit plans otherwise available to executive employees in India.</w:t>
      </w:r>
    </w:p>
    <w:p>
      <w:pPr>
        <w:spacing w:after="0" w:line="132"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We generally do not provide significant perquisites or personal benefits to executive officers other than our Vice Chairman and CEO and our executive officers in India. Our Vice Chairman and CEO is provided a limited number of perquisites which we believe are reasonable and consistent with market trends, which are intended to be part of a competitive overall compensation program. A discussion of the benefits provided to our Vice Chairman and CEO is provided under “Employment Agreements” beginning on page 50.</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Risk and Compensation Policies</w:t>
      </w:r>
    </w:p>
    <w:p>
      <w:pPr>
        <w:spacing w:after="0" w:line="149"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Our Compensation Committee has taken into account its discussions with management regarding our compensation practices and has concluded that any risks arising from our compensation policies and practices are not reasonably likely to have a material adverse effect on us. This conclusion was based on the features of our compensation programs, practices and policies set forth under “Key Corporate Governance Features” on page 32.</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Vice Chairman and CEO Employment Agreement</w:t>
      </w:r>
    </w:p>
    <w:p>
      <w:pPr>
        <w:spacing w:after="0" w:line="149"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In September 2017, we extended the term of our Vice Chairman and CEO’s employment with our Company through December 31, 2020 by entering into an amended and restated employment agreement that became effective January 1, 2018. These terms are substantially similar to those in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8" w:name="page49"/>
    <w:bookmarkEnd w:id="48"/>
    <w:p>
      <w:pPr>
        <w:spacing w:after="0" w:line="58"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effect during our 2017 fiscal year, which are discussed in greater detail on page 50. We believe that this extension is important to ensure our company continues to benefit from Mr. Kapoor’s outstanding management and to provide certainty and stability at our highest leadership position.</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Severance and Change-in-Control Benefits</w:t>
      </w:r>
    </w:p>
    <w:p>
      <w:pPr>
        <w:spacing w:after="0" w:line="162" w:lineRule="exact"/>
        <w:rPr>
          <w:sz w:val="20"/>
          <w:szCs w:val="20"/>
          <w:color w:val="auto"/>
        </w:rPr>
      </w:pPr>
    </w:p>
    <w:p>
      <w:pPr>
        <w:jc w:val="both"/>
        <w:ind w:left="160" w:right="59"/>
        <w:spacing w:after="0" w:line="238" w:lineRule="auto"/>
        <w:rPr>
          <w:sz w:val="20"/>
          <w:szCs w:val="20"/>
          <w:color w:val="auto"/>
        </w:rPr>
      </w:pPr>
      <w:r>
        <w:rPr>
          <w:rFonts w:ascii="Arial" w:cs="Arial" w:eastAsia="Arial" w:hAnsi="Arial"/>
          <w:sz w:val="17"/>
          <w:szCs w:val="17"/>
          <w:color w:val="auto"/>
        </w:rPr>
        <w:t>Each named executive officer is party to an employment agreement or letter that sets forth the terms of his or her employment, including compensation, which was negotiated through arms’-length contract negotiations. Under these employment agreements or letters, we are obligated to pay severance or other enhanced benefits upon termination of their employment. A discussion of the severance and other enhanced benefits provided to our named executive officers is provided under “Potential Payments upon Termination or Change in Control at Fiscal 2017 Year-End” beginning on page 55.</w:t>
      </w:r>
    </w:p>
    <w:p>
      <w:pPr>
        <w:spacing w:after="0" w:line="132" w:lineRule="exact"/>
        <w:rPr>
          <w:sz w:val="20"/>
          <w:szCs w:val="20"/>
          <w:color w:val="auto"/>
        </w:rPr>
      </w:pPr>
    </w:p>
    <w:p>
      <w:pPr>
        <w:jc w:val="both"/>
        <w:ind w:left="160" w:right="59"/>
        <w:spacing w:after="0" w:line="238" w:lineRule="auto"/>
        <w:rPr>
          <w:sz w:val="20"/>
          <w:szCs w:val="20"/>
          <w:color w:val="auto"/>
        </w:rPr>
      </w:pPr>
      <w:r>
        <w:rPr>
          <w:rFonts w:ascii="Arial" w:cs="Arial" w:eastAsia="Arial" w:hAnsi="Arial"/>
          <w:sz w:val="17"/>
          <w:szCs w:val="17"/>
          <w:color w:val="auto"/>
        </w:rPr>
        <w:t>We have provided change-in-control severance protection for some of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stockholders’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17" w:lineRule="exact"/>
        <w:rPr>
          <w:sz w:val="20"/>
          <w:szCs w:val="20"/>
          <w:color w:val="auto"/>
        </w:rPr>
      </w:pPr>
    </w:p>
    <w:p>
      <w:pPr>
        <w:jc w:val="both"/>
        <w:ind w:left="160" w:right="59"/>
        <w:spacing w:after="0" w:line="241" w:lineRule="auto"/>
        <w:rPr>
          <w:sz w:val="20"/>
          <w:szCs w:val="20"/>
          <w:color w:val="auto"/>
        </w:rPr>
      </w:pPr>
      <w:r>
        <w:rPr>
          <w:rFonts w:ascii="Arial" w:cs="Arial" w:eastAsia="Arial" w:hAnsi="Arial"/>
          <w:sz w:val="17"/>
          <w:szCs w:val="17"/>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Looking Forward to 2018</w:t>
      </w:r>
    </w:p>
    <w:p>
      <w:pPr>
        <w:spacing w:after="0" w:line="162" w:lineRule="exact"/>
        <w:rPr>
          <w:sz w:val="20"/>
          <w:szCs w:val="20"/>
          <w:color w:val="auto"/>
        </w:rPr>
      </w:pPr>
    </w:p>
    <w:p>
      <w:pPr>
        <w:jc w:val="both"/>
        <w:ind w:left="160" w:right="59"/>
        <w:spacing w:after="0" w:line="247" w:lineRule="auto"/>
        <w:rPr>
          <w:sz w:val="20"/>
          <w:szCs w:val="20"/>
          <w:color w:val="auto"/>
        </w:rPr>
      </w:pPr>
      <w:r>
        <w:rPr>
          <w:rFonts w:ascii="Arial" w:cs="Arial" w:eastAsia="Arial" w:hAnsi="Arial"/>
          <w:sz w:val="17"/>
          <w:szCs w:val="17"/>
          <w:color w:val="auto"/>
        </w:rPr>
        <w:t>For fiscal 2018, we generally continued the annual bonus program and our long-term equity incentives for fiscal 2017, subject, of course, to new performance goals.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Deductibility Cap on Executive Compensation</w:t>
      </w:r>
    </w:p>
    <w:p>
      <w:pPr>
        <w:spacing w:after="0" w:line="149" w:lineRule="exact"/>
        <w:rPr>
          <w:sz w:val="20"/>
          <w:szCs w:val="20"/>
          <w:color w:val="auto"/>
        </w:rPr>
      </w:pPr>
    </w:p>
    <w:p>
      <w:pPr>
        <w:jc w:val="both"/>
        <w:ind w:left="160" w:right="59"/>
        <w:spacing w:after="0" w:line="238" w:lineRule="auto"/>
        <w:rPr>
          <w:sz w:val="20"/>
          <w:szCs w:val="20"/>
          <w:color w:val="auto"/>
        </w:rPr>
      </w:pPr>
      <w:r>
        <w:rPr>
          <w:rFonts w:ascii="Arial" w:cs="Arial" w:eastAsia="Arial" w:hAnsi="Arial"/>
          <w:sz w:val="17"/>
          <w:szCs w:val="17"/>
          <w:color w:val="auto"/>
        </w:rPr>
        <w:t>The Tax Cuts and Jobs Act of 2017 (the “Tax Reform Act”), which was enacted on December 22, 2017, significantly alters our ability to deduct for federal income tax purposes compensation paid to certain of our executives. Prior to its passage, Section 162(m) of the Code limited our ability to deduct compensation paid to our named executive officers (other than our chief financial officer) in excess of $1 million per year, unless the compensation was “performance-based”, as described in the regulations under Code Section 162(m). In general, the Tax Reform Act eliminated the exception from Code Section 162(m)’s deduction limits for performance-based compensation, clarified that chief executive officers are covered by the deduction limitation, and made certain other changes, including providing for transition relief for written binding contracts in effect on November 2, 2017.</w:t>
      </w:r>
    </w:p>
    <w:p>
      <w:pPr>
        <w:spacing w:after="0" w:line="129" w:lineRule="exact"/>
        <w:rPr>
          <w:sz w:val="20"/>
          <w:szCs w:val="20"/>
          <w:color w:val="auto"/>
        </w:rPr>
      </w:pPr>
    </w:p>
    <w:p>
      <w:pPr>
        <w:jc w:val="both"/>
        <w:ind w:left="160" w:right="59"/>
        <w:spacing w:after="0"/>
        <w:rPr>
          <w:sz w:val="20"/>
          <w:szCs w:val="20"/>
          <w:color w:val="auto"/>
        </w:rPr>
      </w:pPr>
      <w:r>
        <w:rPr>
          <w:rFonts w:ascii="Arial" w:cs="Arial" w:eastAsia="Arial" w:hAnsi="Arial"/>
          <w:sz w:val="17"/>
          <w:szCs w:val="17"/>
          <w:color w:val="auto"/>
        </w:rPr>
        <w:t>It is not yet clear the degree to which we may rely on this transition relief with respect to prior awards made under our various incentive compensation arrangements. As in the past, our Compensation Committee expects to continue to take into consideration the tax deductibility of compensation, but reserves the right to authorize payments that may not be deductible if it believes that the payments are appropriate and consistent with our compensation philosophy.</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9" w:name="page50"/>
    <w:bookmarkEnd w:id="49"/>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Compensation Committee Report</w:t>
      </w:r>
    </w:p>
    <w:p>
      <w:pPr>
        <w:spacing w:after="0" w:line="149" w:lineRule="exact"/>
        <w:rPr>
          <w:sz w:val="20"/>
          <w:szCs w:val="20"/>
          <w:color w:val="auto"/>
        </w:rPr>
      </w:pPr>
    </w:p>
    <w:p>
      <w:pPr>
        <w:jc w:val="both"/>
        <w:ind w:left="160" w:right="59"/>
        <w:spacing w:after="0" w:line="239" w:lineRule="auto"/>
        <w:rPr>
          <w:sz w:val="20"/>
          <w:szCs w:val="20"/>
          <w:color w:val="auto"/>
        </w:rPr>
      </w:pPr>
      <w:r>
        <w:rPr>
          <w:rFonts w:ascii="Arial" w:cs="Arial" w:eastAsia="Arial" w:hAnsi="Arial"/>
          <w:sz w:val="17"/>
          <w:szCs w:val="17"/>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for the fiscal year ended December 31, 2017, and our proxy statement relating to the Annual Meeting.</w:t>
      </w:r>
    </w:p>
    <w:p>
      <w:pPr>
        <w:spacing w:after="0" w:line="129"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COMPENSATION COMMITTEE</w:t>
      </w:r>
    </w:p>
    <w:p>
      <w:pPr>
        <w:spacing w:after="0" w:line="135"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Ms. Anne Minto (Chair)</w:t>
      </w:r>
    </w:p>
    <w:p>
      <w:pPr>
        <w:ind w:left="4220"/>
        <w:spacing w:after="0" w:line="236" w:lineRule="auto"/>
        <w:rPr>
          <w:sz w:val="20"/>
          <w:szCs w:val="20"/>
          <w:color w:val="auto"/>
        </w:rPr>
      </w:pPr>
      <w:r>
        <w:rPr>
          <w:rFonts w:ascii="Arial" w:cs="Arial" w:eastAsia="Arial" w:hAnsi="Arial"/>
          <w:sz w:val="17"/>
          <w:szCs w:val="17"/>
          <w:color w:val="auto"/>
        </w:rPr>
        <w:t>Ms. Deborah Kerr</w:t>
      </w:r>
    </w:p>
    <w:p>
      <w:pPr>
        <w:ind w:left="4220"/>
        <w:spacing w:after="0" w:line="236" w:lineRule="auto"/>
        <w:rPr>
          <w:sz w:val="20"/>
          <w:szCs w:val="20"/>
          <w:color w:val="auto"/>
        </w:rPr>
      </w:pPr>
      <w:r>
        <w:rPr>
          <w:rFonts w:ascii="Arial" w:cs="Arial" w:eastAsia="Arial" w:hAnsi="Arial"/>
          <w:sz w:val="17"/>
          <w:szCs w:val="17"/>
          <w:color w:val="auto"/>
        </w:rPr>
        <w:t>Mr. Som Mittal</w:t>
      </w:r>
    </w:p>
    <w:p>
      <w:pPr>
        <w:ind w:left="4220"/>
        <w:spacing w:after="0" w:line="236" w:lineRule="auto"/>
        <w:rPr>
          <w:sz w:val="20"/>
          <w:szCs w:val="20"/>
          <w:color w:val="auto"/>
        </w:rPr>
      </w:pPr>
      <w:r>
        <w:rPr>
          <w:rFonts w:ascii="Arial" w:cs="Arial" w:eastAsia="Arial" w:hAnsi="Arial"/>
          <w:sz w:val="17"/>
          <w:szCs w:val="17"/>
          <w:color w:val="auto"/>
        </w:rPr>
        <w:t>Mr. Clyde W. Ostler</w:t>
      </w:r>
    </w:p>
    <w:p>
      <w:pPr>
        <w:ind w:left="4220"/>
        <w:spacing w:after="0"/>
        <w:rPr>
          <w:sz w:val="20"/>
          <w:szCs w:val="20"/>
          <w:color w:val="auto"/>
        </w:rPr>
      </w:pPr>
      <w:r>
        <w:rPr>
          <w:rFonts w:ascii="Arial" w:cs="Arial" w:eastAsia="Arial" w:hAnsi="Arial"/>
          <w:sz w:val="17"/>
          <w:szCs w:val="17"/>
          <w:color w:val="auto"/>
        </w:rPr>
        <w:t>Mr. Garen K. Staglin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0" w:name="page51"/>
    <w:bookmarkEnd w:id="50"/>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Summary Compensation Table for Fiscal Year 2017</w:t>
      </w:r>
    </w:p>
    <w:p>
      <w:pPr>
        <w:spacing w:after="0" w:line="149" w:lineRule="exact"/>
        <w:rPr>
          <w:sz w:val="20"/>
          <w:szCs w:val="20"/>
          <w:color w:val="auto"/>
        </w:rPr>
      </w:pPr>
    </w:p>
    <w:p>
      <w:pPr>
        <w:ind w:left="160" w:right="59"/>
        <w:spacing w:after="0" w:line="263" w:lineRule="auto"/>
        <w:rPr>
          <w:sz w:val="20"/>
          <w:szCs w:val="20"/>
          <w:color w:val="auto"/>
        </w:rPr>
      </w:pPr>
      <w:r>
        <w:rPr>
          <w:rFonts w:ascii="Arial" w:cs="Arial" w:eastAsia="Arial" w:hAnsi="Arial"/>
          <w:sz w:val="17"/>
          <w:szCs w:val="17"/>
          <w:color w:val="auto"/>
        </w:rPr>
        <w:t>The following table sets forth information for compensation earned in fiscal years 2015, 2016 and 2017 by our named executive officers:</w:t>
      </w:r>
    </w:p>
    <w:p>
      <w:pPr>
        <w:spacing w:after="0" w:line="124" w:lineRule="exact"/>
        <w:rPr>
          <w:sz w:val="20"/>
          <w:szCs w:val="20"/>
          <w:color w:val="auto"/>
        </w:rPr>
      </w:pPr>
    </w:p>
    <w:tbl>
      <w:tblPr>
        <w:tblLayout w:type="fixed"/>
        <w:tblInd w:w="170" w:type="dxa"/>
        <w:tblCellMar>
          <w:top w:w="0" w:type="dxa"/>
          <w:left w:w="0" w:type="dxa"/>
          <w:bottom w:w="0" w:type="dxa"/>
          <w:right w:w="0" w:type="dxa"/>
        </w:tblCellMar>
      </w:tblPr>
      <w:tr>
        <w:trPr>
          <w:trHeight w:val="181"/>
        </w:trPr>
        <w:tc>
          <w:tcPr>
            <w:tcW w:w="60" w:type="dxa"/>
            <w:vAlign w:val="bottom"/>
            <w:tcBorders>
              <w:left w:val="single" w:sz="8" w:color="DD924E"/>
            </w:tcBorders>
            <w:shd w:val="clear" w:color="auto" w:fill="DD924E"/>
          </w:tcPr>
          <w:p>
            <w:pPr>
              <w:spacing w:after="0"/>
              <w:rPr>
                <w:sz w:val="15"/>
                <w:szCs w:val="15"/>
                <w:color w:val="auto"/>
              </w:rPr>
            </w:pPr>
          </w:p>
        </w:tc>
        <w:tc>
          <w:tcPr>
            <w:tcW w:w="154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36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660" w:type="dxa"/>
            <w:vAlign w:val="bottom"/>
            <w:shd w:val="clear" w:color="auto" w:fill="DD924E"/>
          </w:tcPr>
          <w:p>
            <w:pPr>
              <w:spacing w:after="0"/>
              <w:rPr>
                <w:sz w:val="15"/>
                <w:szCs w:val="15"/>
                <w:color w:val="auto"/>
              </w:rPr>
            </w:pPr>
          </w:p>
        </w:tc>
        <w:tc>
          <w:tcPr>
            <w:tcW w:w="12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50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68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110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108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Change in</w:t>
            </w:r>
          </w:p>
        </w:tc>
        <w:tc>
          <w:tcPr>
            <w:tcW w:w="100" w:type="dxa"/>
            <w:vAlign w:val="bottom"/>
            <w:shd w:val="clear" w:color="auto" w:fill="DD924E"/>
          </w:tcPr>
          <w:p>
            <w:pPr>
              <w:spacing w:after="0"/>
              <w:rPr>
                <w:sz w:val="15"/>
                <w:szCs w:val="15"/>
                <w:color w:val="auto"/>
              </w:rPr>
            </w:pPr>
          </w:p>
        </w:tc>
        <w:tc>
          <w:tcPr>
            <w:tcW w:w="960" w:type="dxa"/>
            <w:vAlign w:val="bottom"/>
            <w:shd w:val="clear" w:color="auto" w:fill="DD924E"/>
          </w:tcPr>
          <w:p>
            <w:pPr>
              <w:spacing w:after="0"/>
              <w:rPr>
                <w:sz w:val="15"/>
                <w:szCs w:val="15"/>
                <w:color w:val="auto"/>
              </w:rPr>
            </w:pPr>
          </w:p>
        </w:tc>
        <w:tc>
          <w:tcPr>
            <w:tcW w:w="12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820" w:type="dxa"/>
            <w:vAlign w:val="bottom"/>
            <w:tcBorders>
              <w:right w:val="single" w:sz="8" w:color="DD924E"/>
            </w:tcBorders>
            <w:shd w:val="clear" w:color="auto" w:fill="DD924E"/>
          </w:tcPr>
          <w:p>
            <w:pPr>
              <w:spacing w:after="0"/>
              <w:rPr>
                <w:sz w:val="15"/>
                <w:szCs w:val="15"/>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5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3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60" w:type="dxa"/>
            <w:vAlign w:val="bottom"/>
            <w:shd w:val="clear" w:color="auto" w:fill="DD924E"/>
          </w:tcPr>
          <w:p>
            <w:pPr>
              <w:spacing w:after="0"/>
              <w:rPr>
                <w:sz w:val="13"/>
                <w:szCs w:val="13"/>
                <w:color w:val="auto"/>
              </w:rPr>
            </w:pPr>
          </w:p>
        </w:tc>
        <w:tc>
          <w:tcPr>
            <w:tcW w:w="1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50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8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110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10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5"/>
              </w:rPr>
              <w:t>Pension</w:t>
            </w:r>
          </w:p>
        </w:tc>
        <w:tc>
          <w:tcPr>
            <w:tcW w:w="100" w:type="dxa"/>
            <w:vAlign w:val="bottom"/>
            <w:shd w:val="clear" w:color="auto" w:fill="DD924E"/>
          </w:tcPr>
          <w:p>
            <w:pPr>
              <w:spacing w:after="0"/>
              <w:rPr>
                <w:sz w:val="13"/>
                <w:szCs w:val="13"/>
                <w:color w:val="auto"/>
              </w:rPr>
            </w:pPr>
          </w:p>
        </w:tc>
        <w:tc>
          <w:tcPr>
            <w:tcW w:w="960" w:type="dxa"/>
            <w:vAlign w:val="bottom"/>
            <w:shd w:val="clear" w:color="auto" w:fill="DD924E"/>
          </w:tcPr>
          <w:p>
            <w:pPr>
              <w:spacing w:after="0"/>
              <w:rPr>
                <w:sz w:val="13"/>
                <w:szCs w:val="13"/>
                <w:color w:val="auto"/>
              </w:rPr>
            </w:pPr>
          </w:p>
        </w:tc>
        <w:tc>
          <w:tcPr>
            <w:tcW w:w="1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820" w:type="dxa"/>
            <w:vAlign w:val="bottom"/>
            <w:tcBorders>
              <w:right w:val="single" w:sz="8" w:color="DD924E"/>
            </w:tcBorders>
            <w:shd w:val="clear" w:color="auto" w:fill="DD924E"/>
          </w:tcPr>
          <w:p>
            <w:pPr>
              <w:spacing w:after="0"/>
              <w:rPr>
                <w:sz w:val="13"/>
                <w:szCs w:val="13"/>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5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3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60" w:type="dxa"/>
            <w:vAlign w:val="bottom"/>
            <w:shd w:val="clear" w:color="auto" w:fill="DD924E"/>
          </w:tcPr>
          <w:p>
            <w:pPr>
              <w:spacing w:after="0"/>
              <w:rPr>
                <w:sz w:val="13"/>
                <w:szCs w:val="13"/>
                <w:color w:val="auto"/>
              </w:rPr>
            </w:pPr>
          </w:p>
        </w:tc>
        <w:tc>
          <w:tcPr>
            <w:tcW w:w="1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50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8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110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10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Value and</w:t>
            </w:r>
          </w:p>
        </w:tc>
        <w:tc>
          <w:tcPr>
            <w:tcW w:w="100" w:type="dxa"/>
            <w:vAlign w:val="bottom"/>
            <w:shd w:val="clear" w:color="auto" w:fill="DD924E"/>
          </w:tcPr>
          <w:p>
            <w:pPr>
              <w:spacing w:after="0"/>
              <w:rPr>
                <w:sz w:val="13"/>
                <w:szCs w:val="13"/>
                <w:color w:val="auto"/>
              </w:rPr>
            </w:pPr>
          </w:p>
        </w:tc>
        <w:tc>
          <w:tcPr>
            <w:tcW w:w="960" w:type="dxa"/>
            <w:vAlign w:val="bottom"/>
            <w:shd w:val="clear" w:color="auto" w:fill="DD924E"/>
          </w:tcPr>
          <w:p>
            <w:pPr>
              <w:spacing w:after="0"/>
              <w:rPr>
                <w:sz w:val="13"/>
                <w:szCs w:val="13"/>
                <w:color w:val="auto"/>
              </w:rPr>
            </w:pPr>
          </w:p>
        </w:tc>
        <w:tc>
          <w:tcPr>
            <w:tcW w:w="1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820" w:type="dxa"/>
            <w:vAlign w:val="bottom"/>
            <w:tcBorders>
              <w:right w:val="single" w:sz="8" w:color="DD924E"/>
            </w:tcBorders>
            <w:shd w:val="clear" w:color="auto" w:fill="DD924E"/>
          </w:tcPr>
          <w:p>
            <w:pPr>
              <w:spacing w:after="0"/>
              <w:rPr>
                <w:sz w:val="13"/>
                <w:szCs w:val="13"/>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5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3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60" w:type="dxa"/>
            <w:vAlign w:val="bottom"/>
            <w:shd w:val="clear" w:color="auto" w:fill="DD924E"/>
          </w:tcPr>
          <w:p>
            <w:pPr>
              <w:spacing w:after="0"/>
              <w:rPr>
                <w:sz w:val="13"/>
                <w:szCs w:val="13"/>
                <w:color w:val="auto"/>
              </w:rPr>
            </w:pPr>
          </w:p>
        </w:tc>
        <w:tc>
          <w:tcPr>
            <w:tcW w:w="1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50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8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11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Non-Equity</w:t>
            </w:r>
          </w:p>
        </w:tc>
        <w:tc>
          <w:tcPr>
            <w:tcW w:w="100" w:type="dxa"/>
            <w:vAlign w:val="bottom"/>
            <w:shd w:val="clear" w:color="auto" w:fill="DD924E"/>
          </w:tcPr>
          <w:p>
            <w:pPr>
              <w:spacing w:after="0"/>
              <w:rPr>
                <w:sz w:val="13"/>
                <w:szCs w:val="13"/>
                <w:color w:val="auto"/>
              </w:rPr>
            </w:pPr>
          </w:p>
        </w:tc>
        <w:tc>
          <w:tcPr>
            <w:tcW w:w="10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9"/>
              </w:rPr>
              <w:t>Nonqualified</w:t>
            </w:r>
          </w:p>
        </w:tc>
        <w:tc>
          <w:tcPr>
            <w:tcW w:w="100" w:type="dxa"/>
            <w:vAlign w:val="bottom"/>
            <w:shd w:val="clear" w:color="auto" w:fill="DD924E"/>
          </w:tcPr>
          <w:p>
            <w:pPr>
              <w:spacing w:after="0"/>
              <w:rPr>
                <w:sz w:val="13"/>
                <w:szCs w:val="13"/>
                <w:color w:val="auto"/>
              </w:rPr>
            </w:pPr>
          </w:p>
        </w:tc>
        <w:tc>
          <w:tcPr>
            <w:tcW w:w="960" w:type="dxa"/>
            <w:vAlign w:val="bottom"/>
            <w:shd w:val="clear" w:color="auto" w:fill="DD924E"/>
          </w:tcPr>
          <w:p>
            <w:pPr>
              <w:spacing w:after="0"/>
              <w:rPr>
                <w:sz w:val="13"/>
                <w:szCs w:val="13"/>
                <w:color w:val="auto"/>
              </w:rPr>
            </w:pPr>
          </w:p>
        </w:tc>
        <w:tc>
          <w:tcPr>
            <w:tcW w:w="1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820" w:type="dxa"/>
            <w:vAlign w:val="bottom"/>
            <w:tcBorders>
              <w:right w:val="single" w:sz="8" w:color="DD924E"/>
            </w:tcBorders>
            <w:shd w:val="clear" w:color="auto" w:fill="DD924E"/>
          </w:tcPr>
          <w:p>
            <w:pPr>
              <w:spacing w:after="0"/>
              <w:rPr>
                <w:sz w:val="13"/>
                <w:szCs w:val="13"/>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5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3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60" w:type="dxa"/>
            <w:vAlign w:val="bottom"/>
            <w:shd w:val="clear" w:color="auto" w:fill="DD924E"/>
          </w:tcPr>
          <w:p>
            <w:pPr>
              <w:spacing w:after="0"/>
              <w:rPr>
                <w:sz w:val="13"/>
                <w:szCs w:val="13"/>
                <w:color w:val="auto"/>
              </w:rPr>
            </w:pPr>
          </w:p>
        </w:tc>
        <w:tc>
          <w:tcPr>
            <w:tcW w:w="1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50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8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11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8"/>
              </w:rPr>
              <w:t>Incentive</w:t>
            </w:r>
          </w:p>
        </w:tc>
        <w:tc>
          <w:tcPr>
            <w:tcW w:w="100" w:type="dxa"/>
            <w:vAlign w:val="bottom"/>
            <w:shd w:val="clear" w:color="auto" w:fill="DD924E"/>
          </w:tcPr>
          <w:p>
            <w:pPr>
              <w:spacing w:after="0"/>
              <w:rPr>
                <w:sz w:val="13"/>
                <w:szCs w:val="13"/>
                <w:color w:val="auto"/>
              </w:rPr>
            </w:pPr>
          </w:p>
        </w:tc>
        <w:tc>
          <w:tcPr>
            <w:tcW w:w="10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Deferred</w:t>
            </w:r>
          </w:p>
        </w:tc>
        <w:tc>
          <w:tcPr>
            <w:tcW w:w="100" w:type="dxa"/>
            <w:vAlign w:val="bottom"/>
            <w:shd w:val="clear" w:color="auto" w:fill="DD924E"/>
          </w:tcPr>
          <w:p>
            <w:pPr>
              <w:spacing w:after="0"/>
              <w:rPr>
                <w:sz w:val="13"/>
                <w:szCs w:val="13"/>
                <w:color w:val="auto"/>
              </w:rPr>
            </w:pPr>
          </w:p>
        </w:tc>
        <w:tc>
          <w:tcPr>
            <w:tcW w:w="960" w:type="dxa"/>
            <w:vAlign w:val="bottom"/>
            <w:shd w:val="clear" w:color="auto" w:fill="DD924E"/>
          </w:tcPr>
          <w:p>
            <w:pPr>
              <w:spacing w:after="0"/>
              <w:rPr>
                <w:sz w:val="13"/>
                <w:szCs w:val="13"/>
                <w:color w:val="auto"/>
              </w:rPr>
            </w:pPr>
          </w:p>
        </w:tc>
        <w:tc>
          <w:tcPr>
            <w:tcW w:w="1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820" w:type="dxa"/>
            <w:vAlign w:val="bottom"/>
            <w:tcBorders>
              <w:right w:val="single" w:sz="8" w:color="DD924E"/>
            </w:tcBorders>
            <w:shd w:val="clear" w:color="auto" w:fill="DD924E"/>
          </w:tcPr>
          <w:p>
            <w:pPr>
              <w:spacing w:after="0"/>
              <w:rPr>
                <w:sz w:val="13"/>
                <w:szCs w:val="13"/>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5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3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60" w:type="dxa"/>
            <w:vAlign w:val="bottom"/>
            <w:shd w:val="clear" w:color="auto" w:fill="DD924E"/>
          </w:tcPr>
          <w:p>
            <w:pPr>
              <w:spacing w:after="0"/>
              <w:rPr>
                <w:sz w:val="13"/>
                <w:szCs w:val="13"/>
                <w:color w:val="auto"/>
              </w:rPr>
            </w:pPr>
          </w:p>
        </w:tc>
        <w:tc>
          <w:tcPr>
            <w:tcW w:w="1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50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4"/>
              </w:rPr>
              <w:t>Stock</w:t>
            </w:r>
          </w:p>
        </w:tc>
        <w:tc>
          <w:tcPr>
            <w:tcW w:w="100" w:type="dxa"/>
            <w:vAlign w:val="bottom"/>
            <w:shd w:val="clear" w:color="auto" w:fill="DD924E"/>
          </w:tcPr>
          <w:p>
            <w:pPr>
              <w:spacing w:after="0"/>
              <w:rPr>
                <w:sz w:val="13"/>
                <w:szCs w:val="13"/>
                <w:color w:val="auto"/>
              </w:rPr>
            </w:pPr>
          </w:p>
        </w:tc>
        <w:tc>
          <w:tcPr>
            <w:tcW w:w="11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4"/>
              </w:rPr>
              <w:t>Plan</w:t>
            </w:r>
          </w:p>
        </w:tc>
        <w:tc>
          <w:tcPr>
            <w:tcW w:w="100" w:type="dxa"/>
            <w:vAlign w:val="bottom"/>
            <w:shd w:val="clear" w:color="auto" w:fill="DD924E"/>
          </w:tcPr>
          <w:p>
            <w:pPr>
              <w:spacing w:after="0"/>
              <w:rPr>
                <w:sz w:val="13"/>
                <w:szCs w:val="13"/>
                <w:color w:val="auto"/>
              </w:rPr>
            </w:pPr>
          </w:p>
        </w:tc>
        <w:tc>
          <w:tcPr>
            <w:tcW w:w="10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8"/>
              </w:rPr>
              <w:t>Compensation</w:t>
            </w:r>
          </w:p>
        </w:tc>
        <w:tc>
          <w:tcPr>
            <w:tcW w:w="100" w:type="dxa"/>
            <w:vAlign w:val="bottom"/>
            <w:shd w:val="clear" w:color="auto" w:fill="DD924E"/>
          </w:tcPr>
          <w:p>
            <w:pPr>
              <w:spacing w:after="0"/>
              <w:rPr>
                <w:sz w:val="13"/>
                <w:szCs w:val="13"/>
                <w:color w:val="auto"/>
              </w:rPr>
            </w:pPr>
          </w:p>
        </w:tc>
        <w:tc>
          <w:tcPr>
            <w:tcW w:w="960" w:type="dxa"/>
            <w:vAlign w:val="bottom"/>
            <w:shd w:val="clear" w:color="auto" w:fill="DD924E"/>
          </w:tcPr>
          <w:p>
            <w:pPr>
              <w:jc w:val="center"/>
              <w:ind w:left="32"/>
              <w:spacing w:after="0" w:line="154" w:lineRule="exact"/>
              <w:rPr>
                <w:sz w:val="20"/>
                <w:szCs w:val="20"/>
                <w:color w:val="auto"/>
              </w:rPr>
            </w:pPr>
            <w:r>
              <w:rPr>
                <w:rFonts w:ascii="Arial" w:cs="Arial" w:eastAsia="Arial" w:hAnsi="Arial"/>
                <w:sz w:val="14"/>
                <w:szCs w:val="14"/>
                <w:b w:val="1"/>
                <w:bCs w:val="1"/>
                <w:color w:val="FFFFFF"/>
                <w:w w:val="98"/>
              </w:rPr>
              <w:t>All Other</w:t>
            </w:r>
          </w:p>
        </w:tc>
        <w:tc>
          <w:tcPr>
            <w:tcW w:w="1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820" w:type="dxa"/>
            <w:vAlign w:val="bottom"/>
            <w:tcBorders>
              <w:right w:val="single" w:sz="8" w:color="DD924E"/>
            </w:tcBorders>
            <w:shd w:val="clear" w:color="auto" w:fill="DD924E"/>
          </w:tcPr>
          <w:p>
            <w:pPr>
              <w:spacing w:after="0"/>
              <w:rPr>
                <w:sz w:val="13"/>
                <w:szCs w:val="13"/>
                <w:color w:val="auto"/>
              </w:rPr>
            </w:pPr>
          </w:p>
        </w:tc>
      </w:tr>
      <w:tr>
        <w:trPr>
          <w:trHeight w:val="140"/>
        </w:trPr>
        <w:tc>
          <w:tcPr>
            <w:tcW w:w="60" w:type="dxa"/>
            <w:vAlign w:val="bottom"/>
            <w:tcBorders>
              <w:left w:val="single" w:sz="8" w:color="DD924E"/>
            </w:tcBorders>
            <w:shd w:val="clear" w:color="auto" w:fill="DD924E"/>
          </w:tcPr>
          <w:p>
            <w:pPr>
              <w:spacing w:after="0"/>
              <w:rPr>
                <w:sz w:val="12"/>
                <w:szCs w:val="12"/>
                <w:color w:val="auto"/>
              </w:rPr>
            </w:pPr>
          </w:p>
        </w:tc>
        <w:tc>
          <w:tcPr>
            <w:tcW w:w="1540" w:type="dxa"/>
            <w:vAlign w:val="bottom"/>
            <w:shd w:val="clear" w:color="auto" w:fill="DD924E"/>
          </w:tcPr>
          <w:p>
            <w:pPr>
              <w:ind w:left="420"/>
              <w:spacing w:after="0" w:line="140" w:lineRule="exact"/>
              <w:rPr>
                <w:sz w:val="20"/>
                <w:szCs w:val="20"/>
                <w:color w:val="auto"/>
              </w:rPr>
            </w:pPr>
            <w:r>
              <w:rPr>
                <w:rFonts w:ascii="Arial" w:cs="Arial" w:eastAsia="Arial" w:hAnsi="Arial"/>
                <w:sz w:val="14"/>
                <w:szCs w:val="14"/>
                <w:b w:val="1"/>
                <w:bCs w:val="1"/>
                <w:color w:val="FFFFFF"/>
              </w:rPr>
              <w:t>Name and</w:t>
            </w:r>
          </w:p>
        </w:tc>
        <w:tc>
          <w:tcPr>
            <w:tcW w:w="100" w:type="dxa"/>
            <w:vAlign w:val="bottom"/>
            <w:shd w:val="clear" w:color="auto" w:fill="DD924E"/>
          </w:tcPr>
          <w:p>
            <w:pPr>
              <w:spacing w:after="0"/>
              <w:rPr>
                <w:sz w:val="12"/>
                <w:szCs w:val="12"/>
                <w:color w:val="auto"/>
              </w:rPr>
            </w:pPr>
          </w:p>
        </w:tc>
        <w:tc>
          <w:tcPr>
            <w:tcW w:w="360" w:type="dxa"/>
            <w:vAlign w:val="bottom"/>
            <w:shd w:val="clear" w:color="auto" w:fill="DD924E"/>
          </w:tcPr>
          <w:p>
            <w:pPr>
              <w:spacing w:after="0"/>
              <w:rPr>
                <w:sz w:val="12"/>
                <w:szCs w:val="12"/>
                <w:color w:val="auto"/>
              </w:rPr>
            </w:pPr>
          </w:p>
        </w:tc>
        <w:tc>
          <w:tcPr>
            <w:tcW w:w="100" w:type="dxa"/>
            <w:vAlign w:val="bottom"/>
            <w:shd w:val="clear" w:color="auto" w:fill="DD924E"/>
          </w:tcPr>
          <w:p>
            <w:pPr>
              <w:spacing w:after="0"/>
              <w:rPr>
                <w:sz w:val="12"/>
                <w:szCs w:val="12"/>
                <w:color w:val="auto"/>
              </w:rPr>
            </w:pPr>
          </w:p>
        </w:tc>
        <w:tc>
          <w:tcPr>
            <w:tcW w:w="660" w:type="dxa"/>
            <w:vAlign w:val="bottom"/>
            <w:shd w:val="clear" w:color="auto" w:fill="DD924E"/>
          </w:tcPr>
          <w:p>
            <w:pPr>
              <w:jc w:val="right"/>
              <w:spacing w:after="0" w:line="140" w:lineRule="exact"/>
              <w:rPr>
                <w:sz w:val="20"/>
                <w:szCs w:val="20"/>
                <w:color w:val="auto"/>
              </w:rPr>
            </w:pPr>
            <w:r>
              <w:rPr>
                <w:rFonts w:ascii="Arial" w:cs="Arial" w:eastAsia="Arial" w:hAnsi="Arial"/>
                <w:sz w:val="14"/>
                <w:szCs w:val="14"/>
                <w:b w:val="1"/>
                <w:bCs w:val="1"/>
                <w:color w:val="FFFFFF"/>
              </w:rPr>
              <w:t>Salary</w:t>
            </w:r>
          </w:p>
        </w:tc>
        <w:tc>
          <w:tcPr>
            <w:tcW w:w="120" w:type="dxa"/>
            <w:vAlign w:val="bottom"/>
            <w:shd w:val="clear" w:color="auto" w:fill="DD924E"/>
          </w:tcPr>
          <w:p>
            <w:pPr>
              <w:spacing w:after="0"/>
              <w:rPr>
                <w:sz w:val="12"/>
                <w:szCs w:val="12"/>
                <w:color w:val="auto"/>
              </w:rPr>
            </w:pPr>
          </w:p>
        </w:tc>
        <w:tc>
          <w:tcPr>
            <w:tcW w:w="100" w:type="dxa"/>
            <w:vAlign w:val="bottom"/>
            <w:shd w:val="clear" w:color="auto" w:fill="DD924E"/>
          </w:tcPr>
          <w:p>
            <w:pPr>
              <w:spacing w:after="0"/>
              <w:rPr>
                <w:sz w:val="12"/>
                <w:szCs w:val="12"/>
                <w:color w:val="auto"/>
              </w:rPr>
            </w:pPr>
          </w:p>
        </w:tc>
        <w:tc>
          <w:tcPr>
            <w:tcW w:w="500" w:type="dxa"/>
            <w:vAlign w:val="bottom"/>
            <w:shd w:val="clear" w:color="auto" w:fill="DD924E"/>
          </w:tcPr>
          <w:p>
            <w:pPr>
              <w:ind w:left="40"/>
              <w:spacing w:after="0" w:line="140" w:lineRule="exact"/>
              <w:rPr>
                <w:sz w:val="20"/>
                <w:szCs w:val="20"/>
                <w:color w:val="auto"/>
              </w:rPr>
            </w:pPr>
            <w:r>
              <w:rPr>
                <w:rFonts w:ascii="Arial" w:cs="Arial" w:eastAsia="Arial" w:hAnsi="Arial"/>
                <w:sz w:val="14"/>
                <w:szCs w:val="14"/>
                <w:b w:val="1"/>
                <w:bCs w:val="1"/>
                <w:color w:val="FFFFFF"/>
              </w:rPr>
              <w:t>Bonus</w:t>
            </w:r>
          </w:p>
        </w:tc>
        <w:tc>
          <w:tcPr>
            <w:tcW w:w="100" w:type="dxa"/>
            <w:vAlign w:val="bottom"/>
            <w:shd w:val="clear" w:color="auto" w:fill="DD924E"/>
          </w:tcPr>
          <w:p>
            <w:pPr>
              <w:spacing w:after="0"/>
              <w:rPr>
                <w:sz w:val="12"/>
                <w:szCs w:val="12"/>
                <w:color w:val="auto"/>
              </w:rPr>
            </w:pPr>
          </w:p>
        </w:tc>
        <w:tc>
          <w:tcPr>
            <w:tcW w:w="680" w:type="dxa"/>
            <w:vAlign w:val="bottom"/>
            <w:shd w:val="clear" w:color="auto" w:fill="DD924E"/>
          </w:tcPr>
          <w:p>
            <w:pPr>
              <w:jc w:val="center"/>
              <w:spacing w:after="0" w:line="140" w:lineRule="exact"/>
              <w:rPr>
                <w:sz w:val="20"/>
                <w:szCs w:val="20"/>
                <w:color w:val="auto"/>
              </w:rPr>
            </w:pPr>
            <w:r>
              <w:rPr>
                <w:rFonts w:ascii="Arial" w:cs="Arial" w:eastAsia="Arial" w:hAnsi="Arial"/>
                <w:sz w:val="14"/>
                <w:szCs w:val="14"/>
                <w:b w:val="1"/>
                <w:bCs w:val="1"/>
                <w:color w:val="FFFFFF"/>
                <w:w w:val="94"/>
              </w:rPr>
              <w:t>Awards</w:t>
            </w:r>
          </w:p>
        </w:tc>
        <w:tc>
          <w:tcPr>
            <w:tcW w:w="100" w:type="dxa"/>
            <w:vAlign w:val="bottom"/>
            <w:shd w:val="clear" w:color="auto" w:fill="DD924E"/>
          </w:tcPr>
          <w:p>
            <w:pPr>
              <w:spacing w:after="0"/>
              <w:rPr>
                <w:sz w:val="12"/>
                <w:szCs w:val="12"/>
                <w:color w:val="auto"/>
              </w:rPr>
            </w:pPr>
          </w:p>
        </w:tc>
        <w:tc>
          <w:tcPr>
            <w:tcW w:w="1100" w:type="dxa"/>
            <w:vAlign w:val="bottom"/>
            <w:shd w:val="clear" w:color="auto" w:fill="DD924E"/>
          </w:tcPr>
          <w:p>
            <w:pPr>
              <w:jc w:val="center"/>
              <w:spacing w:after="0" w:line="140" w:lineRule="exact"/>
              <w:rPr>
                <w:sz w:val="20"/>
                <w:szCs w:val="20"/>
                <w:color w:val="auto"/>
              </w:rPr>
            </w:pPr>
            <w:r>
              <w:rPr>
                <w:rFonts w:ascii="Arial" w:cs="Arial" w:eastAsia="Arial" w:hAnsi="Arial"/>
                <w:sz w:val="14"/>
                <w:szCs w:val="14"/>
                <w:b w:val="1"/>
                <w:bCs w:val="1"/>
                <w:color w:val="FFFFFF"/>
                <w:w w:val="98"/>
              </w:rPr>
              <w:t>Compensation</w:t>
            </w:r>
          </w:p>
        </w:tc>
        <w:tc>
          <w:tcPr>
            <w:tcW w:w="100" w:type="dxa"/>
            <w:vAlign w:val="bottom"/>
            <w:shd w:val="clear" w:color="auto" w:fill="DD924E"/>
          </w:tcPr>
          <w:p>
            <w:pPr>
              <w:spacing w:after="0"/>
              <w:rPr>
                <w:sz w:val="12"/>
                <w:szCs w:val="12"/>
                <w:color w:val="auto"/>
              </w:rPr>
            </w:pPr>
          </w:p>
        </w:tc>
        <w:tc>
          <w:tcPr>
            <w:tcW w:w="1080" w:type="dxa"/>
            <w:vAlign w:val="bottom"/>
            <w:shd w:val="clear" w:color="auto" w:fill="DD924E"/>
          </w:tcPr>
          <w:p>
            <w:pPr>
              <w:jc w:val="center"/>
              <w:spacing w:after="0" w:line="140" w:lineRule="exact"/>
              <w:rPr>
                <w:sz w:val="20"/>
                <w:szCs w:val="20"/>
                <w:color w:val="auto"/>
              </w:rPr>
            </w:pPr>
            <w:r>
              <w:rPr>
                <w:rFonts w:ascii="Arial" w:cs="Arial" w:eastAsia="Arial" w:hAnsi="Arial"/>
                <w:sz w:val="14"/>
                <w:szCs w:val="14"/>
                <w:b w:val="1"/>
                <w:bCs w:val="1"/>
                <w:color w:val="FFFFFF"/>
                <w:w w:val="96"/>
              </w:rPr>
              <w:t>Earnings</w:t>
            </w:r>
          </w:p>
        </w:tc>
        <w:tc>
          <w:tcPr>
            <w:tcW w:w="100" w:type="dxa"/>
            <w:vAlign w:val="bottom"/>
            <w:shd w:val="clear" w:color="auto" w:fill="DD924E"/>
          </w:tcPr>
          <w:p>
            <w:pPr>
              <w:spacing w:after="0"/>
              <w:rPr>
                <w:sz w:val="12"/>
                <w:szCs w:val="12"/>
                <w:color w:val="auto"/>
              </w:rPr>
            </w:pPr>
          </w:p>
        </w:tc>
        <w:tc>
          <w:tcPr>
            <w:tcW w:w="1180" w:type="dxa"/>
            <w:vAlign w:val="bottom"/>
            <w:gridSpan w:val="3"/>
            <w:shd w:val="clear" w:color="auto" w:fill="DD924E"/>
          </w:tcPr>
          <w:p>
            <w:pPr>
              <w:jc w:val="center"/>
              <w:ind w:right="100"/>
              <w:spacing w:after="0" w:line="140" w:lineRule="exact"/>
              <w:rPr>
                <w:sz w:val="20"/>
                <w:szCs w:val="20"/>
                <w:color w:val="auto"/>
              </w:rPr>
            </w:pPr>
            <w:r>
              <w:rPr>
                <w:rFonts w:ascii="Arial" w:cs="Arial" w:eastAsia="Arial" w:hAnsi="Arial"/>
                <w:sz w:val="14"/>
                <w:szCs w:val="14"/>
                <w:b w:val="1"/>
                <w:bCs w:val="1"/>
                <w:color w:val="FFFFFF"/>
                <w:w w:val="98"/>
              </w:rPr>
              <w:t>Compensation</w:t>
            </w:r>
          </w:p>
        </w:tc>
        <w:tc>
          <w:tcPr>
            <w:tcW w:w="820" w:type="dxa"/>
            <w:vAlign w:val="bottom"/>
            <w:tcBorders>
              <w:right w:val="single" w:sz="8" w:color="DD924E"/>
            </w:tcBorders>
            <w:shd w:val="clear" w:color="auto" w:fill="DD924E"/>
          </w:tcPr>
          <w:p>
            <w:pPr>
              <w:jc w:val="right"/>
              <w:ind w:right="232"/>
              <w:spacing w:after="0" w:line="140" w:lineRule="exact"/>
              <w:rPr>
                <w:sz w:val="20"/>
                <w:szCs w:val="20"/>
                <w:color w:val="auto"/>
              </w:rPr>
            </w:pPr>
            <w:r>
              <w:rPr>
                <w:rFonts w:ascii="Arial" w:cs="Arial" w:eastAsia="Arial" w:hAnsi="Arial"/>
                <w:sz w:val="14"/>
                <w:szCs w:val="14"/>
                <w:b w:val="1"/>
                <w:bCs w:val="1"/>
                <w:color w:val="FFFFFF"/>
              </w:rPr>
              <w:t>Total</w:t>
            </w:r>
          </w:p>
        </w:tc>
      </w:tr>
      <w:tr>
        <w:trPr>
          <w:trHeight w:val="198"/>
        </w:trPr>
        <w:tc>
          <w:tcPr>
            <w:tcW w:w="60" w:type="dxa"/>
            <w:vAlign w:val="bottom"/>
            <w:tcBorders>
              <w:left w:val="single" w:sz="8" w:color="DD924E"/>
              <w:bottom w:val="single" w:sz="8" w:color="DD924E"/>
            </w:tcBorders>
            <w:shd w:val="clear" w:color="auto" w:fill="DD924E"/>
          </w:tcPr>
          <w:p>
            <w:pPr>
              <w:spacing w:after="0"/>
              <w:rPr>
                <w:sz w:val="17"/>
                <w:szCs w:val="17"/>
                <w:color w:val="auto"/>
              </w:rPr>
            </w:pPr>
          </w:p>
        </w:tc>
        <w:tc>
          <w:tcPr>
            <w:tcW w:w="1540" w:type="dxa"/>
            <w:vAlign w:val="bottom"/>
            <w:tcBorders>
              <w:bottom w:val="single" w:sz="8" w:color="auto"/>
            </w:tcBorders>
            <w:shd w:val="clear" w:color="auto" w:fill="DD924E"/>
          </w:tcPr>
          <w:p>
            <w:pPr>
              <w:ind w:left="200"/>
              <w:spacing w:after="0"/>
              <w:rPr>
                <w:sz w:val="20"/>
                <w:szCs w:val="20"/>
                <w:color w:val="auto"/>
              </w:rPr>
            </w:pPr>
            <w:r>
              <w:rPr>
                <w:rFonts w:ascii="Arial" w:cs="Arial" w:eastAsia="Arial" w:hAnsi="Arial"/>
                <w:sz w:val="14"/>
                <w:szCs w:val="14"/>
                <w:b w:val="1"/>
                <w:bCs w:val="1"/>
                <w:color w:val="FFFFFF"/>
              </w:rPr>
              <w:t>Principal Position</w:t>
            </w:r>
          </w:p>
        </w:tc>
        <w:tc>
          <w:tcPr>
            <w:tcW w:w="100" w:type="dxa"/>
            <w:vAlign w:val="bottom"/>
            <w:tcBorders>
              <w:bottom w:val="single" w:sz="8" w:color="DD924E"/>
            </w:tcBorders>
            <w:shd w:val="clear" w:color="auto" w:fill="DD924E"/>
          </w:tcPr>
          <w:p>
            <w:pPr>
              <w:spacing w:after="0"/>
              <w:rPr>
                <w:sz w:val="17"/>
                <w:szCs w:val="17"/>
                <w:color w:val="auto"/>
              </w:rPr>
            </w:pPr>
          </w:p>
        </w:tc>
        <w:tc>
          <w:tcPr>
            <w:tcW w:w="360" w:type="dxa"/>
            <w:vAlign w:val="bottom"/>
            <w:tcBorders>
              <w:bottom w:val="single" w:sz="8" w:color="auto"/>
            </w:tcBorders>
            <w:shd w:val="clear" w:color="auto" w:fill="DD924E"/>
          </w:tcPr>
          <w:p>
            <w:pPr>
              <w:ind w:left="40"/>
              <w:spacing w:after="0"/>
              <w:rPr>
                <w:sz w:val="20"/>
                <w:szCs w:val="20"/>
                <w:color w:val="auto"/>
              </w:rPr>
            </w:pPr>
            <w:r>
              <w:rPr>
                <w:rFonts w:ascii="Arial" w:cs="Arial" w:eastAsia="Arial" w:hAnsi="Arial"/>
                <w:sz w:val="14"/>
                <w:szCs w:val="14"/>
                <w:b w:val="1"/>
                <w:bCs w:val="1"/>
                <w:color w:val="FFFFFF"/>
                <w:w w:val="98"/>
              </w:rPr>
              <w:t>Year</w:t>
            </w:r>
          </w:p>
        </w:tc>
        <w:tc>
          <w:tcPr>
            <w:tcW w:w="100" w:type="dxa"/>
            <w:vAlign w:val="bottom"/>
            <w:tcBorders>
              <w:bottom w:val="single" w:sz="8" w:color="DD924E"/>
            </w:tcBorders>
            <w:shd w:val="clear" w:color="auto" w:fill="DD924E"/>
          </w:tcPr>
          <w:p>
            <w:pPr>
              <w:spacing w:after="0"/>
              <w:rPr>
                <w:sz w:val="17"/>
                <w:szCs w:val="17"/>
                <w:color w:val="auto"/>
              </w:rPr>
            </w:pPr>
          </w:p>
        </w:tc>
        <w:tc>
          <w:tcPr>
            <w:tcW w:w="660" w:type="dxa"/>
            <w:vAlign w:val="bottom"/>
            <w:tcBorders>
              <w:bottom w:val="single" w:sz="8" w:color="auto"/>
            </w:tcBorders>
            <w:shd w:val="clear" w:color="auto" w:fill="DD924E"/>
          </w:tcPr>
          <w:p>
            <w:pPr>
              <w:jc w:val="right"/>
              <w:ind w:right="112"/>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auto"/>
            </w:tcBorders>
            <w:shd w:val="clear" w:color="auto" w:fill="DD924E"/>
          </w:tcPr>
          <w:p>
            <w:pPr>
              <w:spacing w:after="0"/>
              <w:rPr>
                <w:sz w:val="17"/>
                <w:szCs w:val="17"/>
                <w:color w:val="auto"/>
              </w:rPr>
            </w:pPr>
          </w:p>
        </w:tc>
        <w:tc>
          <w:tcPr>
            <w:tcW w:w="100" w:type="dxa"/>
            <w:vAlign w:val="bottom"/>
            <w:tcBorders>
              <w:bottom w:val="single" w:sz="8" w:color="DD924E"/>
            </w:tcBorders>
            <w:shd w:val="clear" w:color="auto" w:fill="DD924E"/>
          </w:tcPr>
          <w:p>
            <w:pPr>
              <w:spacing w:after="0"/>
              <w:rPr>
                <w:sz w:val="17"/>
                <w:szCs w:val="17"/>
                <w:color w:val="auto"/>
              </w:rPr>
            </w:pPr>
          </w:p>
        </w:tc>
        <w:tc>
          <w:tcPr>
            <w:tcW w:w="500" w:type="dxa"/>
            <w:vAlign w:val="bottom"/>
            <w:tcBorders>
              <w:bottom w:val="single" w:sz="8" w:color="auto"/>
            </w:tcBorders>
            <w:shd w:val="clear" w:color="auto" w:fill="DD924E"/>
          </w:tcPr>
          <w:p>
            <w:pPr>
              <w:ind w:left="1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D924E"/>
            </w:tcBorders>
            <w:shd w:val="clear" w:color="auto" w:fill="DD924E"/>
          </w:tcPr>
          <w:p>
            <w:pPr>
              <w:spacing w:after="0"/>
              <w:rPr>
                <w:sz w:val="17"/>
                <w:szCs w:val="17"/>
                <w:color w:val="auto"/>
              </w:rPr>
            </w:pPr>
          </w:p>
        </w:tc>
        <w:tc>
          <w:tcPr>
            <w:tcW w:w="680" w:type="dxa"/>
            <w:vAlign w:val="bottom"/>
            <w:tcBorders>
              <w:bottom w:val="single" w:sz="8" w:color="auto"/>
            </w:tcBorders>
            <w:shd w:val="clear" w:color="auto" w:fill="DD924E"/>
          </w:tcPr>
          <w:p>
            <w:pPr>
              <w:jc w:val="center"/>
              <w:spacing w:after="0" w:line="180"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9"/>
                <w:szCs w:val="9"/>
                <w:b w:val="1"/>
                <w:bCs w:val="1"/>
                <w:color w:val="FFFFFF"/>
              </w:rPr>
              <w:t>(2)</w:t>
            </w:r>
          </w:p>
        </w:tc>
        <w:tc>
          <w:tcPr>
            <w:tcW w:w="100" w:type="dxa"/>
            <w:vAlign w:val="bottom"/>
            <w:tcBorders>
              <w:bottom w:val="single" w:sz="8" w:color="DD924E"/>
            </w:tcBorders>
            <w:shd w:val="clear" w:color="auto" w:fill="DD924E"/>
          </w:tcPr>
          <w:p>
            <w:pPr>
              <w:spacing w:after="0"/>
              <w:rPr>
                <w:sz w:val="17"/>
                <w:szCs w:val="17"/>
                <w:color w:val="auto"/>
              </w:rPr>
            </w:pPr>
          </w:p>
        </w:tc>
        <w:tc>
          <w:tcPr>
            <w:tcW w:w="1100" w:type="dxa"/>
            <w:vAlign w:val="bottom"/>
            <w:tcBorders>
              <w:bottom w:val="single" w:sz="8" w:color="auto"/>
            </w:tcBorders>
            <w:shd w:val="clear" w:color="auto" w:fill="DD924E"/>
          </w:tcPr>
          <w:p>
            <w:pPr>
              <w:jc w:val="center"/>
              <w:spacing w:after="0" w:line="180"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9"/>
                <w:szCs w:val="9"/>
                <w:b w:val="1"/>
                <w:bCs w:val="1"/>
                <w:color w:val="FFFFFF"/>
              </w:rPr>
              <w:t>(3)</w:t>
            </w:r>
          </w:p>
        </w:tc>
        <w:tc>
          <w:tcPr>
            <w:tcW w:w="100" w:type="dxa"/>
            <w:vAlign w:val="bottom"/>
            <w:tcBorders>
              <w:bottom w:val="single" w:sz="8" w:color="DD924E"/>
            </w:tcBorders>
            <w:shd w:val="clear" w:color="auto" w:fill="DD924E"/>
          </w:tcPr>
          <w:p>
            <w:pPr>
              <w:spacing w:after="0"/>
              <w:rPr>
                <w:sz w:val="17"/>
                <w:szCs w:val="17"/>
                <w:color w:val="auto"/>
              </w:rPr>
            </w:pPr>
          </w:p>
        </w:tc>
        <w:tc>
          <w:tcPr>
            <w:tcW w:w="1080" w:type="dxa"/>
            <w:vAlign w:val="bottom"/>
            <w:tcBorders>
              <w:bottom w:val="single" w:sz="8" w:color="auto"/>
            </w:tcBorders>
            <w:shd w:val="clear" w:color="auto" w:fill="DD924E"/>
          </w:tcPr>
          <w:p>
            <w:pPr>
              <w:jc w:val="center"/>
              <w:spacing w:after="0" w:line="180"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9"/>
                <w:szCs w:val="9"/>
                <w:b w:val="1"/>
                <w:bCs w:val="1"/>
                <w:color w:val="FFFFFF"/>
              </w:rPr>
              <w:t>(4)</w:t>
            </w:r>
          </w:p>
        </w:tc>
        <w:tc>
          <w:tcPr>
            <w:tcW w:w="100" w:type="dxa"/>
            <w:vAlign w:val="bottom"/>
            <w:tcBorders>
              <w:bottom w:val="single" w:sz="8" w:color="DD924E"/>
            </w:tcBorders>
            <w:shd w:val="clear" w:color="auto" w:fill="DD924E"/>
          </w:tcPr>
          <w:p>
            <w:pPr>
              <w:spacing w:after="0"/>
              <w:rPr>
                <w:sz w:val="17"/>
                <w:szCs w:val="17"/>
                <w:color w:val="auto"/>
              </w:rPr>
            </w:pPr>
          </w:p>
        </w:tc>
        <w:tc>
          <w:tcPr>
            <w:tcW w:w="960" w:type="dxa"/>
            <w:vAlign w:val="bottom"/>
            <w:tcBorders>
              <w:bottom w:val="single" w:sz="8" w:color="auto"/>
            </w:tcBorders>
            <w:shd w:val="clear" w:color="auto" w:fill="DD924E"/>
          </w:tcPr>
          <w:p>
            <w:pPr>
              <w:jc w:val="center"/>
              <w:ind w:left="52"/>
              <w:spacing w:after="0"/>
              <w:rPr>
                <w:sz w:val="20"/>
                <w:szCs w:val="20"/>
                <w:color w:val="auto"/>
              </w:rPr>
            </w:pPr>
            <w:r>
              <w:rPr>
                <w:rFonts w:ascii="Arial" w:cs="Arial" w:eastAsia="Arial" w:hAnsi="Arial"/>
                <w:sz w:val="14"/>
                <w:szCs w:val="14"/>
                <w:b w:val="1"/>
                <w:bCs w:val="1"/>
                <w:color w:val="FFFFFF"/>
                <w:w w:val="93"/>
              </w:rPr>
              <w:t>($)</w:t>
            </w:r>
          </w:p>
        </w:tc>
        <w:tc>
          <w:tcPr>
            <w:tcW w:w="120" w:type="dxa"/>
            <w:vAlign w:val="bottom"/>
            <w:tcBorders>
              <w:bottom w:val="single" w:sz="8" w:color="auto"/>
            </w:tcBorders>
            <w:shd w:val="clear" w:color="auto" w:fill="DD924E"/>
          </w:tcPr>
          <w:p>
            <w:pPr>
              <w:spacing w:after="0"/>
              <w:rPr>
                <w:sz w:val="17"/>
                <w:szCs w:val="17"/>
                <w:color w:val="auto"/>
              </w:rPr>
            </w:pPr>
          </w:p>
        </w:tc>
        <w:tc>
          <w:tcPr>
            <w:tcW w:w="100" w:type="dxa"/>
            <w:vAlign w:val="bottom"/>
            <w:tcBorders>
              <w:bottom w:val="single" w:sz="8" w:color="DD924E"/>
            </w:tcBorders>
            <w:shd w:val="clear" w:color="auto" w:fill="DD924E"/>
          </w:tcPr>
          <w:p>
            <w:pPr>
              <w:spacing w:after="0"/>
              <w:rPr>
                <w:sz w:val="17"/>
                <w:szCs w:val="17"/>
                <w:color w:val="auto"/>
              </w:rPr>
            </w:pPr>
          </w:p>
        </w:tc>
        <w:tc>
          <w:tcPr>
            <w:tcW w:w="820" w:type="dxa"/>
            <w:vAlign w:val="bottom"/>
            <w:tcBorders>
              <w:bottom w:val="single" w:sz="8" w:color="auto"/>
              <w:right w:val="single" w:sz="8" w:color="DD924E"/>
            </w:tcBorders>
            <w:shd w:val="clear" w:color="auto" w:fill="DD924E"/>
          </w:tcPr>
          <w:p>
            <w:pPr>
              <w:jc w:val="right"/>
              <w:ind w:right="312"/>
              <w:spacing w:after="0"/>
              <w:rPr>
                <w:sz w:val="20"/>
                <w:szCs w:val="20"/>
                <w:color w:val="auto"/>
              </w:rPr>
            </w:pPr>
            <w:r>
              <w:rPr>
                <w:rFonts w:ascii="Arial" w:cs="Arial" w:eastAsia="Arial" w:hAnsi="Arial"/>
                <w:sz w:val="14"/>
                <w:szCs w:val="14"/>
                <w:b w:val="1"/>
                <w:bCs w:val="1"/>
                <w:color w:val="FFFFFF"/>
              </w:rPr>
              <w:t>($)</w:t>
            </w:r>
          </w:p>
        </w:tc>
      </w:tr>
      <w:tr>
        <w:trPr>
          <w:trHeight w:val="168"/>
        </w:trPr>
        <w:tc>
          <w:tcPr>
            <w:tcW w:w="160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Rohit Kapoor</w:t>
            </w:r>
          </w:p>
        </w:tc>
        <w:tc>
          <w:tcPr>
            <w:tcW w:w="460" w:type="dxa"/>
            <w:vAlign w:val="bottom"/>
            <w:gridSpan w:val="2"/>
            <w:shd w:val="clear" w:color="auto" w:fill="FBF4ED"/>
          </w:tcPr>
          <w:p>
            <w:pPr>
              <w:ind w:left="120"/>
              <w:spacing w:after="0"/>
              <w:rPr>
                <w:sz w:val="20"/>
                <w:szCs w:val="20"/>
                <w:color w:val="auto"/>
              </w:rPr>
            </w:pPr>
            <w:r>
              <w:rPr>
                <w:rFonts w:ascii="Arial" w:cs="Arial" w:eastAsia="Arial" w:hAnsi="Arial"/>
                <w:sz w:val="14"/>
                <w:szCs w:val="14"/>
                <w:color w:val="auto"/>
              </w:rPr>
              <w:t>2017</w:t>
            </w:r>
          </w:p>
        </w:tc>
        <w:tc>
          <w:tcPr>
            <w:tcW w:w="7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620,000</w:t>
            </w:r>
          </w:p>
        </w:tc>
        <w:tc>
          <w:tcPr>
            <w:tcW w:w="120" w:type="dxa"/>
            <w:vAlign w:val="bottom"/>
            <w:shd w:val="clear" w:color="auto" w:fill="FBF4ED"/>
          </w:tcPr>
          <w:p>
            <w:pPr>
              <w:spacing w:after="0"/>
              <w:rPr>
                <w:sz w:val="14"/>
                <w:szCs w:val="14"/>
                <w:color w:val="auto"/>
              </w:rPr>
            </w:pPr>
          </w:p>
        </w:tc>
        <w:tc>
          <w:tcPr>
            <w:tcW w:w="100" w:type="dxa"/>
            <w:vAlign w:val="bottom"/>
            <w:shd w:val="clear" w:color="auto" w:fill="FBF4ED"/>
          </w:tcPr>
          <w:p>
            <w:pPr>
              <w:spacing w:after="0"/>
              <w:rPr>
                <w:sz w:val="14"/>
                <w:szCs w:val="14"/>
                <w:color w:val="auto"/>
              </w:rPr>
            </w:pPr>
          </w:p>
        </w:tc>
        <w:tc>
          <w:tcPr>
            <w:tcW w:w="500" w:type="dxa"/>
            <w:vAlign w:val="bottom"/>
            <w:shd w:val="clear" w:color="auto" w:fill="FBF4ED"/>
          </w:tcPr>
          <w:p>
            <w:pPr>
              <w:ind w:left="360"/>
              <w:spacing w:after="0"/>
              <w:rPr>
                <w:sz w:val="20"/>
                <w:szCs w:val="20"/>
                <w:color w:val="auto"/>
              </w:rPr>
            </w:pPr>
            <w:r>
              <w:rPr>
                <w:rFonts w:ascii="Arial" w:cs="Arial" w:eastAsia="Arial" w:hAnsi="Arial"/>
                <w:sz w:val="14"/>
                <w:szCs w:val="14"/>
                <w:color w:val="auto"/>
                <w:w w:val="85"/>
              </w:rPr>
              <w:t>—</w:t>
            </w:r>
          </w:p>
        </w:tc>
        <w:tc>
          <w:tcPr>
            <w:tcW w:w="7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3,145,687</w:t>
            </w:r>
          </w:p>
        </w:tc>
        <w:tc>
          <w:tcPr>
            <w:tcW w:w="120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591,028</w:t>
            </w:r>
          </w:p>
        </w:tc>
        <w:tc>
          <w:tcPr>
            <w:tcW w:w="100" w:type="dxa"/>
            <w:vAlign w:val="bottom"/>
            <w:shd w:val="clear" w:color="auto" w:fill="FBF4ED"/>
          </w:tcPr>
          <w:p>
            <w:pPr>
              <w:spacing w:after="0"/>
              <w:rPr>
                <w:sz w:val="14"/>
                <w:szCs w:val="14"/>
                <w:color w:val="auto"/>
              </w:rPr>
            </w:pPr>
          </w:p>
        </w:tc>
        <w:tc>
          <w:tcPr>
            <w:tcW w:w="10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41,413</w:t>
            </w:r>
          </w:p>
        </w:tc>
        <w:tc>
          <w:tcPr>
            <w:tcW w:w="220" w:type="dxa"/>
            <w:vAlign w:val="bottom"/>
            <w:gridSpan w:val="2"/>
            <w:shd w:val="clear" w:color="auto" w:fill="FBF4ED"/>
          </w:tcPr>
          <w:p>
            <w:pPr>
              <w:jc w:val="right"/>
              <w:ind w:right="60"/>
              <w:spacing w:after="0"/>
              <w:rPr>
                <w:sz w:val="20"/>
                <w:szCs w:val="20"/>
                <w:color w:val="auto"/>
              </w:rPr>
            </w:pPr>
            <w:r>
              <w:rPr>
                <w:rFonts w:ascii="Arial" w:cs="Arial" w:eastAsia="Arial" w:hAnsi="Arial"/>
                <w:sz w:val="10"/>
                <w:szCs w:val="10"/>
                <w:color w:val="auto"/>
              </w:rPr>
              <w:t>(5)</w:t>
            </w:r>
          </w:p>
        </w:tc>
        <w:tc>
          <w:tcPr>
            <w:tcW w:w="820" w:type="dxa"/>
            <w:vAlign w:val="bottom"/>
            <w:tcBorders>
              <w:right w:val="single" w:sz="8" w:color="DD924E"/>
            </w:tcBorders>
            <w:shd w:val="clear" w:color="auto" w:fill="FBF4ED"/>
          </w:tcPr>
          <w:p>
            <w:pPr>
              <w:jc w:val="right"/>
              <w:ind w:right="12"/>
              <w:spacing w:after="0"/>
              <w:rPr>
                <w:sz w:val="20"/>
                <w:szCs w:val="20"/>
                <w:color w:val="auto"/>
              </w:rPr>
            </w:pPr>
            <w:r>
              <w:rPr>
                <w:rFonts w:ascii="Arial" w:cs="Arial" w:eastAsia="Arial" w:hAnsi="Arial"/>
                <w:sz w:val="14"/>
                <w:szCs w:val="14"/>
                <w:color w:val="auto"/>
              </w:rPr>
              <w:t>4,398,128</w:t>
            </w:r>
          </w:p>
        </w:tc>
      </w:tr>
      <w:tr>
        <w:trPr>
          <w:trHeight w:val="154"/>
        </w:trPr>
        <w:tc>
          <w:tcPr>
            <w:tcW w:w="60" w:type="dxa"/>
            <w:vAlign w:val="bottom"/>
            <w:tcBorders>
              <w:left w:val="single" w:sz="8" w:color="DD924E"/>
            </w:tcBorders>
            <w:shd w:val="clear" w:color="auto" w:fill="FBF4ED"/>
          </w:tcPr>
          <w:p>
            <w:pPr>
              <w:spacing w:after="0"/>
              <w:rPr>
                <w:sz w:val="13"/>
                <w:szCs w:val="13"/>
                <w:color w:val="auto"/>
              </w:rPr>
            </w:pPr>
          </w:p>
        </w:tc>
        <w:tc>
          <w:tcPr>
            <w:tcW w:w="1540" w:type="dxa"/>
            <w:vAlign w:val="bottom"/>
            <w:shd w:val="clear" w:color="auto" w:fill="FBF4ED"/>
          </w:tcPr>
          <w:p>
            <w:pPr>
              <w:ind w:left="160"/>
              <w:spacing w:after="0" w:line="154" w:lineRule="exact"/>
              <w:rPr>
                <w:sz w:val="20"/>
                <w:szCs w:val="20"/>
                <w:color w:val="auto"/>
              </w:rPr>
            </w:pPr>
            <w:r>
              <w:rPr>
                <w:rFonts w:ascii="Arial" w:cs="Arial" w:eastAsia="Arial" w:hAnsi="Arial"/>
                <w:sz w:val="14"/>
                <w:szCs w:val="14"/>
                <w:b w:val="1"/>
                <w:bCs w:val="1"/>
                <w:color w:val="auto"/>
              </w:rPr>
              <w:t>Vice Chairman &amp;</w:t>
            </w:r>
          </w:p>
        </w:tc>
        <w:tc>
          <w:tcPr>
            <w:tcW w:w="460" w:type="dxa"/>
            <w:vAlign w:val="bottom"/>
            <w:gridSpan w:val="2"/>
            <w:shd w:val="clear" w:color="auto" w:fill="FBF4ED"/>
          </w:tcPr>
          <w:p>
            <w:pPr>
              <w:ind w:left="120"/>
              <w:spacing w:after="0" w:line="154" w:lineRule="exact"/>
              <w:rPr>
                <w:sz w:val="20"/>
                <w:szCs w:val="20"/>
                <w:color w:val="auto"/>
              </w:rPr>
            </w:pPr>
            <w:r>
              <w:rPr>
                <w:rFonts w:ascii="Arial" w:cs="Arial" w:eastAsia="Arial" w:hAnsi="Arial"/>
                <w:sz w:val="14"/>
                <w:szCs w:val="14"/>
                <w:color w:val="auto"/>
              </w:rPr>
              <w:t>2016</w:t>
            </w:r>
          </w:p>
        </w:tc>
        <w:tc>
          <w:tcPr>
            <w:tcW w:w="76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615,027</w:t>
            </w:r>
          </w:p>
        </w:tc>
        <w:tc>
          <w:tcPr>
            <w:tcW w:w="120" w:type="dxa"/>
            <w:vAlign w:val="bottom"/>
            <w:shd w:val="clear" w:color="auto" w:fill="FBF4ED"/>
          </w:tcPr>
          <w:p>
            <w:pPr>
              <w:spacing w:after="0"/>
              <w:rPr>
                <w:sz w:val="13"/>
                <w:szCs w:val="13"/>
                <w:color w:val="auto"/>
              </w:rPr>
            </w:pPr>
          </w:p>
        </w:tc>
        <w:tc>
          <w:tcPr>
            <w:tcW w:w="100" w:type="dxa"/>
            <w:vAlign w:val="bottom"/>
            <w:shd w:val="clear" w:color="auto" w:fill="FBF4ED"/>
          </w:tcPr>
          <w:p>
            <w:pPr>
              <w:spacing w:after="0"/>
              <w:rPr>
                <w:sz w:val="13"/>
                <w:szCs w:val="13"/>
                <w:color w:val="auto"/>
              </w:rPr>
            </w:pPr>
          </w:p>
        </w:tc>
        <w:tc>
          <w:tcPr>
            <w:tcW w:w="500" w:type="dxa"/>
            <w:vAlign w:val="bottom"/>
            <w:shd w:val="clear" w:color="auto" w:fill="FBF4ED"/>
          </w:tcPr>
          <w:p>
            <w:pPr>
              <w:ind w:left="360"/>
              <w:spacing w:after="0" w:line="154" w:lineRule="exact"/>
              <w:rPr>
                <w:sz w:val="20"/>
                <w:szCs w:val="20"/>
                <w:color w:val="auto"/>
              </w:rPr>
            </w:pPr>
            <w:r>
              <w:rPr>
                <w:rFonts w:ascii="Arial" w:cs="Arial" w:eastAsia="Arial" w:hAnsi="Arial"/>
                <w:sz w:val="14"/>
                <w:szCs w:val="14"/>
                <w:color w:val="auto"/>
                <w:w w:val="85"/>
              </w:rPr>
              <w:t>—</w:t>
            </w:r>
          </w:p>
        </w:tc>
        <w:tc>
          <w:tcPr>
            <w:tcW w:w="78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4,005,938</w:t>
            </w:r>
          </w:p>
        </w:tc>
        <w:tc>
          <w:tcPr>
            <w:tcW w:w="120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525,043</w:t>
            </w:r>
          </w:p>
        </w:tc>
        <w:tc>
          <w:tcPr>
            <w:tcW w:w="100" w:type="dxa"/>
            <w:vAlign w:val="bottom"/>
            <w:shd w:val="clear" w:color="auto" w:fill="FBF4ED"/>
          </w:tcPr>
          <w:p>
            <w:pPr>
              <w:spacing w:after="0"/>
              <w:rPr>
                <w:sz w:val="13"/>
                <w:szCs w:val="13"/>
                <w:color w:val="auto"/>
              </w:rPr>
            </w:pPr>
          </w:p>
        </w:tc>
        <w:tc>
          <w:tcPr>
            <w:tcW w:w="1080" w:type="dxa"/>
            <w:vAlign w:val="bottom"/>
            <w:shd w:val="clear" w:color="auto" w:fill="FBF4ED"/>
          </w:tcPr>
          <w:p>
            <w:pPr>
              <w:jc w:val="right"/>
              <w:spacing w:after="0" w:line="154"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47,129</w:t>
            </w:r>
          </w:p>
        </w:tc>
        <w:tc>
          <w:tcPr>
            <w:tcW w:w="120" w:type="dxa"/>
            <w:vAlign w:val="bottom"/>
            <w:shd w:val="clear" w:color="auto" w:fill="FBF4ED"/>
          </w:tcPr>
          <w:p>
            <w:pPr>
              <w:spacing w:after="0"/>
              <w:rPr>
                <w:sz w:val="13"/>
                <w:szCs w:val="13"/>
                <w:color w:val="auto"/>
              </w:rPr>
            </w:pPr>
          </w:p>
        </w:tc>
        <w:tc>
          <w:tcPr>
            <w:tcW w:w="100" w:type="dxa"/>
            <w:vAlign w:val="bottom"/>
            <w:shd w:val="clear" w:color="auto" w:fill="FBF4ED"/>
          </w:tcPr>
          <w:p>
            <w:pPr>
              <w:spacing w:after="0"/>
              <w:rPr>
                <w:sz w:val="13"/>
                <w:szCs w:val="13"/>
                <w:color w:val="auto"/>
              </w:rPr>
            </w:pPr>
          </w:p>
        </w:tc>
        <w:tc>
          <w:tcPr>
            <w:tcW w:w="820" w:type="dxa"/>
            <w:vAlign w:val="bottom"/>
            <w:tcBorders>
              <w:right w:val="single" w:sz="8" w:color="DD924E"/>
            </w:tcBorders>
            <w:shd w:val="clear" w:color="auto" w:fill="FBF4ED"/>
          </w:tcPr>
          <w:p>
            <w:pPr>
              <w:jc w:val="right"/>
              <w:ind w:right="12"/>
              <w:spacing w:after="0" w:line="154" w:lineRule="exact"/>
              <w:rPr>
                <w:sz w:val="20"/>
                <w:szCs w:val="20"/>
                <w:color w:val="auto"/>
              </w:rPr>
            </w:pPr>
            <w:r>
              <w:rPr>
                <w:rFonts w:ascii="Arial" w:cs="Arial" w:eastAsia="Arial" w:hAnsi="Arial"/>
                <w:sz w:val="14"/>
                <w:szCs w:val="14"/>
                <w:color w:val="auto"/>
              </w:rPr>
              <w:t>5,193,137</w:t>
            </w:r>
          </w:p>
        </w:tc>
      </w:tr>
      <w:tr>
        <w:trPr>
          <w:trHeight w:val="191"/>
        </w:trPr>
        <w:tc>
          <w:tcPr>
            <w:tcW w:w="60" w:type="dxa"/>
            <w:vAlign w:val="bottom"/>
            <w:tcBorders>
              <w:left w:val="single" w:sz="8" w:color="DD924E"/>
            </w:tcBorders>
            <w:shd w:val="clear" w:color="auto" w:fill="FBF4ED"/>
          </w:tcPr>
          <w:p>
            <w:pPr>
              <w:spacing w:after="0"/>
              <w:rPr>
                <w:sz w:val="16"/>
                <w:szCs w:val="16"/>
                <w:color w:val="auto"/>
              </w:rPr>
            </w:pPr>
          </w:p>
        </w:tc>
        <w:tc>
          <w:tcPr>
            <w:tcW w:w="1540" w:type="dxa"/>
            <w:vAlign w:val="bottom"/>
            <w:shd w:val="clear" w:color="auto" w:fill="FBF4ED"/>
          </w:tcPr>
          <w:p>
            <w:pPr>
              <w:ind w:left="160"/>
              <w:spacing w:after="0"/>
              <w:rPr>
                <w:sz w:val="20"/>
                <w:szCs w:val="20"/>
                <w:color w:val="auto"/>
              </w:rPr>
            </w:pPr>
            <w:r>
              <w:rPr>
                <w:rFonts w:ascii="Arial" w:cs="Arial" w:eastAsia="Arial" w:hAnsi="Arial"/>
                <w:sz w:val="14"/>
                <w:szCs w:val="14"/>
                <w:b w:val="1"/>
                <w:bCs w:val="1"/>
                <w:color w:val="auto"/>
              </w:rPr>
              <w:t>CEO</w:t>
            </w:r>
          </w:p>
        </w:tc>
        <w:tc>
          <w:tcPr>
            <w:tcW w:w="460" w:type="dxa"/>
            <w:vAlign w:val="bottom"/>
            <w:gridSpan w:val="2"/>
            <w:shd w:val="clear" w:color="auto" w:fill="FBF4ED"/>
          </w:tcPr>
          <w:p>
            <w:pPr>
              <w:ind w:left="120"/>
              <w:spacing w:after="0"/>
              <w:rPr>
                <w:sz w:val="20"/>
                <w:szCs w:val="20"/>
                <w:color w:val="auto"/>
              </w:rPr>
            </w:pPr>
            <w:r>
              <w:rPr>
                <w:rFonts w:ascii="Arial" w:cs="Arial" w:eastAsia="Arial" w:hAnsi="Arial"/>
                <w:sz w:val="14"/>
                <w:szCs w:val="14"/>
                <w:color w:val="auto"/>
              </w:rPr>
              <w:t>2015</w:t>
            </w:r>
          </w:p>
        </w:tc>
        <w:tc>
          <w:tcPr>
            <w:tcW w:w="7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600,000</w:t>
            </w:r>
          </w:p>
        </w:tc>
        <w:tc>
          <w:tcPr>
            <w:tcW w:w="12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500" w:type="dxa"/>
            <w:vAlign w:val="bottom"/>
            <w:shd w:val="clear" w:color="auto" w:fill="FBF4ED"/>
          </w:tcPr>
          <w:p>
            <w:pPr>
              <w:ind w:left="360"/>
              <w:spacing w:after="0"/>
              <w:rPr>
                <w:sz w:val="20"/>
                <w:szCs w:val="20"/>
                <w:color w:val="auto"/>
              </w:rPr>
            </w:pPr>
            <w:r>
              <w:rPr>
                <w:rFonts w:ascii="Arial" w:cs="Arial" w:eastAsia="Arial" w:hAnsi="Arial"/>
                <w:sz w:val="14"/>
                <w:szCs w:val="14"/>
                <w:color w:val="auto"/>
                <w:w w:val="85"/>
              </w:rPr>
              <w:t>—</w:t>
            </w:r>
          </w:p>
        </w:tc>
        <w:tc>
          <w:tcPr>
            <w:tcW w:w="7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6,119,000</w:t>
            </w:r>
          </w:p>
        </w:tc>
        <w:tc>
          <w:tcPr>
            <w:tcW w:w="120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621,129</w:t>
            </w:r>
          </w:p>
        </w:tc>
        <w:tc>
          <w:tcPr>
            <w:tcW w:w="100" w:type="dxa"/>
            <w:vAlign w:val="bottom"/>
            <w:shd w:val="clear" w:color="auto" w:fill="FBF4ED"/>
          </w:tcPr>
          <w:p>
            <w:pPr>
              <w:spacing w:after="0"/>
              <w:rPr>
                <w:sz w:val="16"/>
                <w:szCs w:val="16"/>
                <w:color w:val="auto"/>
              </w:rPr>
            </w:pPr>
          </w:p>
        </w:tc>
        <w:tc>
          <w:tcPr>
            <w:tcW w:w="10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35,014</w:t>
            </w:r>
          </w:p>
        </w:tc>
        <w:tc>
          <w:tcPr>
            <w:tcW w:w="12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820" w:type="dxa"/>
            <w:vAlign w:val="bottom"/>
            <w:tcBorders>
              <w:right w:val="single" w:sz="8" w:color="DD924E"/>
            </w:tcBorders>
            <w:shd w:val="clear" w:color="auto" w:fill="FBF4ED"/>
          </w:tcPr>
          <w:p>
            <w:pPr>
              <w:jc w:val="right"/>
              <w:ind w:right="12"/>
              <w:spacing w:after="0"/>
              <w:rPr>
                <w:sz w:val="20"/>
                <w:szCs w:val="20"/>
                <w:color w:val="auto"/>
              </w:rPr>
            </w:pPr>
            <w:r>
              <w:rPr>
                <w:rFonts w:ascii="Arial" w:cs="Arial" w:eastAsia="Arial" w:hAnsi="Arial"/>
                <w:sz w:val="14"/>
                <w:szCs w:val="14"/>
                <w:color w:val="auto"/>
              </w:rPr>
              <w:t>7,375,143</w:t>
            </w:r>
          </w:p>
        </w:tc>
      </w:tr>
      <w:tr>
        <w:trPr>
          <w:trHeight w:val="168"/>
        </w:trPr>
        <w:tc>
          <w:tcPr>
            <w:tcW w:w="1600" w:type="dxa"/>
            <w:vAlign w:val="bottom"/>
            <w:tcBorders>
              <w:left w:val="single" w:sz="8" w:color="DD924E"/>
            </w:tcBorders>
            <w:gridSpan w:val="2"/>
          </w:tcPr>
          <w:p>
            <w:pPr>
              <w:ind w:left="60"/>
              <w:spacing w:after="0"/>
              <w:rPr>
                <w:sz w:val="20"/>
                <w:szCs w:val="20"/>
                <w:color w:val="auto"/>
              </w:rPr>
            </w:pPr>
            <w:r>
              <w:rPr>
                <w:rFonts w:ascii="Arial" w:cs="Arial" w:eastAsia="Arial" w:hAnsi="Arial"/>
                <w:sz w:val="14"/>
                <w:szCs w:val="14"/>
                <w:color w:val="auto"/>
              </w:rPr>
              <w:t>Vishal Chhibbar</w:t>
            </w:r>
          </w:p>
        </w:tc>
        <w:tc>
          <w:tcPr>
            <w:tcW w:w="460" w:type="dxa"/>
            <w:vAlign w:val="bottom"/>
            <w:gridSpan w:val="2"/>
          </w:tcPr>
          <w:p>
            <w:pPr>
              <w:ind w:left="120"/>
              <w:spacing w:after="0"/>
              <w:rPr>
                <w:sz w:val="20"/>
                <w:szCs w:val="20"/>
                <w:color w:val="auto"/>
              </w:rPr>
            </w:pPr>
            <w:r>
              <w:rPr>
                <w:rFonts w:ascii="Arial" w:cs="Arial" w:eastAsia="Arial" w:hAnsi="Arial"/>
                <w:sz w:val="14"/>
                <w:szCs w:val="14"/>
                <w:color w:val="auto"/>
              </w:rPr>
              <w:t>2017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717,639</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252,608</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8,990</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(6)</w:t>
            </w:r>
          </w:p>
        </w:tc>
        <w:tc>
          <w:tcPr>
            <w:tcW w:w="820" w:type="dxa"/>
            <w:vAlign w:val="bottom"/>
            <w:tcBorders>
              <w:right w:val="single" w:sz="8" w:color="DD924E"/>
            </w:tcBorders>
          </w:tcPr>
          <w:p>
            <w:pPr>
              <w:jc w:val="right"/>
              <w:ind w:right="12"/>
              <w:spacing w:after="0"/>
              <w:rPr>
                <w:sz w:val="20"/>
                <w:szCs w:val="20"/>
                <w:color w:val="auto"/>
              </w:rPr>
            </w:pPr>
            <w:r>
              <w:rPr>
                <w:rFonts w:ascii="Arial" w:cs="Arial" w:eastAsia="Arial" w:hAnsi="Arial"/>
                <w:sz w:val="14"/>
                <w:szCs w:val="14"/>
                <w:color w:val="auto"/>
              </w:rPr>
              <w:t>1,379,237</w:t>
            </w:r>
          </w:p>
        </w:tc>
      </w:tr>
      <w:tr>
        <w:trPr>
          <w:trHeight w:val="154"/>
        </w:trPr>
        <w:tc>
          <w:tcPr>
            <w:tcW w:w="60" w:type="dxa"/>
            <w:vAlign w:val="bottom"/>
            <w:tcBorders>
              <w:left w:val="single" w:sz="8" w:color="DD924E"/>
            </w:tcBorders>
          </w:tcPr>
          <w:p>
            <w:pPr>
              <w:spacing w:after="0"/>
              <w:rPr>
                <w:sz w:val="13"/>
                <w:szCs w:val="13"/>
                <w:color w:val="auto"/>
              </w:rPr>
            </w:pPr>
          </w:p>
        </w:tc>
        <w:tc>
          <w:tcPr>
            <w:tcW w:w="1540" w:type="dxa"/>
            <w:vAlign w:val="bottom"/>
          </w:tcPr>
          <w:p>
            <w:pPr>
              <w:ind w:left="160"/>
              <w:spacing w:after="0" w:line="154" w:lineRule="exact"/>
              <w:rPr>
                <w:sz w:val="20"/>
                <w:szCs w:val="20"/>
                <w:color w:val="auto"/>
              </w:rPr>
            </w:pPr>
            <w:r>
              <w:rPr>
                <w:rFonts w:ascii="Arial" w:cs="Arial" w:eastAsia="Arial" w:hAnsi="Arial"/>
                <w:sz w:val="14"/>
                <w:szCs w:val="14"/>
                <w:b w:val="1"/>
                <w:bCs w:val="1"/>
                <w:color w:val="auto"/>
              </w:rPr>
              <w:t>Executive Vice</w:t>
            </w:r>
          </w:p>
        </w:tc>
        <w:tc>
          <w:tcPr>
            <w:tcW w:w="460" w:type="dxa"/>
            <w:vAlign w:val="bottom"/>
            <w:gridSpan w:val="2"/>
          </w:tcPr>
          <w:p>
            <w:pPr>
              <w:ind w:left="120"/>
              <w:spacing w:after="0" w:line="154" w:lineRule="exact"/>
              <w:rPr>
                <w:sz w:val="20"/>
                <w:szCs w:val="20"/>
                <w:color w:val="auto"/>
              </w:rPr>
            </w:pPr>
            <w:r>
              <w:rPr>
                <w:rFonts w:ascii="Arial" w:cs="Arial" w:eastAsia="Arial" w:hAnsi="Arial"/>
                <w:sz w:val="14"/>
                <w:szCs w:val="14"/>
                <w:color w:val="auto"/>
              </w:rPr>
              <w:t>2016</w:t>
            </w:r>
          </w:p>
        </w:tc>
        <w:tc>
          <w:tcPr>
            <w:tcW w:w="76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411,054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ind w:left="360"/>
              <w:spacing w:after="0" w:line="154" w:lineRule="exact"/>
              <w:rPr>
                <w:sz w:val="20"/>
                <w:szCs w:val="20"/>
                <w:color w:val="auto"/>
              </w:rPr>
            </w:pPr>
            <w:r>
              <w:rPr>
                <w:rFonts w:ascii="Arial" w:cs="Arial" w:eastAsia="Arial" w:hAnsi="Arial"/>
                <w:sz w:val="14"/>
                <w:szCs w:val="14"/>
                <w:color w:val="auto"/>
                <w:w w:val="85"/>
              </w:rPr>
              <w:t>—</w:t>
            </w:r>
          </w:p>
        </w:tc>
        <w:tc>
          <w:tcPr>
            <w:tcW w:w="78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747,775</w:t>
            </w:r>
          </w:p>
        </w:tc>
        <w:tc>
          <w:tcPr>
            <w:tcW w:w="120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210,992</w:t>
            </w:r>
          </w:p>
        </w:tc>
        <w:tc>
          <w:tcPr>
            <w:tcW w:w="100" w:type="dxa"/>
            <w:vAlign w:val="bottom"/>
          </w:tcPr>
          <w:p>
            <w:pPr>
              <w:spacing w:after="0"/>
              <w:rPr>
                <w:sz w:val="13"/>
                <w:szCs w:val="13"/>
                <w:color w:val="auto"/>
              </w:rPr>
            </w:pPr>
          </w:p>
        </w:tc>
        <w:tc>
          <w:tcPr>
            <w:tcW w:w="108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108,340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right w:val="single" w:sz="8" w:color="DD924E"/>
            </w:tcBorders>
          </w:tcPr>
          <w:p>
            <w:pPr>
              <w:jc w:val="right"/>
              <w:ind w:right="12"/>
              <w:spacing w:after="0" w:line="154" w:lineRule="exact"/>
              <w:rPr>
                <w:sz w:val="20"/>
                <w:szCs w:val="20"/>
                <w:color w:val="auto"/>
              </w:rPr>
            </w:pPr>
            <w:r>
              <w:rPr>
                <w:rFonts w:ascii="Arial" w:cs="Arial" w:eastAsia="Arial" w:hAnsi="Arial"/>
                <w:sz w:val="14"/>
                <w:szCs w:val="14"/>
                <w:color w:val="auto"/>
              </w:rPr>
              <w:t>1,478,161</w:t>
            </w:r>
          </w:p>
        </w:tc>
      </w:tr>
      <w:tr>
        <w:trPr>
          <w:trHeight w:val="185"/>
        </w:trPr>
        <w:tc>
          <w:tcPr>
            <w:tcW w:w="60" w:type="dxa"/>
            <w:vAlign w:val="bottom"/>
            <w:tcBorders>
              <w:left w:val="single" w:sz="8" w:color="DD924E"/>
            </w:tcBorders>
          </w:tcPr>
          <w:p>
            <w:pPr>
              <w:spacing w:after="0"/>
              <w:rPr>
                <w:sz w:val="16"/>
                <w:szCs w:val="16"/>
                <w:color w:val="auto"/>
              </w:rPr>
            </w:pPr>
          </w:p>
        </w:tc>
        <w:tc>
          <w:tcPr>
            <w:tcW w:w="1540" w:type="dxa"/>
            <w:vAlign w:val="bottom"/>
          </w:tcPr>
          <w:p>
            <w:pPr>
              <w:ind w:left="160"/>
              <w:spacing w:after="0"/>
              <w:rPr>
                <w:sz w:val="20"/>
                <w:szCs w:val="20"/>
                <w:color w:val="auto"/>
              </w:rPr>
            </w:pPr>
            <w:r>
              <w:rPr>
                <w:rFonts w:ascii="Arial" w:cs="Arial" w:eastAsia="Arial" w:hAnsi="Arial"/>
                <w:sz w:val="14"/>
                <w:szCs w:val="14"/>
                <w:b w:val="1"/>
                <w:bCs w:val="1"/>
                <w:color w:val="auto"/>
              </w:rPr>
              <w:t>President and CFO</w:t>
            </w:r>
          </w:p>
        </w:tc>
        <w:tc>
          <w:tcPr>
            <w:tcW w:w="460" w:type="dxa"/>
            <w:vAlign w:val="bottom"/>
            <w:gridSpan w:val="2"/>
          </w:tcPr>
          <w:p>
            <w:pPr>
              <w:ind w:left="120"/>
              <w:spacing w:after="0"/>
              <w:rPr>
                <w:sz w:val="20"/>
                <w:szCs w:val="20"/>
                <w:color w:val="auto"/>
              </w:rPr>
            </w:pPr>
            <w:r>
              <w:rPr>
                <w:rFonts w:ascii="Arial" w:cs="Arial" w:eastAsia="Arial" w:hAnsi="Arial"/>
                <w:sz w:val="14"/>
                <w:szCs w:val="14"/>
                <w:color w:val="auto"/>
              </w:rPr>
              <w:t>2015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251,341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595,800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157,049</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8,340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34,775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right w:val="single" w:sz="8" w:color="DD924E"/>
            </w:tcBorders>
          </w:tcPr>
          <w:p>
            <w:pPr>
              <w:jc w:val="right"/>
              <w:ind w:right="12"/>
              <w:spacing w:after="0"/>
              <w:rPr>
                <w:sz w:val="20"/>
                <w:szCs w:val="20"/>
                <w:color w:val="auto"/>
              </w:rPr>
            </w:pPr>
            <w:r>
              <w:rPr>
                <w:rFonts w:ascii="Arial" w:cs="Arial" w:eastAsia="Arial" w:hAnsi="Arial"/>
                <w:sz w:val="14"/>
                <w:szCs w:val="14"/>
                <w:color w:val="auto"/>
              </w:rPr>
              <w:t>1,047,305</w:t>
            </w:r>
          </w:p>
        </w:tc>
      </w:tr>
      <w:tr>
        <w:trPr>
          <w:trHeight w:val="174"/>
        </w:trPr>
        <w:tc>
          <w:tcPr>
            <w:tcW w:w="160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Pavan Bagai</w:t>
            </w:r>
          </w:p>
        </w:tc>
        <w:tc>
          <w:tcPr>
            <w:tcW w:w="460" w:type="dxa"/>
            <w:vAlign w:val="bottom"/>
            <w:gridSpan w:val="2"/>
            <w:shd w:val="clear" w:color="auto" w:fill="FBF4ED"/>
          </w:tcPr>
          <w:p>
            <w:pPr>
              <w:ind w:left="120"/>
              <w:spacing w:after="0"/>
              <w:rPr>
                <w:sz w:val="20"/>
                <w:szCs w:val="20"/>
                <w:color w:val="auto"/>
              </w:rPr>
            </w:pPr>
            <w:r>
              <w:rPr>
                <w:rFonts w:ascii="Arial" w:cs="Arial" w:eastAsia="Arial" w:hAnsi="Arial"/>
                <w:sz w:val="14"/>
                <w:szCs w:val="14"/>
                <w:color w:val="auto"/>
              </w:rPr>
              <w:t>2017</w:t>
            </w:r>
          </w:p>
        </w:tc>
        <w:tc>
          <w:tcPr>
            <w:tcW w:w="7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296,139</w:t>
            </w:r>
          </w:p>
        </w:tc>
        <w:tc>
          <w:tcPr>
            <w:tcW w:w="220" w:type="dxa"/>
            <w:vAlign w:val="bottom"/>
            <w:gridSpan w:val="2"/>
            <w:shd w:val="clear" w:color="auto" w:fill="FBF4ED"/>
          </w:tcPr>
          <w:p>
            <w:pPr>
              <w:jc w:val="right"/>
              <w:ind w:right="80"/>
              <w:spacing w:after="0"/>
              <w:rPr>
                <w:sz w:val="20"/>
                <w:szCs w:val="20"/>
                <w:color w:val="auto"/>
              </w:rPr>
            </w:pPr>
            <w:r>
              <w:rPr>
                <w:rFonts w:ascii="Arial" w:cs="Arial" w:eastAsia="Arial" w:hAnsi="Arial"/>
                <w:sz w:val="10"/>
                <w:szCs w:val="10"/>
                <w:color w:val="auto"/>
                <w:w w:val="97"/>
              </w:rPr>
              <w:t>(1)</w:t>
            </w:r>
          </w:p>
        </w:tc>
        <w:tc>
          <w:tcPr>
            <w:tcW w:w="500" w:type="dxa"/>
            <w:vAlign w:val="bottom"/>
            <w:shd w:val="clear" w:color="auto" w:fill="FBF4ED"/>
          </w:tcPr>
          <w:p>
            <w:pPr>
              <w:ind w:left="360"/>
              <w:spacing w:after="0"/>
              <w:rPr>
                <w:sz w:val="20"/>
                <w:szCs w:val="20"/>
                <w:color w:val="auto"/>
              </w:rPr>
            </w:pPr>
            <w:r>
              <w:rPr>
                <w:rFonts w:ascii="Arial" w:cs="Arial" w:eastAsia="Arial" w:hAnsi="Arial"/>
                <w:sz w:val="14"/>
                <w:szCs w:val="14"/>
                <w:color w:val="auto"/>
                <w:w w:val="85"/>
              </w:rPr>
              <w:t>—</w:t>
            </w:r>
          </w:p>
        </w:tc>
        <w:tc>
          <w:tcPr>
            <w:tcW w:w="7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1,134,418</w:t>
            </w:r>
          </w:p>
        </w:tc>
        <w:tc>
          <w:tcPr>
            <w:tcW w:w="120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265,561</w:t>
            </w:r>
          </w:p>
        </w:tc>
        <w:tc>
          <w:tcPr>
            <w:tcW w:w="11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6,059</w:t>
            </w:r>
          </w:p>
        </w:tc>
        <w:tc>
          <w:tcPr>
            <w:tcW w:w="10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66,207</w:t>
            </w:r>
          </w:p>
        </w:tc>
        <w:tc>
          <w:tcPr>
            <w:tcW w:w="220" w:type="dxa"/>
            <w:vAlign w:val="bottom"/>
            <w:gridSpan w:val="2"/>
            <w:shd w:val="clear" w:color="auto" w:fill="FBF4ED"/>
          </w:tcPr>
          <w:p>
            <w:pPr>
              <w:jc w:val="right"/>
              <w:ind w:right="60"/>
              <w:spacing w:after="0"/>
              <w:rPr>
                <w:sz w:val="20"/>
                <w:szCs w:val="20"/>
                <w:color w:val="auto"/>
              </w:rPr>
            </w:pPr>
            <w:r>
              <w:rPr>
                <w:rFonts w:ascii="Arial" w:cs="Arial" w:eastAsia="Arial" w:hAnsi="Arial"/>
                <w:sz w:val="10"/>
                <w:szCs w:val="10"/>
                <w:color w:val="auto"/>
              </w:rPr>
              <w:t>(7)</w:t>
            </w:r>
          </w:p>
        </w:tc>
        <w:tc>
          <w:tcPr>
            <w:tcW w:w="820" w:type="dxa"/>
            <w:vAlign w:val="bottom"/>
            <w:tcBorders>
              <w:right w:val="single" w:sz="8" w:color="DD924E"/>
            </w:tcBorders>
            <w:shd w:val="clear" w:color="auto" w:fill="FBF4ED"/>
          </w:tcPr>
          <w:p>
            <w:pPr>
              <w:jc w:val="right"/>
              <w:ind w:right="12"/>
              <w:spacing w:after="0"/>
              <w:rPr>
                <w:sz w:val="20"/>
                <w:szCs w:val="20"/>
                <w:color w:val="auto"/>
              </w:rPr>
            </w:pPr>
            <w:r>
              <w:rPr>
                <w:rFonts w:ascii="Arial" w:cs="Arial" w:eastAsia="Arial" w:hAnsi="Arial"/>
                <w:sz w:val="14"/>
                <w:szCs w:val="14"/>
                <w:color w:val="auto"/>
              </w:rPr>
              <w:t>1,768,384</w:t>
            </w:r>
          </w:p>
        </w:tc>
      </w:tr>
      <w:tr>
        <w:trPr>
          <w:trHeight w:val="154"/>
        </w:trPr>
        <w:tc>
          <w:tcPr>
            <w:tcW w:w="60" w:type="dxa"/>
            <w:vAlign w:val="bottom"/>
            <w:tcBorders>
              <w:left w:val="single" w:sz="8" w:color="DD924E"/>
            </w:tcBorders>
            <w:shd w:val="clear" w:color="auto" w:fill="FBF4ED"/>
          </w:tcPr>
          <w:p>
            <w:pPr>
              <w:spacing w:after="0"/>
              <w:rPr>
                <w:sz w:val="13"/>
                <w:szCs w:val="13"/>
                <w:color w:val="auto"/>
              </w:rPr>
            </w:pPr>
          </w:p>
        </w:tc>
        <w:tc>
          <w:tcPr>
            <w:tcW w:w="1540" w:type="dxa"/>
            <w:vAlign w:val="bottom"/>
            <w:shd w:val="clear" w:color="auto" w:fill="FBF4ED"/>
          </w:tcPr>
          <w:p>
            <w:pPr>
              <w:ind w:left="160"/>
              <w:spacing w:after="0" w:line="154" w:lineRule="exact"/>
              <w:rPr>
                <w:sz w:val="20"/>
                <w:szCs w:val="20"/>
                <w:color w:val="auto"/>
              </w:rPr>
            </w:pPr>
            <w:r>
              <w:rPr>
                <w:rFonts w:ascii="Arial" w:cs="Arial" w:eastAsia="Arial" w:hAnsi="Arial"/>
                <w:sz w:val="14"/>
                <w:szCs w:val="14"/>
                <w:b w:val="1"/>
                <w:bCs w:val="1"/>
                <w:color w:val="auto"/>
              </w:rPr>
              <w:t>President &amp; Chief</w:t>
            </w:r>
          </w:p>
        </w:tc>
        <w:tc>
          <w:tcPr>
            <w:tcW w:w="460" w:type="dxa"/>
            <w:vAlign w:val="bottom"/>
            <w:gridSpan w:val="2"/>
            <w:shd w:val="clear" w:color="auto" w:fill="FBF4ED"/>
          </w:tcPr>
          <w:p>
            <w:pPr>
              <w:ind w:left="120"/>
              <w:spacing w:after="0" w:line="154" w:lineRule="exact"/>
              <w:rPr>
                <w:sz w:val="20"/>
                <w:szCs w:val="20"/>
                <w:color w:val="auto"/>
              </w:rPr>
            </w:pPr>
            <w:r>
              <w:rPr>
                <w:rFonts w:ascii="Arial" w:cs="Arial" w:eastAsia="Arial" w:hAnsi="Arial"/>
                <w:sz w:val="14"/>
                <w:szCs w:val="14"/>
                <w:color w:val="auto"/>
              </w:rPr>
              <w:t>2016</w:t>
            </w:r>
          </w:p>
        </w:tc>
        <w:tc>
          <w:tcPr>
            <w:tcW w:w="76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262,895</w:t>
            </w:r>
          </w:p>
        </w:tc>
        <w:tc>
          <w:tcPr>
            <w:tcW w:w="120" w:type="dxa"/>
            <w:vAlign w:val="bottom"/>
            <w:shd w:val="clear" w:color="auto" w:fill="FBF4ED"/>
          </w:tcPr>
          <w:p>
            <w:pPr>
              <w:spacing w:after="0"/>
              <w:rPr>
                <w:sz w:val="13"/>
                <w:szCs w:val="13"/>
                <w:color w:val="auto"/>
              </w:rPr>
            </w:pPr>
          </w:p>
        </w:tc>
        <w:tc>
          <w:tcPr>
            <w:tcW w:w="100" w:type="dxa"/>
            <w:vAlign w:val="bottom"/>
            <w:shd w:val="clear" w:color="auto" w:fill="FBF4ED"/>
          </w:tcPr>
          <w:p>
            <w:pPr>
              <w:spacing w:after="0"/>
              <w:rPr>
                <w:sz w:val="13"/>
                <w:szCs w:val="13"/>
                <w:color w:val="auto"/>
              </w:rPr>
            </w:pPr>
          </w:p>
        </w:tc>
        <w:tc>
          <w:tcPr>
            <w:tcW w:w="500" w:type="dxa"/>
            <w:vAlign w:val="bottom"/>
            <w:shd w:val="clear" w:color="auto" w:fill="FBF4ED"/>
          </w:tcPr>
          <w:p>
            <w:pPr>
              <w:ind w:left="360"/>
              <w:spacing w:after="0" w:line="154" w:lineRule="exact"/>
              <w:rPr>
                <w:sz w:val="20"/>
                <w:szCs w:val="20"/>
                <w:color w:val="auto"/>
              </w:rPr>
            </w:pPr>
            <w:r>
              <w:rPr>
                <w:rFonts w:ascii="Arial" w:cs="Arial" w:eastAsia="Arial" w:hAnsi="Arial"/>
                <w:sz w:val="14"/>
                <w:szCs w:val="14"/>
                <w:color w:val="auto"/>
                <w:w w:val="85"/>
              </w:rPr>
              <w:t>—</w:t>
            </w:r>
          </w:p>
        </w:tc>
        <w:tc>
          <w:tcPr>
            <w:tcW w:w="78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1,335,313</w:t>
            </w:r>
          </w:p>
        </w:tc>
        <w:tc>
          <w:tcPr>
            <w:tcW w:w="120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200,449</w:t>
            </w:r>
          </w:p>
        </w:tc>
        <w:tc>
          <w:tcPr>
            <w:tcW w:w="118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11,170</w:t>
            </w:r>
          </w:p>
        </w:tc>
        <w:tc>
          <w:tcPr>
            <w:tcW w:w="106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72,453</w:t>
            </w:r>
          </w:p>
        </w:tc>
        <w:tc>
          <w:tcPr>
            <w:tcW w:w="120" w:type="dxa"/>
            <w:vAlign w:val="bottom"/>
            <w:shd w:val="clear" w:color="auto" w:fill="FBF4ED"/>
          </w:tcPr>
          <w:p>
            <w:pPr>
              <w:spacing w:after="0"/>
              <w:rPr>
                <w:sz w:val="13"/>
                <w:szCs w:val="13"/>
                <w:color w:val="auto"/>
              </w:rPr>
            </w:pPr>
          </w:p>
        </w:tc>
        <w:tc>
          <w:tcPr>
            <w:tcW w:w="100" w:type="dxa"/>
            <w:vAlign w:val="bottom"/>
            <w:shd w:val="clear" w:color="auto" w:fill="FBF4ED"/>
          </w:tcPr>
          <w:p>
            <w:pPr>
              <w:spacing w:after="0"/>
              <w:rPr>
                <w:sz w:val="13"/>
                <w:szCs w:val="13"/>
                <w:color w:val="auto"/>
              </w:rPr>
            </w:pPr>
          </w:p>
        </w:tc>
        <w:tc>
          <w:tcPr>
            <w:tcW w:w="820" w:type="dxa"/>
            <w:vAlign w:val="bottom"/>
            <w:tcBorders>
              <w:right w:val="single" w:sz="8" w:color="DD924E"/>
            </w:tcBorders>
            <w:shd w:val="clear" w:color="auto" w:fill="FBF4ED"/>
          </w:tcPr>
          <w:p>
            <w:pPr>
              <w:jc w:val="right"/>
              <w:ind w:right="12"/>
              <w:spacing w:after="0" w:line="154" w:lineRule="exact"/>
              <w:rPr>
                <w:sz w:val="20"/>
                <w:szCs w:val="20"/>
                <w:color w:val="auto"/>
              </w:rPr>
            </w:pPr>
            <w:r>
              <w:rPr>
                <w:rFonts w:ascii="Arial" w:cs="Arial" w:eastAsia="Arial" w:hAnsi="Arial"/>
                <w:sz w:val="14"/>
                <w:szCs w:val="14"/>
                <w:color w:val="auto"/>
              </w:rPr>
              <w:t>1,882,280</w:t>
            </w:r>
          </w:p>
        </w:tc>
      </w:tr>
      <w:tr>
        <w:trPr>
          <w:trHeight w:val="191"/>
        </w:trPr>
        <w:tc>
          <w:tcPr>
            <w:tcW w:w="60" w:type="dxa"/>
            <w:vAlign w:val="bottom"/>
            <w:tcBorders>
              <w:left w:val="single" w:sz="8" w:color="DD924E"/>
            </w:tcBorders>
            <w:shd w:val="clear" w:color="auto" w:fill="FBF4ED"/>
          </w:tcPr>
          <w:p>
            <w:pPr>
              <w:spacing w:after="0"/>
              <w:rPr>
                <w:sz w:val="16"/>
                <w:szCs w:val="16"/>
                <w:color w:val="auto"/>
              </w:rPr>
            </w:pPr>
          </w:p>
        </w:tc>
        <w:tc>
          <w:tcPr>
            <w:tcW w:w="1540" w:type="dxa"/>
            <w:vAlign w:val="bottom"/>
            <w:shd w:val="clear" w:color="auto" w:fill="FBF4ED"/>
          </w:tcPr>
          <w:p>
            <w:pPr>
              <w:ind w:left="160"/>
              <w:spacing w:after="0"/>
              <w:rPr>
                <w:sz w:val="20"/>
                <w:szCs w:val="20"/>
                <w:color w:val="auto"/>
              </w:rPr>
            </w:pPr>
            <w:r>
              <w:rPr>
                <w:rFonts w:ascii="Arial" w:cs="Arial" w:eastAsia="Arial" w:hAnsi="Arial"/>
                <w:sz w:val="14"/>
                <w:szCs w:val="14"/>
                <w:b w:val="1"/>
                <w:bCs w:val="1"/>
                <w:color w:val="auto"/>
              </w:rPr>
              <w:t>Operating Officer</w:t>
            </w:r>
          </w:p>
        </w:tc>
        <w:tc>
          <w:tcPr>
            <w:tcW w:w="460" w:type="dxa"/>
            <w:vAlign w:val="bottom"/>
            <w:gridSpan w:val="2"/>
            <w:shd w:val="clear" w:color="auto" w:fill="FBF4ED"/>
          </w:tcPr>
          <w:p>
            <w:pPr>
              <w:ind w:left="120"/>
              <w:spacing w:after="0"/>
              <w:rPr>
                <w:sz w:val="20"/>
                <w:szCs w:val="20"/>
                <w:color w:val="auto"/>
              </w:rPr>
            </w:pPr>
            <w:r>
              <w:rPr>
                <w:rFonts w:ascii="Arial" w:cs="Arial" w:eastAsia="Arial" w:hAnsi="Arial"/>
                <w:sz w:val="14"/>
                <w:szCs w:val="14"/>
                <w:color w:val="auto"/>
              </w:rPr>
              <w:t>2015</w:t>
            </w:r>
          </w:p>
        </w:tc>
        <w:tc>
          <w:tcPr>
            <w:tcW w:w="7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242,590</w:t>
            </w:r>
          </w:p>
        </w:tc>
        <w:tc>
          <w:tcPr>
            <w:tcW w:w="12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500" w:type="dxa"/>
            <w:vAlign w:val="bottom"/>
            <w:shd w:val="clear" w:color="auto" w:fill="FBF4ED"/>
          </w:tcPr>
          <w:p>
            <w:pPr>
              <w:ind w:left="360"/>
              <w:spacing w:after="0"/>
              <w:rPr>
                <w:sz w:val="20"/>
                <w:szCs w:val="20"/>
                <w:color w:val="auto"/>
              </w:rPr>
            </w:pPr>
            <w:r>
              <w:rPr>
                <w:rFonts w:ascii="Arial" w:cs="Arial" w:eastAsia="Arial" w:hAnsi="Arial"/>
                <w:sz w:val="14"/>
                <w:szCs w:val="14"/>
                <w:color w:val="auto"/>
                <w:w w:val="85"/>
              </w:rPr>
              <w:t>—</w:t>
            </w:r>
          </w:p>
        </w:tc>
        <w:tc>
          <w:tcPr>
            <w:tcW w:w="7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993,000</w:t>
            </w:r>
          </w:p>
        </w:tc>
        <w:tc>
          <w:tcPr>
            <w:tcW w:w="120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246,239</w:t>
            </w:r>
          </w:p>
        </w:tc>
        <w:tc>
          <w:tcPr>
            <w:tcW w:w="11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9,386</w:t>
            </w:r>
          </w:p>
        </w:tc>
        <w:tc>
          <w:tcPr>
            <w:tcW w:w="10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76,164</w:t>
            </w:r>
          </w:p>
        </w:tc>
        <w:tc>
          <w:tcPr>
            <w:tcW w:w="12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820" w:type="dxa"/>
            <w:vAlign w:val="bottom"/>
            <w:tcBorders>
              <w:right w:val="single" w:sz="8" w:color="DD924E"/>
            </w:tcBorders>
            <w:shd w:val="clear" w:color="auto" w:fill="FBF4ED"/>
          </w:tcPr>
          <w:p>
            <w:pPr>
              <w:jc w:val="right"/>
              <w:ind w:right="12"/>
              <w:spacing w:after="0"/>
              <w:rPr>
                <w:sz w:val="20"/>
                <w:szCs w:val="20"/>
                <w:color w:val="auto"/>
              </w:rPr>
            </w:pPr>
            <w:r>
              <w:rPr>
                <w:rFonts w:ascii="Arial" w:cs="Arial" w:eastAsia="Arial" w:hAnsi="Arial"/>
                <w:sz w:val="14"/>
                <w:szCs w:val="14"/>
                <w:color w:val="auto"/>
              </w:rPr>
              <w:t>1,567,379</w:t>
            </w:r>
          </w:p>
        </w:tc>
      </w:tr>
      <w:tr>
        <w:trPr>
          <w:trHeight w:val="168"/>
        </w:trPr>
        <w:tc>
          <w:tcPr>
            <w:tcW w:w="1600" w:type="dxa"/>
            <w:vAlign w:val="bottom"/>
            <w:tcBorders>
              <w:left w:val="single" w:sz="8" w:color="DD924E"/>
            </w:tcBorders>
            <w:gridSpan w:val="2"/>
          </w:tcPr>
          <w:p>
            <w:pPr>
              <w:ind w:left="60"/>
              <w:spacing w:after="0"/>
              <w:rPr>
                <w:sz w:val="20"/>
                <w:szCs w:val="20"/>
                <w:color w:val="auto"/>
              </w:rPr>
            </w:pPr>
            <w:r>
              <w:rPr>
                <w:rFonts w:ascii="Arial" w:cs="Arial" w:eastAsia="Arial" w:hAnsi="Arial"/>
                <w:sz w:val="14"/>
                <w:szCs w:val="14"/>
                <w:color w:val="auto"/>
              </w:rPr>
              <w:t>Nagaraja Srivatsan</w:t>
            </w:r>
          </w:p>
        </w:tc>
        <w:tc>
          <w:tcPr>
            <w:tcW w:w="460" w:type="dxa"/>
            <w:vAlign w:val="bottom"/>
            <w:gridSpan w:val="2"/>
          </w:tcPr>
          <w:p>
            <w:pPr>
              <w:ind w:left="120"/>
              <w:spacing w:after="0"/>
              <w:rPr>
                <w:sz w:val="20"/>
                <w:szCs w:val="20"/>
                <w:color w:val="auto"/>
              </w:rPr>
            </w:pPr>
            <w:r>
              <w:rPr>
                <w:rFonts w:ascii="Arial" w:cs="Arial" w:eastAsia="Arial" w:hAnsi="Arial"/>
                <w:sz w:val="14"/>
                <w:szCs w:val="14"/>
                <w:color w:val="auto"/>
              </w:rPr>
              <w:t>2017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415,000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651,057</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302,701</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
              <w:spacing w:after="0"/>
              <w:rPr>
                <w:sz w:val="20"/>
                <w:szCs w:val="20"/>
                <w:color w:val="auto"/>
              </w:rPr>
            </w:pPr>
            <w:r>
              <w:rPr>
                <w:rFonts w:ascii="Arial" w:cs="Arial" w:eastAsia="Arial" w:hAnsi="Arial"/>
                <w:sz w:val="14"/>
                <w:szCs w:val="14"/>
                <w:color w:val="auto"/>
              </w:rPr>
              <w:t>8,490</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(8)</w:t>
            </w:r>
          </w:p>
        </w:tc>
        <w:tc>
          <w:tcPr>
            <w:tcW w:w="820" w:type="dxa"/>
            <w:vAlign w:val="bottom"/>
            <w:tcBorders>
              <w:right w:val="single" w:sz="8" w:color="DD924E"/>
            </w:tcBorders>
          </w:tcPr>
          <w:p>
            <w:pPr>
              <w:jc w:val="right"/>
              <w:ind w:right="12"/>
              <w:spacing w:after="0"/>
              <w:rPr>
                <w:sz w:val="20"/>
                <w:szCs w:val="20"/>
                <w:color w:val="auto"/>
              </w:rPr>
            </w:pPr>
            <w:r>
              <w:rPr>
                <w:rFonts w:ascii="Arial" w:cs="Arial" w:eastAsia="Arial" w:hAnsi="Arial"/>
                <w:sz w:val="14"/>
                <w:szCs w:val="14"/>
                <w:color w:val="auto"/>
              </w:rPr>
              <w:t>1,377,248</w:t>
            </w:r>
          </w:p>
        </w:tc>
      </w:tr>
      <w:tr>
        <w:trPr>
          <w:trHeight w:val="154"/>
        </w:trPr>
        <w:tc>
          <w:tcPr>
            <w:tcW w:w="60" w:type="dxa"/>
            <w:vAlign w:val="bottom"/>
            <w:tcBorders>
              <w:left w:val="single" w:sz="8" w:color="DD924E"/>
            </w:tcBorders>
          </w:tcPr>
          <w:p>
            <w:pPr>
              <w:spacing w:after="0"/>
              <w:rPr>
                <w:sz w:val="13"/>
                <w:szCs w:val="13"/>
                <w:color w:val="auto"/>
              </w:rPr>
            </w:pPr>
          </w:p>
        </w:tc>
        <w:tc>
          <w:tcPr>
            <w:tcW w:w="1540" w:type="dxa"/>
            <w:vAlign w:val="bottom"/>
          </w:tcPr>
          <w:p>
            <w:pPr>
              <w:ind w:left="160"/>
              <w:spacing w:after="0" w:line="154" w:lineRule="exact"/>
              <w:rPr>
                <w:sz w:val="20"/>
                <w:szCs w:val="20"/>
                <w:color w:val="auto"/>
              </w:rPr>
            </w:pPr>
            <w:r>
              <w:rPr>
                <w:rFonts w:ascii="Arial" w:cs="Arial" w:eastAsia="Arial" w:hAnsi="Arial"/>
                <w:sz w:val="14"/>
                <w:szCs w:val="14"/>
                <w:b w:val="1"/>
                <w:bCs w:val="1"/>
                <w:color w:val="auto"/>
              </w:rPr>
              <w:t>Executive Vice</w:t>
            </w:r>
          </w:p>
        </w:tc>
        <w:tc>
          <w:tcPr>
            <w:tcW w:w="460" w:type="dxa"/>
            <w:vAlign w:val="bottom"/>
            <w:gridSpan w:val="2"/>
          </w:tcPr>
          <w:p>
            <w:pPr>
              <w:ind w:left="120"/>
              <w:spacing w:after="0" w:line="154"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ind w:left="360"/>
              <w:spacing w:after="0" w:line="154"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68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8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6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right w:val="single" w:sz="8" w:color="DD924E"/>
            </w:tcBorders>
          </w:tcPr>
          <w:p>
            <w:pPr>
              <w:jc w:val="right"/>
              <w:ind w:right="12"/>
              <w:spacing w:after="0" w:line="154" w:lineRule="exact"/>
              <w:rPr>
                <w:sz w:val="20"/>
                <w:szCs w:val="20"/>
                <w:color w:val="auto"/>
              </w:rPr>
            </w:pPr>
            <w:r>
              <w:rPr>
                <w:rFonts w:ascii="Arial" w:cs="Arial" w:eastAsia="Arial" w:hAnsi="Arial"/>
                <w:sz w:val="14"/>
                <w:szCs w:val="14"/>
                <w:color w:val="auto"/>
              </w:rPr>
              <w:t>—</w:t>
            </w:r>
          </w:p>
        </w:tc>
      </w:tr>
      <w:tr>
        <w:trPr>
          <w:trHeight w:val="154"/>
        </w:trPr>
        <w:tc>
          <w:tcPr>
            <w:tcW w:w="60" w:type="dxa"/>
            <w:vAlign w:val="bottom"/>
            <w:tcBorders>
              <w:left w:val="single" w:sz="8" w:color="DD924E"/>
            </w:tcBorders>
          </w:tcPr>
          <w:p>
            <w:pPr>
              <w:spacing w:after="0"/>
              <w:rPr>
                <w:sz w:val="13"/>
                <w:szCs w:val="13"/>
                <w:color w:val="auto"/>
              </w:rPr>
            </w:pPr>
          </w:p>
        </w:tc>
        <w:tc>
          <w:tcPr>
            <w:tcW w:w="1540" w:type="dxa"/>
            <w:vAlign w:val="bottom"/>
          </w:tcPr>
          <w:p>
            <w:pPr>
              <w:ind w:left="160"/>
              <w:spacing w:after="0" w:line="154" w:lineRule="exact"/>
              <w:rPr>
                <w:sz w:val="20"/>
                <w:szCs w:val="20"/>
                <w:color w:val="auto"/>
              </w:rPr>
            </w:pPr>
            <w:r>
              <w:rPr>
                <w:rFonts w:ascii="Arial" w:cs="Arial" w:eastAsia="Arial" w:hAnsi="Arial"/>
                <w:sz w:val="14"/>
                <w:szCs w:val="14"/>
                <w:b w:val="1"/>
                <w:bCs w:val="1"/>
                <w:color w:val="auto"/>
              </w:rPr>
              <w:t>President and</w:t>
            </w:r>
          </w:p>
        </w:tc>
        <w:tc>
          <w:tcPr>
            <w:tcW w:w="460" w:type="dxa"/>
            <w:vAlign w:val="bottom"/>
            <w:gridSpan w:val="2"/>
          </w:tcPr>
          <w:p>
            <w:pPr>
              <w:ind w:left="120"/>
              <w:spacing w:after="0" w:line="154"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ind w:left="360"/>
              <w:spacing w:after="0" w:line="154"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68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8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6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right w:val="single" w:sz="8" w:color="DD924E"/>
            </w:tcBorders>
          </w:tcPr>
          <w:p>
            <w:pPr>
              <w:jc w:val="right"/>
              <w:ind w:right="12"/>
              <w:spacing w:after="0" w:line="154" w:lineRule="exact"/>
              <w:rPr>
                <w:sz w:val="20"/>
                <w:szCs w:val="20"/>
                <w:color w:val="auto"/>
              </w:rPr>
            </w:pPr>
            <w:r>
              <w:rPr>
                <w:rFonts w:ascii="Arial" w:cs="Arial" w:eastAsia="Arial" w:hAnsi="Arial"/>
                <w:sz w:val="14"/>
                <w:szCs w:val="14"/>
                <w:color w:val="auto"/>
              </w:rPr>
              <w:t>—</w:t>
            </w:r>
          </w:p>
        </w:tc>
      </w:tr>
      <w:tr>
        <w:trPr>
          <w:trHeight w:val="154"/>
        </w:trPr>
        <w:tc>
          <w:tcPr>
            <w:tcW w:w="60" w:type="dxa"/>
            <w:vAlign w:val="bottom"/>
            <w:tcBorders>
              <w:left w:val="single" w:sz="8" w:color="DD924E"/>
            </w:tcBorders>
          </w:tcPr>
          <w:p>
            <w:pPr>
              <w:spacing w:after="0"/>
              <w:rPr>
                <w:sz w:val="13"/>
                <w:szCs w:val="13"/>
                <w:color w:val="auto"/>
              </w:rPr>
            </w:pPr>
          </w:p>
        </w:tc>
        <w:tc>
          <w:tcPr>
            <w:tcW w:w="1540" w:type="dxa"/>
            <w:vAlign w:val="bottom"/>
          </w:tcPr>
          <w:p>
            <w:pPr>
              <w:ind w:left="160"/>
              <w:spacing w:after="0" w:line="154" w:lineRule="exact"/>
              <w:rPr>
                <w:sz w:val="20"/>
                <w:szCs w:val="20"/>
                <w:color w:val="auto"/>
              </w:rPr>
            </w:pPr>
            <w:r>
              <w:rPr>
                <w:rFonts w:ascii="Arial" w:cs="Arial" w:eastAsia="Arial" w:hAnsi="Arial"/>
                <w:sz w:val="14"/>
                <w:szCs w:val="14"/>
                <w:b w:val="1"/>
                <w:bCs w:val="1"/>
                <w:color w:val="auto"/>
              </w:rPr>
              <w:t>Chief Growth</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right w:val="single" w:sz="8" w:color="DD924E"/>
            </w:tcBorders>
          </w:tcPr>
          <w:p>
            <w:pPr>
              <w:spacing w:after="0"/>
              <w:rPr>
                <w:sz w:val="13"/>
                <w:szCs w:val="13"/>
                <w:color w:val="auto"/>
              </w:rPr>
            </w:pPr>
          </w:p>
        </w:tc>
      </w:tr>
      <w:tr>
        <w:trPr>
          <w:trHeight w:val="185"/>
        </w:trPr>
        <w:tc>
          <w:tcPr>
            <w:tcW w:w="60" w:type="dxa"/>
            <w:vAlign w:val="bottom"/>
            <w:tcBorders>
              <w:left w:val="single" w:sz="8" w:color="DD924E"/>
            </w:tcBorders>
          </w:tcPr>
          <w:p>
            <w:pPr>
              <w:spacing w:after="0"/>
              <w:rPr>
                <w:sz w:val="16"/>
                <w:szCs w:val="16"/>
                <w:color w:val="auto"/>
              </w:rPr>
            </w:pPr>
          </w:p>
        </w:tc>
        <w:tc>
          <w:tcPr>
            <w:tcW w:w="1540" w:type="dxa"/>
            <w:vAlign w:val="bottom"/>
          </w:tcPr>
          <w:p>
            <w:pPr>
              <w:ind w:left="160"/>
              <w:spacing w:after="0"/>
              <w:rPr>
                <w:sz w:val="20"/>
                <w:szCs w:val="20"/>
                <w:color w:val="auto"/>
              </w:rPr>
            </w:pPr>
            <w:r>
              <w:rPr>
                <w:rFonts w:ascii="Arial" w:cs="Arial" w:eastAsia="Arial" w:hAnsi="Arial"/>
                <w:sz w:val="14"/>
                <w:szCs w:val="14"/>
                <w:b w:val="1"/>
                <w:bCs w:val="1"/>
                <w:color w:val="auto"/>
              </w:rPr>
              <w:t>Officer</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right w:val="single" w:sz="8" w:color="DD924E"/>
            </w:tcBorders>
          </w:tcPr>
          <w:p>
            <w:pPr>
              <w:spacing w:after="0"/>
              <w:rPr>
                <w:sz w:val="16"/>
                <w:szCs w:val="16"/>
                <w:color w:val="auto"/>
              </w:rPr>
            </w:pPr>
          </w:p>
        </w:tc>
      </w:tr>
      <w:tr>
        <w:trPr>
          <w:trHeight w:val="174"/>
        </w:trPr>
        <w:tc>
          <w:tcPr>
            <w:tcW w:w="160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Nalin Miglani</w:t>
            </w:r>
          </w:p>
        </w:tc>
        <w:tc>
          <w:tcPr>
            <w:tcW w:w="460" w:type="dxa"/>
            <w:vAlign w:val="bottom"/>
            <w:gridSpan w:val="2"/>
            <w:shd w:val="clear" w:color="auto" w:fill="FBF4ED"/>
          </w:tcPr>
          <w:p>
            <w:pPr>
              <w:ind w:left="120"/>
              <w:spacing w:after="0"/>
              <w:rPr>
                <w:sz w:val="20"/>
                <w:szCs w:val="20"/>
                <w:color w:val="auto"/>
              </w:rPr>
            </w:pPr>
            <w:r>
              <w:rPr>
                <w:rFonts w:ascii="Arial" w:cs="Arial" w:eastAsia="Arial" w:hAnsi="Arial"/>
                <w:sz w:val="14"/>
                <w:szCs w:val="14"/>
                <w:color w:val="auto"/>
              </w:rPr>
              <w:t>2017</w:t>
            </w:r>
          </w:p>
        </w:tc>
        <w:tc>
          <w:tcPr>
            <w:tcW w:w="7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410,000</w:t>
            </w:r>
          </w:p>
        </w:tc>
        <w:tc>
          <w:tcPr>
            <w:tcW w:w="120" w:type="dxa"/>
            <w:vAlign w:val="bottom"/>
            <w:shd w:val="clear" w:color="auto" w:fill="FBF4ED"/>
          </w:tcPr>
          <w:p>
            <w:pPr>
              <w:spacing w:after="0"/>
              <w:rPr>
                <w:sz w:val="15"/>
                <w:szCs w:val="15"/>
                <w:color w:val="auto"/>
              </w:rPr>
            </w:pPr>
          </w:p>
        </w:tc>
        <w:tc>
          <w:tcPr>
            <w:tcW w:w="100" w:type="dxa"/>
            <w:vAlign w:val="bottom"/>
            <w:shd w:val="clear" w:color="auto" w:fill="FBF4ED"/>
          </w:tcPr>
          <w:p>
            <w:pPr>
              <w:spacing w:after="0"/>
              <w:rPr>
                <w:sz w:val="15"/>
                <w:szCs w:val="15"/>
                <w:color w:val="auto"/>
              </w:rPr>
            </w:pPr>
          </w:p>
        </w:tc>
        <w:tc>
          <w:tcPr>
            <w:tcW w:w="500" w:type="dxa"/>
            <w:vAlign w:val="bottom"/>
            <w:shd w:val="clear" w:color="auto" w:fill="FBF4ED"/>
          </w:tcPr>
          <w:p>
            <w:pPr>
              <w:ind w:left="360"/>
              <w:spacing w:after="0"/>
              <w:rPr>
                <w:sz w:val="20"/>
                <w:szCs w:val="20"/>
                <w:color w:val="auto"/>
              </w:rPr>
            </w:pPr>
            <w:r>
              <w:rPr>
                <w:rFonts w:ascii="Arial" w:cs="Arial" w:eastAsia="Arial" w:hAnsi="Arial"/>
                <w:sz w:val="14"/>
                <w:szCs w:val="14"/>
                <w:color w:val="auto"/>
                <w:w w:val="85"/>
              </w:rPr>
              <w:t>—</w:t>
            </w:r>
          </w:p>
        </w:tc>
        <w:tc>
          <w:tcPr>
            <w:tcW w:w="7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705,312</w:t>
            </w:r>
          </w:p>
        </w:tc>
        <w:tc>
          <w:tcPr>
            <w:tcW w:w="120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249,083</w:t>
            </w:r>
          </w:p>
        </w:tc>
        <w:tc>
          <w:tcPr>
            <w:tcW w:w="100" w:type="dxa"/>
            <w:vAlign w:val="bottom"/>
            <w:shd w:val="clear" w:color="auto" w:fill="FBF4ED"/>
          </w:tcPr>
          <w:p>
            <w:pPr>
              <w:spacing w:after="0"/>
              <w:rPr>
                <w:sz w:val="15"/>
                <w:szCs w:val="15"/>
                <w:color w:val="auto"/>
              </w:rPr>
            </w:pPr>
          </w:p>
        </w:tc>
        <w:tc>
          <w:tcPr>
            <w:tcW w:w="10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8,490</w:t>
            </w:r>
          </w:p>
        </w:tc>
        <w:tc>
          <w:tcPr>
            <w:tcW w:w="220" w:type="dxa"/>
            <w:vAlign w:val="bottom"/>
            <w:gridSpan w:val="2"/>
            <w:shd w:val="clear" w:color="auto" w:fill="FBF4ED"/>
          </w:tcPr>
          <w:p>
            <w:pPr>
              <w:jc w:val="right"/>
              <w:ind w:right="60"/>
              <w:spacing w:after="0"/>
              <w:rPr>
                <w:sz w:val="20"/>
                <w:szCs w:val="20"/>
                <w:color w:val="auto"/>
              </w:rPr>
            </w:pPr>
            <w:r>
              <w:rPr>
                <w:rFonts w:ascii="Arial" w:cs="Arial" w:eastAsia="Arial" w:hAnsi="Arial"/>
                <w:sz w:val="10"/>
                <w:szCs w:val="10"/>
                <w:color w:val="auto"/>
              </w:rPr>
              <w:t>(9)</w:t>
            </w:r>
          </w:p>
        </w:tc>
        <w:tc>
          <w:tcPr>
            <w:tcW w:w="820" w:type="dxa"/>
            <w:vAlign w:val="bottom"/>
            <w:tcBorders>
              <w:right w:val="single" w:sz="8" w:color="DD924E"/>
            </w:tcBorders>
            <w:shd w:val="clear" w:color="auto" w:fill="FBF4ED"/>
          </w:tcPr>
          <w:p>
            <w:pPr>
              <w:jc w:val="right"/>
              <w:ind w:right="12"/>
              <w:spacing w:after="0"/>
              <w:rPr>
                <w:sz w:val="20"/>
                <w:szCs w:val="20"/>
                <w:color w:val="auto"/>
              </w:rPr>
            </w:pPr>
            <w:r>
              <w:rPr>
                <w:rFonts w:ascii="Arial" w:cs="Arial" w:eastAsia="Arial" w:hAnsi="Arial"/>
                <w:sz w:val="14"/>
                <w:szCs w:val="14"/>
                <w:color w:val="auto"/>
              </w:rPr>
              <w:t>1,372,885</w:t>
            </w:r>
          </w:p>
        </w:tc>
      </w:tr>
      <w:tr>
        <w:trPr>
          <w:trHeight w:val="154"/>
        </w:trPr>
        <w:tc>
          <w:tcPr>
            <w:tcW w:w="60" w:type="dxa"/>
            <w:vAlign w:val="bottom"/>
            <w:tcBorders>
              <w:left w:val="single" w:sz="8" w:color="DD924E"/>
            </w:tcBorders>
            <w:shd w:val="clear" w:color="auto" w:fill="FBF4ED"/>
          </w:tcPr>
          <w:p>
            <w:pPr>
              <w:spacing w:after="0"/>
              <w:rPr>
                <w:sz w:val="13"/>
                <w:szCs w:val="13"/>
                <w:color w:val="auto"/>
              </w:rPr>
            </w:pPr>
          </w:p>
        </w:tc>
        <w:tc>
          <w:tcPr>
            <w:tcW w:w="1540" w:type="dxa"/>
            <w:vAlign w:val="bottom"/>
            <w:shd w:val="clear" w:color="auto" w:fill="FBF4ED"/>
          </w:tcPr>
          <w:p>
            <w:pPr>
              <w:ind w:left="160"/>
              <w:spacing w:after="0" w:line="154" w:lineRule="exact"/>
              <w:rPr>
                <w:sz w:val="20"/>
                <w:szCs w:val="20"/>
                <w:color w:val="auto"/>
              </w:rPr>
            </w:pPr>
            <w:r>
              <w:rPr>
                <w:rFonts w:ascii="Arial" w:cs="Arial" w:eastAsia="Arial" w:hAnsi="Arial"/>
                <w:sz w:val="14"/>
                <w:szCs w:val="14"/>
                <w:b w:val="1"/>
                <w:bCs w:val="1"/>
                <w:color w:val="auto"/>
              </w:rPr>
              <w:t>Executive Vice</w:t>
            </w:r>
          </w:p>
        </w:tc>
        <w:tc>
          <w:tcPr>
            <w:tcW w:w="460" w:type="dxa"/>
            <w:vAlign w:val="bottom"/>
            <w:gridSpan w:val="2"/>
            <w:shd w:val="clear" w:color="auto" w:fill="FBF4ED"/>
          </w:tcPr>
          <w:p>
            <w:pPr>
              <w:ind w:left="120"/>
              <w:spacing w:after="0" w:line="154" w:lineRule="exact"/>
              <w:rPr>
                <w:sz w:val="20"/>
                <w:szCs w:val="20"/>
                <w:color w:val="auto"/>
              </w:rPr>
            </w:pPr>
            <w:r>
              <w:rPr>
                <w:rFonts w:ascii="Arial" w:cs="Arial" w:eastAsia="Arial" w:hAnsi="Arial"/>
                <w:sz w:val="14"/>
                <w:szCs w:val="14"/>
                <w:color w:val="auto"/>
              </w:rPr>
              <w:t>2016</w:t>
            </w:r>
          </w:p>
        </w:tc>
        <w:tc>
          <w:tcPr>
            <w:tcW w:w="76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407,514</w:t>
            </w:r>
          </w:p>
        </w:tc>
        <w:tc>
          <w:tcPr>
            <w:tcW w:w="120" w:type="dxa"/>
            <w:vAlign w:val="bottom"/>
            <w:shd w:val="clear" w:color="auto" w:fill="FBF4ED"/>
          </w:tcPr>
          <w:p>
            <w:pPr>
              <w:spacing w:after="0"/>
              <w:rPr>
                <w:sz w:val="13"/>
                <w:szCs w:val="13"/>
                <w:color w:val="auto"/>
              </w:rPr>
            </w:pPr>
          </w:p>
        </w:tc>
        <w:tc>
          <w:tcPr>
            <w:tcW w:w="100" w:type="dxa"/>
            <w:vAlign w:val="bottom"/>
            <w:shd w:val="clear" w:color="auto" w:fill="FBF4ED"/>
          </w:tcPr>
          <w:p>
            <w:pPr>
              <w:spacing w:after="0"/>
              <w:rPr>
                <w:sz w:val="13"/>
                <w:szCs w:val="13"/>
                <w:color w:val="auto"/>
              </w:rPr>
            </w:pPr>
          </w:p>
        </w:tc>
        <w:tc>
          <w:tcPr>
            <w:tcW w:w="500" w:type="dxa"/>
            <w:vAlign w:val="bottom"/>
            <w:shd w:val="clear" w:color="auto" w:fill="FBF4ED"/>
          </w:tcPr>
          <w:p>
            <w:pPr>
              <w:ind w:left="360"/>
              <w:spacing w:after="0" w:line="154" w:lineRule="exact"/>
              <w:rPr>
                <w:sz w:val="20"/>
                <w:szCs w:val="20"/>
                <w:color w:val="auto"/>
              </w:rPr>
            </w:pPr>
            <w:r>
              <w:rPr>
                <w:rFonts w:ascii="Arial" w:cs="Arial" w:eastAsia="Arial" w:hAnsi="Arial"/>
                <w:sz w:val="14"/>
                <w:szCs w:val="14"/>
                <w:color w:val="auto"/>
                <w:w w:val="85"/>
              </w:rPr>
              <w:t>—</w:t>
            </w:r>
          </w:p>
        </w:tc>
        <w:tc>
          <w:tcPr>
            <w:tcW w:w="78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640,950</w:t>
            </w:r>
          </w:p>
        </w:tc>
        <w:tc>
          <w:tcPr>
            <w:tcW w:w="120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231,104</w:t>
            </w:r>
          </w:p>
        </w:tc>
        <w:tc>
          <w:tcPr>
            <w:tcW w:w="100" w:type="dxa"/>
            <w:vAlign w:val="bottom"/>
            <w:shd w:val="clear" w:color="auto" w:fill="FBF4ED"/>
          </w:tcPr>
          <w:p>
            <w:pPr>
              <w:spacing w:after="0"/>
              <w:rPr>
                <w:sz w:val="13"/>
                <w:szCs w:val="13"/>
                <w:color w:val="auto"/>
              </w:rPr>
            </w:pPr>
          </w:p>
        </w:tc>
        <w:tc>
          <w:tcPr>
            <w:tcW w:w="1080" w:type="dxa"/>
            <w:vAlign w:val="bottom"/>
            <w:shd w:val="clear" w:color="auto" w:fill="FBF4ED"/>
          </w:tcPr>
          <w:p>
            <w:pPr>
              <w:jc w:val="right"/>
              <w:spacing w:after="0" w:line="154"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8,340</w:t>
            </w:r>
          </w:p>
        </w:tc>
        <w:tc>
          <w:tcPr>
            <w:tcW w:w="120" w:type="dxa"/>
            <w:vAlign w:val="bottom"/>
            <w:shd w:val="clear" w:color="auto" w:fill="FBF4ED"/>
          </w:tcPr>
          <w:p>
            <w:pPr>
              <w:spacing w:after="0"/>
              <w:rPr>
                <w:sz w:val="13"/>
                <w:szCs w:val="13"/>
                <w:color w:val="auto"/>
              </w:rPr>
            </w:pPr>
          </w:p>
        </w:tc>
        <w:tc>
          <w:tcPr>
            <w:tcW w:w="100" w:type="dxa"/>
            <w:vAlign w:val="bottom"/>
            <w:shd w:val="clear" w:color="auto" w:fill="FBF4ED"/>
          </w:tcPr>
          <w:p>
            <w:pPr>
              <w:spacing w:after="0"/>
              <w:rPr>
                <w:sz w:val="13"/>
                <w:szCs w:val="13"/>
                <w:color w:val="auto"/>
              </w:rPr>
            </w:pPr>
          </w:p>
        </w:tc>
        <w:tc>
          <w:tcPr>
            <w:tcW w:w="820" w:type="dxa"/>
            <w:vAlign w:val="bottom"/>
            <w:tcBorders>
              <w:right w:val="single" w:sz="8" w:color="DD924E"/>
            </w:tcBorders>
            <w:shd w:val="clear" w:color="auto" w:fill="FBF4ED"/>
          </w:tcPr>
          <w:p>
            <w:pPr>
              <w:jc w:val="right"/>
              <w:ind w:right="12"/>
              <w:spacing w:after="0" w:line="154" w:lineRule="exact"/>
              <w:rPr>
                <w:sz w:val="20"/>
                <w:szCs w:val="20"/>
                <w:color w:val="auto"/>
              </w:rPr>
            </w:pPr>
            <w:r>
              <w:rPr>
                <w:rFonts w:ascii="Arial" w:cs="Arial" w:eastAsia="Arial" w:hAnsi="Arial"/>
                <w:sz w:val="14"/>
                <w:szCs w:val="14"/>
                <w:color w:val="auto"/>
              </w:rPr>
              <w:t>1,287,908</w:t>
            </w:r>
          </w:p>
        </w:tc>
      </w:tr>
      <w:tr>
        <w:trPr>
          <w:trHeight w:val="154"/>
        </w:trPr>
        <w:tc>
          <w:tcPr>
            <w:tcW w:w="60" w:type="dxa"/>
            <w:vAlign w:val="bottom"/>
            <w:tcBorders>
              <w:left w:val="single" w:sz="8" w:color="DD924E"/>
            </w:tcBorders>
            <w:shd w:val="clear" w:color="auto" w:fill="FBF4ED"/>
          </w:tcPr>
          <w:p>
            <w:pPr>
              <w:spacing w:after="0"/>
              <w:rPr>
                <w:sz w:val="13"/>
                <w:szCs w:val="13"/>
                <w:color w:val="auto"/>
              </w:rPr>
            </w:pPr>
          </w:p>
        </w:tc>
        <w:tc>
          <w:tcPr>
            <w:tcW w:w="1540" w:type="dxa"/>
            <w:vAlign w:val="bottom"/>
            <w:shd w:val="clear" w:color="auto" w:fill="FBF4ED"/>
          </w:tcPr>
          <w:p>
            <w:pPr>
              <w:ind w:left="160"/>
              <w:spacing w:after="0" w:line="154" w:lineRule="exact"/>
              <w:rPr>
                <w:sz w:val="20"/>
                <w:szCs w:val="20"/>
                <w:color w:val="auto"/>
              </w:rPr>
            </w:pPr>
            <w:r>
              <w:rPr>
                <w:rFonts w:ascii="Arial" w:cs="Arial" w:eastAsia="Arial" w:hAnsi="Arial"/>
                <w:sz w:val="14"/>
                <w:szCs w:val="14"/>
                <w:b w:val="1"/>
                <w:bCs w:val="1"/>
                <w:color w:val="auto"/>
              </w:rPr>
              <w:t>President and</w:t>
            </w:r>
          </w:p>
        </w:tc>
        <w:tc>
          <w:tcPr>
            <w:tcW w:w="460" w:type="dxa"/>
            <w:vAlign w:val="bottom"/>
            <w:gridSpan w:val="2"/>
            <w:shd w:val="clear" w:color="auto" w:fill="FBF4ED"/>
          </w:tcPr>
          <w:p>
            <w:pPr>
              <w:ind w:left="120"/>
              <w:spacing w:after="0" w:line="154" w:lineRule="exact"/>
              <w:rPr>
                <w:sz w:val="20"/>
                <w:szCs w:val="20"/>
                <w:color w:val="auto"/>
              </w:rPr>
            </w:pPr>
            <w:r>
              <w:rPr>
                <w:rFonts w:ascii="Arial" w:cs="Arial" w:eastAsia="Arial" w:hAnsi="Arial"/>
                <w:sz w:val="14"/>
                <w:szCs w:val="14"/>
                <w:color w:val="auto"/>
              </w:rPr>
              <w:t>2015</w:t>
            </w:r>
          </w:p>
        </w:tc>
        <w:tc>
          <w:tcPr>
            <w:tcW w:w="76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400,000</w:t>
            </w:r>
          </w:p>
        </w:tc>
        <w:tc>
          <w:tcPr>
            <w:tcW w:w="120" w:type="dxa"/>
            <w:vAlign w:val="bottom"/>
            <w:shd w:val="clear" w:color="auto" w:fill="FBF4ED"/>
          </w:tcPr>
          <w:p>
            <w:pPr>
              <w:spacing w:after="0"/>
              <w:rPr>
                <w:sz w:val="13"/>
                <w:szCs w:val="13"/>
                <w:color w:val="auto"/>
              </w:rPr>
            </w:pPr>
          </w:p>
        </w:tc>
        <w:tc>
          <w:tcPr>
            <w:tcW w:w="100" w:type="dxa"/>
            <w:vAlign w:val="bottom"/>
            <w:shd w:val="clear" w:color="auto" w:fill="FBF4ED"/>
          </w:tcPr>
          <w:p>
            <w:pPr>
              <w:spacing w:after="0"/>
              <w:rPr>
                <w:sz w:val="13"/>
                <w:szCs w:val="13"/>
                <w:color w:val="auto"/>
              </w:rPr>
            </w:pPr>
          </w:p>
        </w:tc>
        <w:tc>
          <w:tcPr>
            <w:tcW w:w="500" w:type="dxa"/>
            <w:vAlign w:val="bottom"/>
            <w:shd w:val="clear" w:color="auto" w:fill="FBF4ED"/>
          </w:tcPr>
          <w:p>
            <w:pPr>
              <w:ind w:left="360"/>
              <w:spacing w:after="0" w:line="154" w:lineRule="exact"/>
              <w:rPr>
                <w:sz w:val="20"/>
                <w:szCs w:val="20"/>
                <w:color w:val="auto"/>
              </w:rPr>
            </w:pPr>
            <w:r>
              <w:rPr>
                <w:rFonts w:ascii="Arial" w:cs="Arial" w:eastAsia="Arial" w:hAnsi="Arial"/>
                <w:sz w:val="14"/>
                <w:szCs w:val="14"/>
                <w:color w:val="auto"/>
                <w:w w:val="85"/>
              </w:rPr>
              <w:t>—</w:t>
            </w:r>
          </w:p>
        </w:tc>
        <w:tc>
          <w:tcPr>
            <w:tcW w:w="78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476,640</w:t>
            </w:r>
          </w:p>
        </w:tc>
        <w:tc>
          <w:tcPr>
            <w:tcW w:w="120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274,840</w:t>
            </w:r>
          </w:p>
        </w:tc>
        <w:tc>
          <w:tcPr>
            <w:tcW w:w="100" w:type="dxa"/>
            <w:vAlign w:val="bottom"/>
            <w:shd w:val="clear" w:color="auto" w:fill="FBF4ED"/>
          </w:tcPr>
          <w:p>
            <w:pPr>
              <w:spacing w:after="0"/>
              <w:rPr>
                <w:sz w:val="13"/>
                <w:szCs w:val="13"/>
                <w:color w:val="auto"/>
              </w:rPr>
            </w:pPr>
          </w:p>
        </w:tc>
        <w:tc>
          <w:tcPr>
            <w:tcW w:w="1080" w:type="dxa"/>
            <w:vAlign w:val="bottom"/>
            <w:shd w:val="clear" w:color="auto" w:fill="FBF4ED"/>
          </w:tcPr>
          <w:p>
            <w:pPr>
              <w:jc w:val="right"/>
              <w:spacing w:after="0" w:line="154"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FBF4ED"/>
          </w:tcPr>
          <w:p>
            <w:pPr>
              <w:jc w:val="right"/>
              <w:spacing w:after="0" w:line="154" w:lineRule="exact"/>
              <w:rPr>
                <w:sz w:val="20"/>
                <w:szCs w:val="20"/>
                <w:color w:val="auto"/>
              </w:rPr>
            </w:pPr>
            <w:r>
              <w:rPr>
                <w:rFonts w:ascii="Arial" w:cs="Arial" w:eastAsia="Arial" w:hAnsi="Arial"/>
                <w:sz w:val="14"/>
                <w:szCs w:val="14"/>
                <w:color w:val="auto"/>
              </w:rPr>
              <w:t>81,520</w:t>
            </w:r>
          </w:p>
        </w:tc>
        <w:tc>
          <w:tcPr>
            <w:tcW w:w="120" w:type="dxa"/>
            <w:vAlign w:val="bottom"/>
            <w:shd w:val="clear" w:color="auto" w:fill="FBF4ED"/>
          </w:tcPr>
          <w:p>
            <w:pPr>
              <w:spacing w:after="0"/>
              <w:rPr>
                <w:sz w:val="13"/>
                <w:szCs w:val="13"/>
                <w:color w:val="auto"/>
              </w:rPr>
            </w:pPr>
          </w:p>
        </w:tc>
        <w:tc>
          <w:tcPr>
            <w:tcW w:w="100" w:type="dxa"/>
            <w:vAlign w:val="bottom"/>
            <w:shd w:val="clear" w:color="auto" w:fill="FBF4ED"/>
          </w:tcPr>
          <w:p>
            <w:pPr>
              <w:spacing w:after="0"/>
              <w:rPr>
                <w:sz w:val="13"/>
                <w:szCs w:val="13"/>
                <w:color w:val="auto"/>
              </w:rPr>
            </w:pPr>
          </w:p>
        </w:tc>
        <w:tc>
          <w:tcPr>
            <w:tcW w:w="820" w:type="dxa"/>
            <w:vAlign w:val="bottom"/>
            <w:tcBorders>
              <w:right w:val="single" w:sz="8" w:color="DD924E"/>
            </w:tcBorders>
            <w:shd w:val="clear" w:color="auto" w:fill="FBF4ED"/>
          </w:tcPr>
          <w:p>
            <w:pPr>
              <w:jc w:val="right"/>
              <w:ind w:right="12"/>
              <w:spacing w:after="0" w:line="154" w:lineRule="exact"/>
              <w:rPr>
                <w:sz w:val="20"/>
                <w:szCs w:val="20"/>
                <w:color w:val="auto"/>
              </w:rPr>
            </w:pPr>
            <w:r>
              <w:rPr>
                <w:rFonts w:ascii="Arial" w:cs="Arial" w:eastAsia="Arial" w:hAnsi="Arial"/>
                <w:sz w:val="14"/>
                <w:szCs w:val="14"/>
                <w:color w:val="auto"/>
              </w:rPr>
              <w:t>1,233,000</w:t>
            </w:r>
          </w:p>
        </w:tc>
      </w:tr>
      <w:tr>
        <w:trPr>
          <w:trHeight w:val="154"/>
        </w:trPr>
        <w:tc>
          <w:tcPr>
            <w:tcW w:w="60" w:type="dxa"/>
            <w:vAlign w:val="bottom"/>
            <w:tcBorders>
              <w:left w:val="single" w:sz="8" w:color="DD924E"/>
            </w:tcBorders>
            <w:shd w:val="clear" w:color="auto" w:fill="FBF4ED"/>
          </w:tcPr>
          <w:p>
            <w:pPr>
              <w:spacing w:after="0"/>
              <w:rPr>
                <w:sz w:val="13"/>
                <w:szCs w:val="13"/>
                <w:color w:val="auto"/>
              </w:rPr>
            </w:pPr>
          </w:p>
        </w:tc>
        <w:tc>
          <w:tcPr>
            <w:tcW w:w="1540" w:type="dxa"/>
            <w:vAlign w:val="bottom"/>
            <w:shd w:val="clear" w:color="auto" w:fill="FBF4ED"/>
          </w:tcPr>
          <w:p>
            <w:pPr>
              <w:ind w:left="160"/>
              <w:spacing w:after="0" w:line="154" w:lineRule="exact"/>
              <w:rPr>
                <w:sz w:val="20"/>
                <w:szCs w:val="20"/>
                <w:color w:val="auto"/>
              </w:rPr>
            </w:pPr>
            <w:r>
              <w:rPr>
                <w:rFonts w:ascii="Arial" w:cs="Arial" w:eastAsia="Arial" w:hAnsi="Arial"/>
                <w:sz w:val="14"/>
                <w:szCs w:val="14"/>
                <w:b w:val="1"/>
                <w:bCs w:val="1"/>
                <w:color w:val="auto"/>
              </w:rPr>
              <w:t>Chief Human</w:t>
            </w:r>
          </w:p>
        </w:tc>
        <w:tc>
          <w:tcPr>
            <w:tcW w:w="100" w:type="dxa"/>
            <w:vAlign w:val="bottom"/>
            <w:shd w:val="clear" w:color="auto" w:fill="FBF4ED"/>
          </w:tcPr>
          <w:p>
            <w:pPr>
              <w:spacing w:after="0"/>
              <w:rPr>
                <w:sz w:val="13"/>
                <w:szCs w:val="13"/>
                <w:color w:val="auto"/>
              </w:rPr>
            </w:pPr>
          </w:p>
        </w:tc>
        <w:tc>
          <w:tcPr>
            <w:tcW w:w="360" w:type="dxa"/>
            <w:vAlign w:val="bottom"/>
            <w:shd w:val="clear" w:color="auto" w:fill="FBF4ED"/>
          </w:tcPr>
          <w:p>
            <w:pPr>
              <w:spacing w:after="0"/>
              <w:rPr>
                <w:sz w:val="13"/>
                <w:szCs w:val="13"/>
                <w:color w:val="auto"/>
              </w:rPr>
            </w:pPr>
          </w:p>
        </w:tc>
        <w:tc>
          <w:tcPr>
            <w:tcW w:w="100" w:type="dxa"/>
            <w:vAlign w:val="bottom"/>
            <w:shd w:val="clear" w:color="auto" w:fill="FBF4ED"/>
          </w:tcPr>
          <w:p>
            <w:pPr>
              <w:spacing w:after="0"/>
              <w:rPr>
                <w:sz w:val="13"/>
                <w:szCs w:val="13"/>
                <w:color w:val="auto"/>
              </w:rPr>
            </w:pPr>
          </w:p>
        </w:tc>
        <w:tc>
          <w:tcPr>
            <w:tcW w:w="660" w:type="dxa"/>
            <w:vAlign w:val="bottom"/>
            <w:shd w:val="clear" w:color="auto" w:fill="FBF4ED"/>
          </w:tcPr>
          <w:p>
            <w:pPr>
              <w:spacing w:after="0"/>
              <w:rPr>
                <w:sz w:val="13"/>
                <w:szCs w:val="13"/>
                <w:color w:val="auto"/>
              </w:rPr>
            </w:pPr>
          </w:p>
        </w:tc>
        <w:tc>
          <w:tcPr>
            <w:tcW w:w="120" w:type="dxa"/>
            <w:vAlign w:val="bottom"/>
            <w:shd w:val="clear" w:color="auto" w:fill="FBF4ED"/>
          </w:tcPr>
          <w:p>
            <w:pPr>
              <w:spacing w:after="0"/>
              <w:rPr>
                <w:sz w:val="13"/>
                <w:szCs w:val="13"/>
                <w:color w:val="auto"/>
              </w:rPr>
            </w:pPr>
          </w:p>
        </w:tc>
        <w:tc>
          <w:tcPr>
            <w:tcW w:w="100" w:type="dxa"/>
            <w:vAlign w:val="bottom"/>
            <w:shd w:val="clear" w:color="auto" w:fill="FBF4ED"/>
          </w:tcPr>
          <w:p>
            <w:pPr>
              <w:spacing w:after="0"/>
              <w:rPr>
                <w:sz w:val="13"/>
                <w:szCs w:val="13"/>
                <w:color w:val="auto"/>
              </w:rPr>
            </w:pPr>
          </w:p>
        </w:tc>
        <w:tc>
          <w:tcPr>
            <w:tcW w:w="500" w:type="dxa"/>
            <w:vAlign w:val="bottom"/>
            <w:shd w:val="clear" w:color="auto" w:fill="FBF4ED"/>
          </w:tcPr>
          <w:p>
            <w:pPr>
              <w:spacing w:after="0"/>
              <w:rPr>
                <w:sz w:val="13"/>
                <w:szCs w:val="13"/>
                <w:color w:val="auto"/>
              </w:rPr>
            </w:pPr>
          </w:p>
        </w:tc>
        <w:tc>
          <w:tcPr>
            <w:tcW w:w="100" w:type="dxa"/>
            <w:vAlign w:val="bottom"/>
            <w:shd w:val="clear" w:color="auto" w:fill="FBF4ED"/>
          </w:tcPr>
          <w:p>
            <w:pPr>
              <w:spacing w:after="0"/>
              <w:rPr>
                <w:sz w:val="13"/>
                <w:szCs w:val="13"/>
                <w:color w:val="auto"/>
              </w:rPr>
            </w:pPr>
          </w:p>
        </w:tc>
        <w:tc>
          <w:tcPr>
            <w:tcW w:w="680" w:type="dxa"/>
            <w:vAlign w:val="bottom"/>
            <w:shd w:val="clear" w:color="auto" w:fill="FBF4ED"/>
          </w:tcPr>
          <w:p>
            <w:pPr>
              <w:spacing w:after="0"/>
              <w:rPr>
                <w:sz w:val="13"/>
                <w:szCs w:val="13"/>
                <w:color w:val="auto"/>
              </w:rPr>
            </w:pPr>
          </w:p>
        </w:tc>
        <w:tc>
          <w:tcPr>
            <w:tcW w:w="100" w:type="dxa"/>
            <w:vAlign w:val="bottom"/>
            <w:shd w:val="clear" w:color="auto" w:fill="FBF4ED"/>
          </w:tcPr>
          <w:p>
            <w:pPr>
              <w:spacing w:after="0"/>
              <w:rPr>
                <w:sz w:val="13"/>
                <w:szCs w:val="13"/>
                <w:color w:val="auto"/>
              </w:rPr>
            </w:pPr>
          </w:p>
        </w:tc>
        <w:tc>
          <w:tcPr>
            <w:tcW w:w="1100" w:type="dxa"/>
            <w:vAlign w:val="bottom"/>
            <w:shd w:val="clear" w:color="auto" w:fill="FBF4ED"/>
          </w:tcPr>
          <w:p>
            <w:pPr>
              <w:spacing w:after="0"/>
              <w:rPr>
                <w:sz w:val="13"/>
                <w:szCs w:val="13"/>
                <w:color w:val="auto"/>
              </w:rPr>
            </w:pPr>
          </w:p>
        </w:tc>
        <w:tc>
          <w:tcPr>
            <w:tcW w:w="100" w:type="dxa"/>
            <w:vAlign w:val="bottom"/>
            <w:shd w:val="clear" w:color="auto" w:fill="FBF4ED"/>
          </w:tcPr>
          <w:p>
            <w:pPr>
              <w:spacing w:after="0"/>
              <w:rPr>
                <w:sz w:val="13"/>
                <w:szCs w:val="13"/>
                <w:color w:val="auto"/>
              </w:rPr>
            </w:pPr>
          </w:p>
        </w:tc>
        <w:tc>
          <w:tcPr>
            <w:tcW w:w="1080" w:type="dxa"/>
            <w:vAlign w:val="bottom"/>
            <w:shd w:val="clear" w:color="auto" w:fill="FBF4ED"/>
          </w:tcPr>
          <w:p>
            <w:pPr>
              <w:spacing w:after="0"/>
              <w:rPr>
                <w:sz w:val="13"/>
                <w:szCs w:val="13"/>
                <w:color w:val="auto"/>
              </w:rPr>
            </w:pPr>
          </w:p>
        </w:tc>
        <w:tc>
          <w:tcPr>
            <w:tcW w:w="100" w:type="dxa"/>
            <w:vAlign w:val="bottom"/>
            <w:shd w:val="clear" w:color="auto" w:fill="FBF4ED"/>
          </w:tcPr>
          <w:p>
            <w:pPr>
              <w:spacing w:after="0"/>
              <w:rPr>
                <w:sz w:val="13"/>
                <w:szCs w:val="13"/>
                <w:color w:val="auto"/>
              </w:rPr>
            </w:pPr>
          </w:p>
        </w:tc>
        <w:tc>
          <w:tcPr>
            <w:tcW w:w="960" w:type="dxa"/>
            <w:vAlign w:val="bottom"/>
            <w:shd w:val="clear" w:color="auto" w:fill="FBF4ED"/>
          </w:tcPr>
          <w:p>
            <w:pPr>
              <w:spacing w:after="0"/>
              <w:rPr>
                <w:sz w:val="13"/>
                <w:szCs w:val="13"/>
                <w:color w:val="auto"/>
              </w:rPr>
            </w:pPr>
          </w:p>
        </w:tc>
        <w:tc>
          <w:tcPr>
            <w:tcW w:w="120" w:type="dxa"/>
            <w:vAlign w:val="bottom"/>
            <w:shd w:val="clear" w:color="auto" w:fill="FBF4ED"/>
          </w:tcPr>
          <w:p>
            <w:pPr>
              <w:spacing w:after="0"/>
              <w:rPr>
                <w:sz w:val="13"/>
                <w:szCs w:val="13"/>
                <w:color w:val="auto"/>
              </w:rPr>
            </w:pPr>
          </w:p>
        </w:tc>
        <w:tc>
          <w:tcPr>
            <w:tcW w:w="100" w:type="dxa"/>
            <w:vAlign w:val="bottom"/>
            <w:shd w:val="clear" w:color="auto" w:fill="FBF4ED"/>
          </w:tcPr>
          <w:p>
            <w:pPr>
              <w:spacing w:after="0"/>
              <w:rPr>
                <w:sz w:val="13"/>
                <w:szCs w:val="13"/>
                <w:color w:val="auto"/>
              </w:rPr>
            </w:pPr>
          </w:p>
        </w:tc>
        <w:tc>
          <w:tcPr>
            <w:tcW w:w="820" w:type="dxa"/>
            <w:vAlign w:val="bottom"/>
            <w:tcBorders>
              <w:right w:val="single" w:sz="8" w:color="DD924E"/>
            </w:tcBorders>
            <w:shd w:val="clear" w:color="auto" w:fill="FBF4ED"/>
          </w:tcPr>
          <w:p>
            <w:pPr>
              <w:spacing w:after="0"/>
              <w:rPr>
                <w:sz w:val="13"/>
                <w:szCs w:val="13"/>
                <w:color w:val="auto"/>
              </w:rPr>
            </w:pPr>
          </w:p>
        </w:tc>
      </w:tr>
      <w:tr>
        <w:trPr>
          <w:trHeight w:val="185"/>
        </w:trPr>
        <w:tc>
          <w:tcPr>
            <w:tcW w:w="60" w:type="dxa"/>
            <w:vAlign w:val="bottom"/>
            <w:tcBorders>
              <w:left w:val="single" w:sz="8" w:color="DD924E"/>
              <w:bottom w:val="single" w:sz="8" w:color="DD924E"/>
            </w:tcBorders>
            <w:shd w:val="clear" w:color="auto" w:fill="FBF4ED"/>
          </w:tcPr>
          <w:p>
            <w:pPr>
              <w:spacing w:after="0"/>
              <w:rPr>
                <w:sz w:val="16"/>
                <w:szCs w:val="16"/>
                <w:color w:val="auto"/>
              </w:rPr>
            </w:pPr>
          </w:p>
        </w:tc>
        <w:tc>
          <w:tcPr>
            <w:tcW w:w="1540" w:type="dxa"/>
            <w:vAlign w:val="bottom"/>
            <w:tcBorders>
              <w:bottom w:val="single" w:sz="8" w:color="DD924E"/>
            </w:tcBorders>
            <w:shd w:val="clear" w:color="auto" w:fill="FBF4ED"/>
          </w:tcPr>
          <w:p>
            <w:pPr>
              <w:ind w:left="160"/>
              <w:spacing w:after="0"/>
              <w:rPr>
                <w:sz w:val="20"/>
                <w:szCs w:val="20"/>
                <w:color w:val="auto"/>
              </w:rPr>
            </w:pPr>
            <w:r>
              <w:rPr>
                <w:rFonts w:ascii="Arial" w:cs="Arial" w:eastAsia="Arial" w:hAnsi="Arial"/>
                <w:sz w:val="14"/>
                <w:szCs w:val="14"/>
                <w:b w:val="1"/>
                <w:bCs w:val="1"/>
                <w:color w:val="auto"/>
              </w:rPr>
              <w:t>Resources Officer</w:t>
            </w:r>
          </w:p>
        </w:tc>
        <w:tc>
          <w:tcPr>
            <w:tcW w:w="100" w:type="dxa"/>
            <w:vAlign w:val="bottom"/>
            <w:tcBorders>
              <w:bottom w:val="single" w:sz="8" w:color="DD924E"/>
            </w:tcBorders>
            <w:shd w:val="clear" w:color="auto" w:fill="FBF4ED"/>
          </w:tcPr>
          <w:p>
            <w:pPr>
              <w:spacing w:after="0"/>
              <w:rPr>
                <w:sz w:val="16"/>
                <w:szCs w:val="16"/>
                <w:color w:val="auto"/>
              </w:rPr>
            </w:pPr>
          </w:p>
        </w:tc>
        <w:tc>
          <w:tcPr>
            <w:tcW w:w="360" w:type="dxa"/>
            <w:vAlign w:val="bottom"/>
            <w:tcBorders>
              <w:bottom w:val="single" w:sz="8" w:color="DD924E"/>
            </w:tcBorders>
            <w:shd w:val="clear" w:color="auto" w:fill="FBF4ED"/>
          </w:tcPr>
          <w:p>
            <w:pPr>
              <w:spacing w:after="0"/>
              <w:rPr>
                <w:sz w:val="16"/>
                <w:szCs w:val="16"/>
                <w:color w:val="auto"/>
              </w:rPr>
            </w:pPr>
          </w:p>
        </w:tc>
        <w:tc>
          <w:tcPr>
            <w:tcW w:w="100" w:type="dxa"/>
            <w:vAlign w:val="bottom"/>
            <w:tcBorders>
              <w:bottom w:val="single" w:sz="8" w:color="DD924E"/>
            </w:tcBorders>
            <w:shd w:val="clear" w:color="auto" w:fill="FBF4ED"/>
          </w:tcPr>
          <w:p>
            <w:pPr>
              <w:spacing w:after="0"/>
              <w:rPr>
                <w:sz w:val="16"/>
                <w:szCs w:val="16"/>
                <w:color w:val="auto"/>
              </w:rPr>
            </w:pPr>
          </w:p>
        </w:tc>
        <w:tc>
          <w:tcPr>
            <w:tcW w:w="660" w:type="dxa"/>
            <w:vAlign w:val="bottom"/>
            <w:tcBorders>
              <w:bottom w:val="single" w:sz="8" w:color="DD924E"/>
            </w:tcBorders>
            <w:shd w:val="clear" w:color="auto" w:fill="FBF4ED"/>
          </w:tcPr>
          <w:p>
            <w:pPr>
              <w:spacing w:after="0"/>
              <w:rPr>
                <w:sz w:val="16"/>
                <w:szCs w:val="16"/>
                <w:color w:val="auto"/>
              </w:rPr>
            </w:pPr>
          </w:p>
        </w:tc>
        <w:tc>
          <w:tcPr>
            <w:tcW w:w="120" w:type="dxa"/>
            <w:vAlign w:val="bottom"/>
            <w:tcBorders>
              <w:bottom w:val="single" w:sz="8" w:color="DD924E"/>
            </w:tcBorders>
            <w:shd w:val="clear" w:color="auto" w:fill="FBF4ED"/>
          </w:tcPr>
          <w:p>
            <w:pPr>
              <w:spacing w:after="0"/>
              <w:rPr>
                <w:sz w:val="16"/>
                <w:szCs w:val="16"/>
                <w:color w:val="auto"/>
              </w:rPr>
            </w:pPr>
          </w:p>
        </w:tc>
        <w:tc>
          <w:tcPr>
            <w:tcW w:w="100" w:type="dxa"/>
            <w:vAlign w:val="bottom"/>
            <w:tcBorders>
              <w:bottom w:val="single" w:sz="8" w:color="DD924E"/>
            </w:tcBorders>
            <w:shd w:val="clear" w:color="auto" w:fill="FBF4ED"/>
          </w:tcPr>
          <w:p>
            <w:pPr>
              <w:spacing w:after="0"/>
              <w:rPr>
                <w:sz w:val="16"/>
                <w:szCs w:val="16"/>
                <w:color w:val="auto"/>
              </w:rPr>
            </w:pPr>
          </w:p>
        </w:tc>
        <w:tc>
          <w:tcPr>
            <w:tcW w:w="500" w:type="dxa"/>
            <w:vAlign w:val="bottom"/>
            <w:tcBorders>
              <w:bottom w:val="single" w:sz="8" w:color="DD924E"/>
            </w:tcBorders>
            <w:shd w:val="clear" w:color="auto" w:fill="FBF4ED"/>
          </w:tcPr>
          <w:p>
            <w:pPr>
              <w:spacing w:after="0"/>
              <w:rPr>
                <w:sz w:val="16"/>
                <w:szCs w:val="16"/>
                <w:color w:val="auto"/>
              </w:rPr>
            </w:pPr>
          </w:p>
        </w:tc>
        <w:tc>
          <w:tcPr>
            <w:tcW w:w="100" w:type="dxa"/>
            <w:vAlign w:val="bottom"/>
            <w:tcBorders>
              <w:bottom w:val="single" w:sz="8" w:color="DD924E"/>
            </w:tcBorders>
            <w:shd w:val="clear" w:color="auto" w:fill="FBF4ED"/>
          </w:tcPr>
          <w:p>
            <w:pPr>
              <w:spacing w:after="0"/>
              <w:rPr>
                <w:sz w:val="16"/>
                <w:szCs w:val="16"/>
                <w:color w:val="auto"/>
              </w:rPr>
            </w:pPr>
          </w:p>
        </w:tc>
        <w:tc>
          <w:tcPr>
            <w:tcW w:w="680" w:type="dxa"/>
            <w:vAlign w:val="bottom"/>
            <w:tcBorders>
              <w:bottom w:val="single" w:sz="8" w:color="DD924E"/>
            </w:tcBorders>
            <w:shd w:val="clear" w:color="auto" w:fill="FBF4ED"/>
          </w:tcPr>
          <w:p>
            <w:pPr>
              <w:spacing w:after="0"/>
              <w:rPr>
                <w:sz w:val="16"/>
                <w:szCs w:val="16"/>
                <w:color w:val="auto"/>
              </w:rPr>
            </w:pPr>
          </w:p>
        </w:tc>
        <w:tc>
          <w:tcPr>
            <w:tcW w:w="100" w:type="dxa"/>
            <w:vAlign w:val="bottom"/>
            <w:tcBorders>
              <w:bottom w:val="single" w:sz="8" w:color="DD924E"/>
            </w:tcBorders>
            <w:shd w:val="clear" w:color="auto" w:fill="FBF4ED"/>
          </w:tcPr>
          <w:p>
            <w:pPr>
              <w:spacing w:after="0"/>
              <w:rPr>
                <w:sz w:val="16"/>
                <w:szCs w:val="16"/>
                <w:color w:val="auto"/>
              </w:rPr>
            </w:pPr>
          </w:p>
        </w:tc>
        <w:tc>
          <w:tcPr>
            <w:tcW w:w="1100" w:type="dxa"/>
            <w:vAlign w:val="bottom"/>
            <w:tcBorders>
              <w:bottom w:val="single" w:sz="8" w:color="DD924E"/>
            </w:tcBorders>
            <w:shd w:val="clear" w:color="auto" w:fill="FBF4ED"/>
          </w:tcPr>
          <w:p>
            <w:pPr>
              <w:spacing w:after="0"/>
              <w:rPr>
                <w:sz w:val="16"/>
                <w:szCs w:val="16"/>
                <w:color w:val="auto"/>
              </w:rPr>
            </w:pPr>
          </w:p>
        </w:tc>
        <w:tc>
          <w:tcPr>
            <w:tcW w:w="100" w:type="dxa"/>
            <w:vAlign w:val="bottom"/>
            <w:tcBorders>
              <w:bottom w:val="single" w:sz="8" w:color="DD924E"/>
            </w:tcBorders>
            <w:shd w:val="clear" w:color="auto" w:fill="FBF4ED"/>
          </w:tcPr>
          <w:p>
            <w:pPr>
              <w:spacing w:after="0"/>
              <w:rPr>
                <w:sz w:val="16"/>
                <w:szCs w:val="16"/>
                <w:color w:val="auto"/>
              </w:rPr>
            </w:pPr>
          </w:p>
        </w:tc>
        <w:tc>
          <w:tcPr>
            <w:tcW w:w="1080" w:type="dxa"/>
            <w:vAlign w:val="bottom"/>
            <w:tcBorders>
              <w:bottom w:val="single" w:sz="8" w:color="DD924E"/>
            </w:tcBorders>
            <w:shd w:val="clear" w:color="auto" w:fill="FBF4ED"/>
          </w:tcPr>
          <w:p>
            <w:pPr>
              <w:spacing w:after="0"/>
              <w:rPr>
                <w:sz w:val="16"/>
                <w:szCs w:val="16"/>
                <w:color w:val="auto"/>
              </w:rPr>
            </w:pPr>
          </w:p>
        </w:tc>
        <w:tc>
          <w:tcPr>
            <w:tcW w:w="100" w:type="dxa"/>
            <w:vAlign w:val="bottom"/>
            <w:tcBorders>
              <w:bottom w:val="single" w:sz="8" w:color="DD924E"/>
            </w:tcBorders>
            <w:shd w:val="clear" w:color="auto" w:fill="FBF4ED"/>
          </w:tcPr>
          <w:p>
            <w:pPr>
              <w:spacing w:after="0"/>
              <w:rPr>
                <w:sz w:val="16"/>
                <w:szCs w:val="16"/>
                <w:color w:val="auto"/>
              </w:rPr>
            </w:pPr>
          </w:p>
        </w:tc>
        <w:tc>
          <w:tcPr>
            <w:tcW w:w="960" w:type="dxa"/>
            <w:vAlign w:val="bottom"/>
            <w:tcBorders>
              <w:bottom w:val="single" w:sz="8" w:color="DD924E"/>
            </w:tcBorders>
            <w:shd w:val="clear" w:color="auto" w:fill="FBF4ED"/>
          </w:tcPr>
          <w:p>
            <w:pPr>
              <w:spacing w:after="0"/>
              <w:rPr>
                <w:sz w:val="16"/>
                <w:szCs w:val="16"/>
                <w:color w:val="auto"/>
              </w:rPr>
            </w:pPr>
          </w:p>
        </w:tc>
        <w:tc>
          <w:tcPr>
            <w:tcW w:w="120" w:type="dxa"/>
            <w:vAlign w:val="bottom"/>
            <w:tcBorders>
              <w:bottom w:val="single" w:sz="8" w:color="DD924E"/>
            </w:tcBorders>
            <w:shd w:val="clear" w:color="auto" w:fill="FBF4ED"/>
          </w:tcPr>
          <w:p>
            <w:pPr>
              <w:spacing w:after="0"/>
              <w:rPr>
                <w:sz w:val="16"/>
                <w:szCs w:val="16"/>
                <w:color w:val="auto"/>
              </w:rPr>
            </w:pPr>
          </w:p>
        </w:tc>
        <w:tc>
          <w:tcPr>
            <w:tcW w:w="100" w:type="dxa"/>
            <w:vAlign w:val="bottom"/>
            <w:tcBorders>
              <w:bottom w:val="single" w:sz="8" w:color="DD924E"/>
            </w:tcBorders>
            <w:shd w:val="clear" w:color="auto" w:fill="FBF4ED"/>
          </w:tcPr>
          <w:p>
            <w:pPr>
              <w:spacing w:after="0"/>
              <w:rPr>
                <w:sz w:val="16"/>
                <w:szCs w:val="16"/>
                <w:color w:val="auto"/>
              </w:rPr>
            </w:pPr>
          </w:p>
        </w:tc>
        <w:tc>
          <w:tcPr>
            <w:tcW w:w="820" w:type="dxa"/>
            <w:vAlign w:val="bottom"/>
            <w:tcBorders>
              <w:bottom w:val="single" w:sz="8" w:color="DD924E"/>
              <w:right w:val="single" w:sz="8" w:color="DD924E"/>
            </w:tcBorders>
            <w:shd w:val="clear" w:color="auto" w:fill="FBF4ED"/>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121920</wp:posOffset>
            </wp:positionV>
            <wp:extent cx="12865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261" w:lineRule="exact"/>
        <w:rPr>
          <w:sz w:val="20"/>
          <w:szCs w:val="20"/>
          <w:color w:val="auto"/>
        </w:rPr>
      </w:pPr>
    </w:p>
    <w:p>
      <w:pPr>
        <w:jc w:val="both"/>
        <w:ind w:left="840" w:right="59" w:hanging="345"/>
        <w:spacing w:after="0" w:line="239" w:lineRule="auto"/>
        <w:tabs>
          <w:tab w:leader="none" w:pos="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amount set forth in the “Salary” column for Mr. Bagai includes $126,037 of base salary, $114,276 of a cash supplementary allowance, $33,349 of housing allowance (which Mr. Bagai elected to receive in cash), $11,743 of car allowance (which Mr. Bagai elected to receive in cash), and $10,734 of travel and medical allowance (which Mr. Bagai elected to receive in cash).</w:t>
      </w:r>
    </w:p>
    <w:p>
      <w:pPr>
        <w:spacing w:after="0" w:line="118" w:lineRule="exact"/>
        <w:rPr>
          <w:rFonts w:ascii="Arial" w:cs="Arial" w:eastAsia="Arial" w:hAnsi="Arial"/>
          <w:sz w:val="17"/>
          <w:szCs w:val="17"/>
          <w:color w:val="auto"/>
        </w:rPr>
      </w:pPr>
    </w:p>
    <w:p>
      <w:pPr>
        <w:jc w:val="both"/>
        <w:ind w:left="840" w:right="59" w:hanging="345"/>
        <w:spacing w:after="0" w:line="237" w:lineRule="auto"/>
        <w:tabs>
          <w:tab w:leader="none" w:pos="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Amounts reflect the total grant date fair value of awards recognized for financial statement reporting purposes for the fiscal years ended December 31, 2015, 2016 and 2017, in accordance with FASB ASC Topic 718 (disregarding any forfeiture assumptions). Assumptions used in the calculation of these amounts are included (i) for 2017, in footnotes 2 and 21 to the audited financial statements for the fiscal year ended December 31, 2017, included in the 2017 Form 10-K; (ii) for 2016, in footnotes 2 and 18 to the audited financial statements for the fiscal year ended December 31, 2016, included in our Annual Report on Form 10-K filed with the Securities and Exchange Commission on March 15, 2017; and (iii) for 2015, in footnotes 2 and 14 to the audited financial statements for the fiscal year ended December 31, 2015, included in our Annual Report on Form 10-K filed with the Securities and Exchange Commission on February 26, 2016. With respect to stock awards granted in 2017, the table below sets forth the value attributable to performance restricted stock units valued at target achievement. Performance restricted stock units granted in 2017 may pay out up to 200% of the target award, which would have amounted to the grant date fair values listed as the maximum total grant date fair value for each named executive officer in the table below.</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1" w:name="page52"/>
    <w:bookmarkEnd w:id="51"/>
    <w:p>
      <w:pPr>
        <w:spacing w:after="0" w:line="59" w:lineRule="exact"/>
        <w:rPr>
          <w:sz w:val="20"/>
          <w:szCs w:val="20"/>
          <w:color w:val="auto"/>
        </w:rPr>
      </w:pPr>
    </w:p>
    <w:tbl>
      <w:tblPr>
        <w:tblLayout w:type="fixed"/>
        <w:tblInd w:w="830" w:type="dxa"/>
        <w:tblCellMar>
          <w:top w:w="0" w:type="dxa"/>
          <w:left w:w="0" w:type="dxa"/>
          <w:bottom w:w="0" w:type="dxa"/>
          <w:right w:w="0" w:type="dxa"/>
        </w:tblCellMar>
      </w:tblPr>
      <w:tr>
        <w:trPr>
          <w:trHeight w:val="211"/>
        </w:trPr>
        <w:tc>
          <w:tcPr>
            <w:tcW w:w="80" w:type="dxa"/>
            <w:vAlign w:val="bottom"/>
            <w:tcBorders>
              <w:left w:val="single" w:sz="8" w:color="DD924E"/>
              <w:bottom w:val="single" w:sz="8" w:color="DD924E"/>
            </w:tcBorders>
            <w:shd w:val="clear" w:color="auto" w:fill="DD924E"/>
          </w:tcPr>
          <w:p>
            <w:pPr>
              <w:spacing w:after="0"/>
              <w:rPr>
                <w:sz w:val="18"/>
                <w:szCs w:val="18"/>
                <w:color w:val="auto"/>
              </w:rPr>
            </w:pPr>
          </w:p>
        </w:tc>
        <w:tc>
          <w:tcPr>
            <w:tcW w:w="1580" w:type="dxa"/>
            <w:vAlign w:val="bottom"/>
            <w:tcBorders>
              <w:bottom w:val="single" w:sz="8" w:color="auto"/>
            </w:tcBorders>
            <w:shd w:val="clear" w:color="auto" w:fill="DD924E"/>
          </w:tcPr>
          <w:p>
            <w:pPr>
              <w:ind w:left="600"/>
              <w:spacing w:after="0"/>
              <w:rPr>
                <w:sz w:val="20"/>
                <w:szCs w:val="20"/>
                <w:color w:val="auto"/>
              </w:rPr>
            </w:pPr>
            <w:r>
              <w:rPr>
                <w:rFonts w:ascii="Arial" w:cs="Arial" w:eastAsia="Arial" w:hAnsi="Arial"/>
                <w:sz w:val="14"/>
                <w:szCs w:val="14"/>
                <w:b w:val="1"/>
                <w:bCs w:val="1"/>
                <w:color w:val="FFFFFF"/>
              </w:rPr>
              <w:t>Name</w:t>
            </w:r>
          </w:p>
        </w:tc>
        <w:tc>
          <w:tcPr>
            <w:tcW w:w="100" w:type="dxa"/>
            <w:vAlign w:val="bottom"/>
            <w:tcBorders>
              <w:bottom w:val="single" w:sz="8" w:color="DD924E"/>
            </w:tcBorders>
            <w:shd w:val="clear" w:color="auto" w:fill="DD924E"/>
          </w:tcPr>
          <w:p>
            <w:pPr>
              <w:spacing w:after="0"/>
              <w:rPr>
                <w:sz w:val="18"/>
                <w:szCs w:val="18"/>
                <w:color w:val="auto"/>
              </w:rPr>
            </w:pPr>
          </w:p>
        </w:tc>
        <w:tc>
          <w:tcPr>
            <w:tcW w:w="3100" w:type="dxa"/>
            <w:vAlign w:val="bottom"/>
            <w:tcBorders>
              <w:bottom w:val="single" w:sz="8" w:color="auto"/>
            </w:tcBorders>
            <w:shd w:val="clear" w:color="auto" w:fill="DD924E"/>
          </w:tcPr>
          <w:p>
            <w:pPr>
              <w:jc w:val="right"/>
              <w:ind w:right="292"/>
              <w:spacing w:after="0"/>
              <w:rPr>
                <w:sz w:val="20"/>
                <w:szCs w:val="20"/>
                <w:color w:val="auto"/>
              </w:rPr>
            </w:pPr>
            <w:r>
              <w:rPr>
                <w:rFonts w:ascii="Arial" w:cs="Arial" w:eastAsia="Arial" w:hAnsi="Arial"/>
                <w:sz w:val="14"/>
                <w:szCs w:val="14"/>
                <w:b w:val="1"/>
                <w:bCs w:val="1"/>
                <w:color w:val="FFFFFF"/>
              </w:rPr>
              <w:t>Target Total Grant Date Fair Value ($)</w:t>
            </w:r>
          </w:p>
        </w:tc>
        <w:tc>
          <w:tcPr>
            <w:tcW w:w="100" w:type="dxa"/>
            <w:vAlign w:val="bottom"/>
            <w:tcBorders>
              <w:bottom w:val="single" w:sz="8" w:color="DD924E"/>
            </w:tcBorders>
            <w:shd w:val="clear" w:color="auto" w:fill="DD924E"/>
          </w:tcPr>
          <w:p>
            <w:pPr>
              <w:spacing w:after="0"/>
              <w:rPr>
                <w:sz w:val="18"/>
                <w:szCs w:val="18"/>
                <w:color w:val="auto"/>
              </w:rPr>
            </w:pPr>
          </w:p>
        </w:tc>
        <w:tc>
          <w:tcPr>
            <w:tcW w:w="3180" w:type="dxa"/>
            <w:vAlign w:val="bottom"/>
            <w:tcBorders>
              <w:bottom w:val="single" w:sz="8" w:color="auto"/>
              <w:right w:val="single" w:sz="8" w:color="DD924E"/>
            </w:tcBorders>
            <w:shd w:val="clear" w:color="auto" w:fill="DD924E"/>
          </w:tcPr>
          <w:p>
            <w:pPr>
              <w:jc w:val="right"/>
              <w:ind w:right="252"/>
              <w:spacing w:after="0"/>
              <w:rPr>
                <w:sz w:val="20"/>
                <w:szCs w:val="20"/>
                <w:color w:val="auto"/>
              </w:rPr>
            </w:pPr>
            <w:r>
              <w:rPr>
                <w:rFonts w:ascii="Arial" w:cs="Arial" w:eastAsia="Arial" w:hAnsi="Arial"/>
                <w:sz w:val="14"/>
                <w:szCs w:val="14"/>
                <w:b w:val="1"/>
                <w:bCs w:val="1"/>
                <w:color w:val="FFFFFF"/>
              </w:rPr>
              <w:t>Maximum Total Grant Date Fair Value ($)</w:t>
            </w:r>
          </w:p>
        </w:tc>
      </w:tr>
      <w:tr>
        <w:trPr>
          <w:trHeight w:val="231"/>
        </w:trPr>
        <w:tc>
          <w:tcPr>
            <w:tcW w:w="80" w:type="dxa"/>
            <w:vAlign w:val="bottom"/>
            <w:tcBorders>
              <w:left w:val="single" w:sz="8" w:color="DD924E"/>
            </w:tcBorders>
            <w:shd w:val="clear" w:color="auto" w:fill="FBF4ED"/>
          </w:tcPr>
          <w:p>
            <w:pPr>
              <w:spacing w:after="0"/>
              <w:rPr>
                <w:sz w:val="20"/>
                <w:szCs w:val="20"/>
                <w:color w:val="auto"/>
              </w:rPr>
            </w:pPr>
          </w:p>
        </w:tc>
        <w:tc>
          <w:tcPr>
            <w:tcW w:w="1580" w:type="dxa"/>
            <w:vAlign w:val="bottom"/>
            <w:shd w:val="clear" w:color="auto" w:fill="FBF4ED"/>
          </w:tcPr>
          <w:p>
            <w:pPr>
              <w:spacing w:after="0"/>
              <w:rPr>
                <w:sz w:val="20"/>
                <w:szCs w:val="20"/>
                <w:color w:val="auto"/>
              </w:rPr>
            </w:pPr>
            <w:r>
              <w:rPr>
                <w:rFonts w:ascii="Arial" w:cs="Arial" w:eastAsia="Arial" w:hAnsi="Arial"/>
                <w:sz w:val="15"/>
                <w:szCs w:val="15"/>
                <w:b w:val="1"/>
                <w:bCs w:val="1"/>
                <w:color w:val="auto"/>
              </w:rPr>
              <w:t>Rohit Kapoor</w:t>
            </w:r>
          </w:p>
        </w:tc>
        <w:tc>
          <w:tcPr>
            <w:tcW w:w="3200" w:type="dxa"/>
            <w:vAlign w:val="bottom"/>
            <w:gridSpan w:val="2"/>
            <w:shd w:val="clear" w:color="auto" w:fill="FBF4ED"/>
          </w:tcPr>
          <w:p>
            <w:pPr>
              <w:jc w:val="right"/>
              <w:ind w:right="1112"/>
              <w:spacing w:after="0"/>
              <w:rPr>
                <w:sz w:val="20"/>
                <w:szCs w:val="20"/>
                <w:color w:val="auto"/>
              </w:rPr>
            </w:pPr>
            <w:r>
              <w:rPr>
                <w:rFonts w:ascii="Arial" w:cs="Arial" w:eastAsia="Arial" w:hAnsi="Arial"/>
                <w:sz w:val="15"/>
                <w:szCs w:val="15"/>
                <w:color w:val="auto"/>
              </w:rPr>
              <w:t>1,623,625</w:t>
            </w:r>
          </w:p>
        </w:tc>
        <w:tc>
          <w:tcPr>
            <w:tcW w:w="3280" w:type="dxa"/>
            <w:vAlign w:val="bottom"/>
            <w:tcBorders>
              <w:right w:val="single" w:sz="8" w:color="DD924E"/>
            </w:tcBorders>
            <w:gridSpan w:val="2"/>
            <w:shd w:val="clear" w:color="auto" w:fill="FBF4ED"/>
          </w:tcPr>
          <w:p>
            <w:pPr>
              <w:jc w:val="right"/>
              <w:ind w:right="1212"/>
              <w:spacing w:after="0"/>
              <w:rPr>
                <w:sz w:val="20"/>
                <w:szCs w:val="20"/>
                <w:color w:val="auto"/>
              </w:rPr>
            </w:pPr>
            <w:r>
              <w:rPr>
                <w:rFonts w:ascii="Arial" w:cs="Arial" w:eastAsia="Arial" w:hAnsi="Arial"/>
                <w:sz w:val="15"/>
                <w:szCs w:val="15"/>
                <w:color w:val="auto"/>
              </w:rPr>
              <w:t>3,247,251</w:t>
            </w:r>
          </w:p>
        </w:tc>
      </w:tr>
      <w:tr>
        <w:trPr>
          <w:trHeight w:val="222"/>
        </w:trPr>
        <w:tc>
          <w:tcPr>
            <w:tcW w:w="80" w:type="dxa"/>
            <w:vAlign w:val="bottom"/>
            <w:tcBorders>
              <w:left w:val="single" w:sz="8" w:color="DD924E"/>
            </w:tcBorders>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5"/>
                <w:szCs w:val="15"/>
                <w:b w:val="1"/>
                <w:bCs w:val="1"/>
                <w:color w:val="auto"/>
              </w:rPr>
              <w:t>Vishal Chhibbar</w:t>
            </w:r>
          </w:p>
        </w:tc>
        <w:tc>
          <w:tcPr>
            <w:tcW w:w="3200" w:type="dxa"/>
            <w:vAlign w:val="bottom"/>
            <w:gridSpan w:val="2"/>
          </w:tcPr>
          <w:p>
            <w:pPr>
              <w:jc w:val="right"/>
              <w:ind w:right="1112"/>
              <w:spacing w:after="0"/>
              <w:rPr>
                <w:sz w:val="20"/>
                <w:szCs w:val="20"/>
                <w:color w:val="auto"/>
              </w:rPr>
            </w:pPr>
            <w:r>
              <w:rPr>
                <w:rFonts w:ascii="Arial" w:cs="Arial" w:eastAsia="Arial" w:hAnsi="Arial"/>
                <w:sz w:val="15"/>
                <w:szCs w:val="15"/>
                <w:color w:val="auto"/>
              </w:rPr>
              <w:t>370,403</w:t>
            </w:r>
          </w:p>
        </w:tc>
        <w:tc>
          <w:tcPr>
            <w:tcW w:w="3280" w:type="dxa"/>
            <w:vAlign w:val="bottom"/>
            <w:tcBorders>
              <w:right w:val="single" w:sz="8" w:color="DD924E"/>
            </w:tcBorders>
            <w:gridSpan w:val="2"/>
          </w:tcPr>
          <w:p>
            <w:pPr>
              <w:jc w:val="right"/>
              <w:ind w:right="1212"/>
              <w:spacing w:after="0"/>
              <w:rPr>
                <w:sz w:val="20"/>
                <w:szCs w:val="20"/>
                <w:color w:val="auto"/>
              </w:rPr>
            </w:pPr>
            <w:r>
              <w:rPr>
                <w:rFonts w:ascii="Arial" w:cs="Arial" w:eastAsia="Arial" w:hAnsi="Arial"/>
                <w:sz w:val="15"/>
                <w:szCs w:val="15"/>
                <w:color w:val="auto"/>
              </w:rPr>
              <w:t>740,807</w:t>
            </w:r>
          </w:p>
        </w:tc>
      </w:tr>
      <w:tr>
        <w:trPr>
          <w:trHeight w:val="240"/>
        </w:trPr>
        <w:tc>
          <w:tcPr>
            <w:tcW w:w="80" w:type="dxa"/>
            <w:vAlign w:val="bottom"/>
            <w:tcBorders>
              <w:left w:val="single" w:sz="8" w:color="DD924E"/>
            </w:tcBorders>
            <w:shd w:val="clear" w:color="auto" w:fill="FBF4ED"/>
          </w:tcPr>
          <w:p>
            <w:pPr>
              <w:spacing w:after="0"/>
              <w:rPr>
                <w:sz w:val="20"/>
                <w:szCs w:val="20"/>
                <w:color w:val="auto"/>
              </w:rPr>
            </w:pPr>
          </w:p>
        </w:tc>
        <w:tc>
          <w:tcPr>
            <w:tcW w:w="1580" w:type="dxa"/>
            <w:vAlign w:val="bottom"/>
            <w:shd w:val="clear" w:color="auto" w:fill="FBF4ED"/>
          </w:tcPr>
          <w:p>
            <w:pPr>
              <w:spacing w:after="0"/>
              <w:rPr>
                <w:sz w:val="20"/>
                <w:szCs w:val="20"/>
                <w:color w:val="auto"/>
              </w:rPr>
            </w:pPr>
            <w:r>
              <w:rPr>
                <w:rFonts w:ascii="Arial" w:cs="Arial" w:eastAsia="Arial" w:hAnsi="Arial"/>
                <w:sz w:val="15"/>
                <w:szCs w:val="15"/>
                <w:b w:val="1"/>
                <w:bCs w:val="1"/>
                <w:color w:val="auto"/>
              </w:rPr>
              <w:t>Pavan Bagai</w:t>
            </w:r>
          </w:p>
        </w:tc>
        <w:tc>
          <w:tcPr>
            <w:tcW w:w="3200" w:type="dxa"/>
            <w:vAlign w:val="bottom"/>
            <w:gridSpan w:val="2"/>
            <w:shd w:val="clear" w:color="auto" w:fill="FBF4ED"/>
          </w:tcPr>
          <w:p>
            <w:pPr>
              <w:jc w:val="right"/>
              <w:ind w:right="1112"/>
              <w:spacing w:after="0"/>
              <w:rPr>
                <w:sz w:val="20"/>
                <w:szCs w:val="20"/>
                <w:color w:val="auto"/>
              </w:rPr>
            </w:pPr>
            <w:r>
              <w:rPr>
                <w:rFonts w:ascii="Arial" w:cs="Arial" w:eastAsia="Arial" w:hAnsi="Arial"/>
                <w:sz w:val="15"/>
                <w:szCs w:val="15"/>
                <w:color w:val="auto"/>
              </w:rPr>
              <w:t>585,523</w:t>
            </w:r>
          </w:p>
        </w:tc>
        <w:tc>
          <w:tcPr>
            <w:tcW w:w="3280" w:type="dxa"/>
            <w:vAlign w:val="bottom"/>
            <w:tcBorders>
              <w:right w:val="single" w:sz="8" w:color="DD924E"/>
            </w:tcBorders>
            <w:gridSpan w:val="2"/>
            <w:shd w:val="clear" w:color="auto" w:fill="FBF4ED"/>
          </w:tcPr>
          <w:p>
            <w:pPr>
              <w:jc w:val="right"/>
              <w:ind w:right="1212"/>
              <w:spacing w:after="0"/>
              <w:rPr>
                <w:sz w:val="20"/>
                <w:szCs w:val="20"/>
                <w:color w:val="auto"/>
              </w:rPr>
            </w:pPr>
            <w:r>
              <w:rPr>
                <w:rFonts w:ascii="Arial" w:cs="Arial" w:eastAsia="Arial" w:hAnsi="Arial"/>
                <w:sz w:val="15"/>
                <w:szCs w:val="15"/>
                <w:color w:val="auto"/>
              </w:rPr>
              <w:t>1,171,045</w:t>
            </w:r>
          </w:p>
        </w:tc>
      </w:tr>
      <w:tr>
        <w:trPr>
          <w:trHeight w:val="222"/>
        </w:trPr>
        <w:tc>
          <w:tcPr>
            <w:tcW w:w="80" w:type="dxa"/>
            <w:vAlign w:val="bottom"/>
            <w:tcBorders>
              <w:left w:val="single" w:sz="8" w:color="DD924E"/>
            </w:tcBorders>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5"/>
                <w:szCs w:val="15"/>
                <w:b w:val="1"/>
                <w:bCs w:val="1"/>
                <w:color w:val="auto"/>
              </w:rPr>
              <w:t>Nagaraja Srivatsan</w:t>
            </w:r>
          </w:p>
        </w:tc>
        <w:tc>
          <w:tcPr>
            <w:tcW w:w="3200" w:type="dxa"/>
            <w:vAlign w:val="bottom"/>
            <w:gridSpan w:val="2"/>
          </w:tcPr>
          <w:p>
            <w:pPr>
              <w:jc w:val="right"/>
              <w:ind w:right="1112"/>
              <w:spacing w:after="0"/>
              <w:rPr>
                <w:sz w:val="20"/>
                <w:szCs w:val="20"/>
                <w:color w:val="auto"/>
              </w:rPr>
            </w:pPr>
            <w:r>
              <w:rPr>
                <w:rFonts w:ascii="Arial" w:cs="Arial" w:eastAsia="Arial" w:hAnsi="Arial"/>
                <w:sz w:val="15"/>
                <w:szCs w:val="15"/>
                <w:color w:val="auto"/>
              </w:rPr>
              <w:t>336,039</w:t>
            </w:r>
          </w:p>
        </w:tc>
        <w:tc>
          <w:tcPr>
            <w:tcW w:w="3280" w:type="dxa"/>
            <w:vAlign w:val="bottom"/>
            <w:tcBorders>
              <w:right w:val="single" w:sz="8" w:color="DD924E"/>
            </w:tcBorders>
            <w:gridSpan w:val="2"/>
          </w:tcPr>
          <w:p>
            <w:pPr>
              <w:jc w:val="right"/>
              <w:ind w:right="1212"/>
              <w:spacing w:after="0"/>
              <w:rPr>
                <w:sz w:val="20"/>
                <w:szCs w:val="20"/>
                <w:color w:val="auto"/>
              </w:rPr>
            </w:pPr>
            <w:r>
              <w:rPr>
                <w:rFonts w:ascii="Arial" w:cs="Arial" w:eastAsia="Arial" w:hAnsi="Arial"/>
                <w:sz w:val="15"/>
                <w:szCs w:val="15"/>
                <w:color w:val="auto"/>
              </w:rPr>
              <w:t>672,078</w:t>
            </w:r>
          </w:p>
        </w:tc>
      </w:tr>
      <w:tr>
        <w:trPr>
          <w:trHeight w:val="233"/>
        </w:trPr>
        <w:tc>
          <w:tcPr>
            <w:tcW w:w="80" w:type="dxa"/>
            <w:vAlign w:val="bottom"/>
            <w:tcBorders>
              <w:left w:val="single" w:sz="8" w:color="DD924E"/>
              <w:bottom w:val="single" w:sz="8" w:color="DD924E"/>
            </w:tcBorders>
            <w:shd w:val="clear" w:color="auto" w:fill="FBF4ED"/>
          </w:tcPr>
          <w:p>
            <w:pPr>
              <w:spacing w:after="0"/>
              <w:rPr>
                <w:sz w:val="20"/>
                <w:szCs w:val="20"/>
                <w:color w:val="auto"/>
              </w:rPr>
            </w:pPr>
          </w:p>
        </w:tc>
        <w:tc>
          <w:tcPr>
            <w:tcW w:w="1580" w:type="dxa"/>
            <w:vAlign w:val="bottom"/>
            <w:tcBorders>
              <w:bottom w:val="single" w:sz="8" w:color="DD924E"/>
            </w:tcBorders>
            <w:shd w:val="clear" w:color="auto" w:fill="FBF4ED"/>
          </w:tcPr>
          <w:p>
            <w:pPr>
              <w:spacing w:after="0"/>
              <w:rPr>
                <w:sz w:val="20"/>
                <w:szCs w:val="20"/>
                <w:color w:val="auto"/>
              </w:rPr>
            </w:pPr>
            <w:r>
              <w:rPr>
                <w:rFonts w:ascii="Arial" w:cs="Arial" w:eastAsia="Arial" w:hAnsi="Arial"/>
                <w:sz w:val="15"/>
                <w:szCs w:val="15"/>
                <w:b w:val="1"/>
                <w:bCs w:val="1"/>
                <w:color w:val="auto"/>
              </w:rPr>
              <w:t>Nalin Miglani</w:t>
            </w:r>
          </w:p>
        </w:tc>
        <w:tc>
          <w:tcPr>
            <w:tcW w:w="3200" w:type="dxa"/>
            <w:vAlign w:val="bottom"/>
            <w:tcBorders>
              <w:bottom w:val="single" w:sz="8" w:color="DD924E"/>
            </w:tcBorders>
            <w:gridSpan w:val="2"/>
            <w:shd w:val="clear" w:color="auto" w:fill="FBF4ED"/>
          </w:tcPr>
          <w:p>
            <w:pPr>
              <w:jc w:val="right"/>
              <w:ind w:right="1112"/>
              <w:spacing w:after="0"/>
              <w:rPr>
                <w:sz w:val="20"/>
                <w:szCs w:val="20"/>
                <w:color w:val="auto"/>
              </w:rPr>
            </w:pPr>
            <w:r>
              <w:rPr>
                <w:rFonts w:ascii="Arial" w:cs="Arial" w:eastAsia="Arial" w:hAnsi="Arial"/>
                <w:sz w:val="15"/>
                <w:szCs w:val="15"/>
                <w:color w:val="auto"/>
              </w:rPr>
              <w:t>364,042</w:t>
            </w:r>
          </w:p>
        </w:tc>
        <w:tc>
          <w:tcPr>
            <w:tcW w:w="3280" w:type="dxa"/>
            <w:vAlign w:val="bottom"/>
            <w:tcBorders>
              <w:bottom w:val="single" w:sz="8" w:color="DD924E"/>
              <w:right w:val="single" w:sz="8" w:color="DD924E"/>
            </w:tcBorders>
            <w:gridSpan w:val="2"/>
            <w:shd w:val="clear" w:color="auto" w:fill="FBF4ED"/>
          </w:tcPr>
          <w:p>
            <w:pPr>
              <w:jc w:val="right"/>
              <w:ind w:right="1212"/>
              <w:spacing w:after="0"/>
              <w:rPr>
                <w:sz w:val="20"/>
                <w:szCs w:val="20"/>
                <w:color w:val="auto"/>
              </w:rPr>
            </w:pPr>
            <w:r>
              <w:rPr>
                <w:rFonts w:ascii="Arial" w:cs="Arial" w:eastAsia="Arial" w:hAnsi="Arial"/>
                <w:sz w:val="15"/>
                <w:szCs w:val="15"/>
                <w:color w:val="auto"/>
              </w:rPr>
              <w:t>728,085</w:t>
            </w:r>
          </w:p>
        </w:tc>
      </w:tr>
    </w:tbl>
    <w:p>
      <w:pPr>
        <w:spacing w:after="0" w:line="127" w:lineRule="exact"/>
        <w:rPr>
          <w:sz w:val="20"/>
          <w:szCs w:val="20"/>
          <w:color w:val="auto"/>
        </w:rPr>
      </w:pPr>
    </w:p>
    <w:p>
      <w:pPr>
        <w:jc w:val="both"/>
        <w:ind w:left="840" w:right="79" w:hanging="345"/>
        <w:spacing w:after="0" w:line="241" w:lineRule="auto"/>
        <w:tabs>
          <w:tab w:leader="none" w:pos="8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Reflects the cash incentive bonuses earned in respect of 2017 and paid in 2018. For details on our annual incentive bonus program, see “Compensation Discussion and Analysis—Incentive Bonus” beginning on page 39.</w:t>
      </w:r>
    </w:p>
    <w:p>
      <w:pPr>
        <w:spacing w:after="0" w:line="129" w:lineRule="exact"/>
        <w:rPr>
          <w:rFonts w:ascii="Arial" w:cs="Arial" w:eastAsia="Arial" w:hAnsi="Arial"/>
          <w:sz w:val="17"/>
          <w:szCs w:val="17"/>
          <w:color w:val="auto"/>
        </w:rPr>
      </w:pPr>
    </w:p>
    <w:p>
      <w:pPr>
        <w:jc w:val="both"/>
        <w:ind w:left="840" w:right="79" w:hanging="345"/>
        <w:spacing w:after="0" w:line="241" w:lineRule="auto"/>
        <w:tabs>
          <w:tab w:leader="none" w:pos="8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Reflects the present value of accruals under the Gratuity Plan for Indian Employees. Information regarding our Gratuity Plan (including the assumptions used to calculate these amounts) may be found under “Pension Benefits for Fiscal Year 2017” beginning on page 55.</w:t>
      </w:r>
    </w:p>
    <w:p>
      <w:pPr>
        <w:spacing w:after="0" w:line="129" w:lineRule="exact"/>
        <w:rPr>
          <w:rFonts w:ascii="Arial" w:cs="Arial" w:eastAsia="Arial" w:hAnsi="Arial"/>
          <w:sz w:val="17"/>
          <w:szCs w:val="17"/>
          <w:color w:val="auto"/>
        </w:rPr>
      </w:pPr>
    </w:p>
    <w:p>
      <w:pPr>
        <w:jc w:val="both"/>
        <w:ind w:left="840" w:right="59" w:hanging="345"/>
        <w:spacing w:after="0" w:line="239" w:lineRule="auto"/>
        <w:tabs>
          <w:tab w:leader="none" w:pos="8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Amount for Mr. Kapoor includes the travel allowance provided for under his employment agreement, to be used for once-a-year business class airfare for himself and his family between the United States and India, costs associated with use of an automobile and driver in India, car lease, tax preparation assistance in India, contributions to our 401(k) plan, and Company-paid life insurance premiums.</w:t>
      </w:r>
    </w:p>
    <w:p>
      <w:pPr>
        <w:spacing w:after="0" w:line="118" w:lineRule="exact"/>
        <w:rPr>
          <w:rFonts w:ascii="Arial" w:cs="Arial" w:eastAsia="Arial" w:hAnsi="Arial"/>
          <w:sz w:val="17"/>
          <w:szCs w:val="17"/>
          <w:color w:val="auto"/>
        </w:rPr>
      </w:pPr>
    </w:p>
    <w:p>
      <w:pPr>
        <w:ind w:left="840" w:right="79" w:hanging="345"/>
        <w:spacing w:after="0" w:line="247" w:lineRule="auto"/>
        <w:tabs>
          <w:tab w:leader="none" w:pos="8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Amount for Mr. Chhibbar includes contributions to our 401(k) plan and Company-paid life insurance premiums and tax preparation assistance.</w:t>
      </w:r>
    </w:p>
    <w:p>
      <w:pPr>
        <w:spacing w:after="0" w:line="123" w:lineRule="exact"/>
        <w:rPr>
          <w:rFonts w:ascii="Arial" w:cs="Arial" w:eastAsia="Arial" w:hAnsi="Arial"/>
          <w:sz w:val="17"/>
          <w:szCs w:val="17"/>
          <w:color w:val="auto"/>
        </w:rPr>
      </w:pPr>
    </w:p>
    <w:p>
      <w:pPr>
        <w:jc w:val="both"/>
        <w:ind w:left="840" w:right="59" w:hanging="345"/>
        <w:spacing w:after="0" w:line="241" w:lineRule="auto"/>
        <w:tabs>
          <w:tab w:leader="none" w:pos="8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Amount for Mr. Bagai includes housing allowance ($42,273), contributions to Employees’ Provident Fund Scheme (a statutorily required defined contribution program for Indian employees) ($15,124), costs associated with use of an automobile and driver in India, and home internet and telephone charges.</w:t>
      </w:r>
    </w:p>
    <w:p>
      <w:pPr>
        <w:spacing w:after="0" w:line="129" w:lineRule="exact"/>
        <w:rPr>
          <w:rFonts w:ascii="Arial" w:cs="Arial" w:eastAsia="Arial" w:hAnsi="Arial"/>
          <w:sz w:val="17"/>
          <w:szCs w:val="17"/>
          <w:color w:val="auto"/>
        </w:rPr>
      </w:pPr>
    </w:p>
    <w:p>
      <w:pPr>
        <w:ind w:left="840" w:right="59" w:hanging="345"/>
        <w:spacing w:after="0" w:line="247" w:lineRule="auto"/>
        <w:tabs>
          <w:tab w:leader="none" w:pos="8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Amount for Mr. Srivatsan includes contributions to our 401(k) plan and Company-paid life insurance premiums.</w:t>
      </w:r>
    </w:p>
    <w:p>
      <w:pPr>
        <w:spacing w:after="0" w:line="110" w:lineRule="exact"/>
        <w:rPr>
          <w:rFonts w:ascii="Arial" w:cs="Arial" w:eastAsia="Arial" w:hAnsi="Arial"/>
          <w:sz w:val="17"/>
          <w:szCs w:val="17"/>
          <w:color w:val="auto"/>
        </w:rPr>
      </w:pPr>
    </w:p>
    <w:p>
      <w:pPr>
        <w:ind w:left="840" w:right="79" w:hanging="345"/>
        <w:spacing w:after="0" w:line="247" w:lineRule="auto"/>
        <w:tabs>
          <w:tab w:leader="none" w:pos="8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Amount for Mr. Miglani includes contributions to our 401(k) plan and Company-paid life insurance premiums.</w:t>
      </w:r>
    </w:p>
    <w:p>
      <w:pPr>
        <w:spacing w:after="0" w:line="123" w:lineRule="exact"/>
        <w:rPr>
          <w:sz w:val="20"/>
          <w:szCs w:val="20"/>
          <w:color w:val="auto"/>
        </w:rPr>
      </w:pPr>
    </w:p>
    <w:p>
      <w:pPr>
        <w:jc w:val="both"/>
        <w:ind w:left="160" w:right="59"/>
        <w:spacing w:after="0" w:line="255" w:lineRule="auto"/>
        <w:rPr>
          <w:sz w:val="20"/>
          <w:szCs w:val="20"/>
          <w:color w:val="auto"/>
        </w:rPr>
      </w:pPr>
      <w:r>
        <w:rPr>
          <w:rFonts w:ascii="Arial" w:cs="Arial" w:eastAsia="Arial" w:hAnsi="Arial"/>
          <w:sz w:val="17"/>
          <w:szCs w:val="17"/>
          <w:color w:val="auto"/>
        </w:rPr>
        <w:t>Unless otherwise specified, U.S. dollar figures in this proxy statement have been converted from Indian rupees at a rate of 63.87 Indian rupees to $1.00, the Indian rupee to U.S. dollar exchange rate in effect as of December 31, 2017. Some of the information in the Summary Compensation Tables for fiscal years 2014 and 2015 was converted using the exchange rates in effect as set forth below:</w:t>
      </w:r>
    </w:p>
    <w:p>
      <w:pPr>
        <w:spacing w:after="0" w:line="132" w:lineRule="exact"/>
        <w:rPr>
          <w:sz w:val="20"/>
          <w:szCs w:val="20"/>
          <w:color w:val="auto"/>
        </w:rPr>
      </w:pPr>
    </w:p>
    <w:tbl>
      <w:tblPr>
        <w:tblLayout w:type="fixed"/>
        <w:tblInd w:w="170" w:type="dxa"/>
        <w:tblCellMar>
          <w:top w:w="0" w:type="dxa"/>
          <w:left w:w="0" w:type="dxa"/>
          <w:bottom w:w="0" w:type="dxa"/>
          <w:right w:w="0" w:type="dxa"/>
        </w:tblCellMar>
      </w:tblPr>
      <w:tr>
        <w:trPr>
          <w:trHeight w:val="211"/>
        </w:trPr>
        <w:tc>
          <w:tcPr>
            <w:tcW w:w="60" w:type="dxa"/>
            <w:vAlign w:val="bottom"/>
            <w:tcBorders>
              <w:left w:val="single" w:sz="8" w:color="DD924E"/>
              <w:bottom w:val="single" w:sz="8" w:color="DD924E"/>
            </w:tcBorders>
            <w:shd w:val="clear" w:color="auto" w:fill="DD924E"/>
          </w:tcPr>
          <w:p>
            <w:pPr>
              <w:spacing w:after="0"/>
              <w:rPr>
                <w:sz w:val="18"/>
                <w:szCs w:val="18"/>
                <w:color w:val="auto"/>
              </w:rPr>
            </w:pPr>
          </w:p>
        </w:tc>
        <w:tc>
          <w:tcPr>
            <w:tcW w:w="228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Fiscal Year</w:t>
            </w:r>
          </w:p>
        </w:tc>
        <w:tc>
          <w:tcPr>
            <w:tcW w:w="120" w:type="dxa"/>
            <w:vAlign w:val="bottom"/>
            <w:tcBorders>
              <w:bottom w:val="single" w:sz="8" w:color="DD924E"/>
            </w:tcBorders>
            <w:shd w:val="clear" w:color="auto" w:fill="DD924E"/>
          </w:tcPr>
          <w:p>
            <w:pPr>
              <w:spacing w:after="0"/>
              <w:rPr>
                <w:sz w:val="18"/>
                <w:szCs w:val="18"/>
                <w:color w:val="auto"/>
              </w:rPr>
            </w:pPr>
          </w:p>
        </w:tc>
        <w:tc>
          <w:tcPr>
            <w:tcW w:w="228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8"/>
              </w:rPr>
              <w:t>Rate</w:t>
            </w:r>
          </w:p>
        </w:tc>
        <w:tc>
          <w:tcPr>
            <w:tcW w:w="100" w:type="dxa"/>
            <w:vAlign w:val="bottom"/>
            <w:tcBorders>
              <w:bottom w:val="single" w:sz="8" w:color="DD924E"/>
            </w:tcBorders>
            <w:shd w:val="clear" w:color="auto" w:fill="DD924E"/>
          </w:tcPr>
          <w:p>
            <w:pPr>
              <w:spacing w:after="0"/>
              <w:rPr>
                <w:sz w:val="18"/>
                <w:szCs w:val="18"/>
                <w:color w:val="auto"/>
              </w:rPr>
            </w:pPr>
          </w:p>
        </w:tc>
        <w:tc>
          <w:tcPr>
            <w:tcW w:w="3960" w:type="dxa"/>
            <w:vAlign w:val="bottom"/>
            <w:tcBorders>
              <w:bottom w:val="single" w:sz="8" w:color="auto"/>
              <w:right w:val="single" w:sz="8" w:color="DD924E"/>
            </w:tcBorders>
            <w:shd w:val="clear" w:color="auto" w:fill="DD924E"/>
          </w:tcPr>
          <w:p>
            <w:pPr>
              <w:jc w:val="center"/>
              <w:ind w:right="32"/>
              <w:spacing w:after="0"/>
              <w:rPr>
                <w:sz w:val="20"/>
                <w:szCs w:val="20"/>
                <w:color w:val="auto"/>
              </w:rPr>
            </w:pPr>
            <w:r>
              <w:rPr>
                <w:rFonts w:ascii="Arial" w:cs="Arial" w:eastAsia="Arial" w:hAnsi="Arial"/>
                <w:sz w:val="14"/>
                <w:szCs w:val="14"/>
                <w:b w:val="1"/>
                <w:bCs w:val="1"/>
                <w:color w:val="FFFFFF"/>
                <w:w w:val="98"/>
              </w:rPr>
              <w:t>Exchange Rate of INR per US$1</w:t>
            </w:r>
          </w:p>
        </w:tc>
      </w:tr>
      <w:tr>
        <w:trPr>
          <w:trHeight w:val="231"/>
        </w:trPr>
        <w:tc>
          <w:tcPr>
            <w:tcW w:w="2340" w:type="dxa"/>
            <w:vAlign w:val="bottom"/>
            <w:tcBorders>
              <w:left w:val="single" w:sz="8" w:color="DD924E"/>
            </w:tcBorders>
            <w:gridSpan w:val="2"/>
            <w:shd w:val="clear" w:color="auto" w:fill="FBF4ED"/>
          </w:tcPr>
          <w:p>
            <w:pPr>
              <w:jc w:val="center"/>
              <w:ind w:left="3"/>
              <w:spacing w:after="0"/>
              <w:rPr>
                <w:sz w:val="20"/>
                <w:szCs w:val="20"/>
                <w:color w:val="auto"/>
              </w:rPr>
            </w:pPr>
            <w:r>
              <w:rPr>
                <w:rFonts w:ascii="Arial" w:cs="Arial" w:eastAsia="Arial" w:hAnsi="Arial"/>
                <w:sz w:val="15"/>
                <w:szCs w:val="15"/>
                <w:b w:val="1"/>
                <w:bCs w:val="1"/>
                <w:color w:val="auto"/>
              </w:rPr>
              <w:t>2016</w:t>
            </w:r>
          </w:p>
        </w:tc>
        <w:tc>
          <w:tcPr>
            <w:tcW w:w="120" w:type="dxa"/>
            <w:vAlign w:val="bottom"/>
            <w:shd w:val="clear" w:color="auto" w:fill="FBF4ED"/>
          </w:tcPr>
          <w:p>
            <w:pPr>
              <w:spacing w:after="0"/>
              <w:rPr>
                <w:sz w:val="20"/>
                <w:szCs w:val="20"/>
                <w:color w:val="auto"/>
              </w:rPr>
            </w:pPr>
          </w:p>
        </w:tc>
        <w:tc>
          <w:tcPr>
            <w:tcW w:w="2280" w:type="dxa"/>
            <w:vAlign w:val="bottom"/>
            <w:shd w:val="clear" w:color="auto" w:fill="FBF4ED"/>
          </w:tcPr>
          <w:p>
            <w:pPr>
              <w:jc w:val="center"/>
              <w:spacing w:after="0"/>
              <w:rPr>
                <w:sz w:val="20"/>
                <w:szCs w:val="20"/>
                <w:color w:val="auto"/>
              </w:rPr>
            </w:pPr>
            <w:r>
              <w:rPr>
                <w:rFonts w:ascii="Arial" w:cs="Arial" w:eastAsia="Arial" w:hAnsi="Arial"/>
                <w:sz w:val="15"/>
                <w:szCs w:val="15"/>
                <w:color w:val="auto"/>
              </w:rPr>
              <w:t>December 31, 2016</w:t>
            </w:r>
          </w:p>
        </w:tc>
        <w:tc>
          <w:tcPr>
            <w:tcW w:w="4060" w:type="dxa"/>
            <w:vAlign w:val="bottom"/>
            <w:tcBorders>
              <w:right w:val="single" w:sz="8" w:color="DD924E"/>
            </w:tcBorders>
            <w:gridSpan w:val="2"/>
            <w:shd w:val="clear" w:color="auto" w:fill="FBF4ED"/>
          </w:tcPr>
          <w:p>
            <w:pPr>
              <w:jc w:val="center"/>
              <w:spacing w:after="0"/>
              <w:rPr>
                <w:sz w:val="20"/>
                <w:szCs w:val="20"/>
                <w:color w:val="auto"/>
              </w:rPr>
            </w:pPr>
            <w:r>
              <w:rPr>
                <w:rFonts w:ascii="Arial" w:cs="Arial" w:eastAsia="Arial" w:hAnsi="Arial"/>
                <w:sz w:val="15"/>
                <w:szCs w:val="15"/>
                <w:color w:val="auto"/>
              </w:rPr>
              <w:t>67.94</w:t>
            </w:r>
          </w:p>
        </w:tc>
      </w:tr>
      <w:tr>
        <w:trPr>
          <w:trHeight w:val="224"/>
        </w:trPr>
        <w:tc>
          <w:tcPr>
            <w:tcW w:w="2340" w:type="dxa"/>
            <w:vAlign w:val="bottom"/>
            <w:tcBorders>
              <w:left w:val="single" w:sz="8" w:color="DD924E"/>
              <w:bottom w:val="single" w:sz="8" w:color="DD924E"/>
            </w:tcBorders>
            <w:gridSpan w:val="2"/>
          </w:tcPr>
          <w:p>
            <w:pPr>
              <w:jc w:val="center"/>
              <w:ind w:left="3"/>
              <w:spacing w:after="0"/>
              <w:rPr>
                <w:sz w:val="20"/>
                <w:szCs w:val="20"/>
                <w:color w:val="auto"/>
              </w:rPr>
            </w:pPr>
            <w:r>
              <w:rPr>
                <w:rFonts w:ascii="Arial" w:cs="Arial" w:eastAsia="Arial" w:hAnsi="Arial"/>
                <w:sz w:val="15"/>
                <w:szCs w:val="15"/>
                <w:b w:val="1"/>
                <w:bCs w:val="1"/>
                <w:color w:val="auto"/>
              </w:rPr>
              <w:t>2015</w:t>
            </w:r>
          </w:p>
        </w:tc>
        <w:tc>
          <w:tcPr>
            <w:tcW w:w="120" w:type="dxa"/>
            <w:vAlign w:val="bottom"/>
            <w:tcBorders>
              <w:bottom w:val="single" w:sz="8" w:color="DD924E"/>
            </w:tcBorders>
          </w:tcPr>
          <w:p>
            <w:pPr>
              <w:spacing w:after="0"/>
              <w:rPr>
                <w:sz w:val="19"/>
                <w:szCs w:val="19"/>
                <w:color w:val="auto"/>
              </w:rPr>
            </w:pPr>
          </w:p>
        </w:tc>
        <w:tc>
          <w:tcPr>
            <w:tcW w:w="2280" w:type="dxa"/>
            <w:vAlign w:val="bottom"/>
            <w:tcBorders>
              <w:bottom w:val="single" w:sz="8" w:color="DD924E"/>
            </w:tcBorders>
          </w:tcPr>
          <w:p>
            <w:pPr>
              <w:jc w:val="center"/>
              <w:spacing w:after="0"/>
              <w:rPr>
                <w:sz w:val="20"/>
                <w:szCs w:val="20"/>
                <w:color w:val="auto"/>
              </w:rPr>
            </w:pPr>
            <w:r>
              <w:rPr>
                <w:rFonts w:ascii="Arial" w:cs="Arial" w:eastAsia="Arial" w:hAnsi="Arial"/>
                <w:sz w:val="15"/>
                <w:szCs w:val="15"/>
                <w:color w:val="auto"/>
              </w:rPr>
              <w:t>December 31, 2015</w:t>
            </w:r>
          </w:p>
        </w:tc>
        <w:tc>
          <w:tcPr>
            <w:tcW w:w="4060" w:type="dxa"/>
            <w:vAlign w:val="bottom"/>
            <w:tcBorders>
              <w:bottom w:val="single" w:sz="8" w:color="DD924E"/>
              <w:right w:val="single" w:sz="8" w:color="DD924E"/>
            </w:tcBorders>
            <w:gridSpan w:val="2"/>
          </w:tcPr>
          <w:p>
            <w:pPr>
              <w:jc w:val="center"/>
              <w:spacing w:after="0"/>
              <w:rPr>
                <w:sz w:val="20"/>
                <w:szCs w:val="20"/>
                <w:color w:val="auto"/>
              </w:rPr>
            </w:pPr>
            <w:r>
              <w:rPr>
                <w:rFonts w:ascii="Arial" w:cs="Arial" w:eastAsia="Arial" w:hAnsi="Arial"/>
                <w:sz w:val="15"/>
                <w:szCs w:val="15"/>
                <w:color w:val="auto"/>
              </w:rPr>
              <w:t>66.15</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2" w:name="page53"/>
    <w:bookmarkEnd w:id="52"/>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Grants of Plan-Based Awards Table for Fiscal Year 2017</w:t>
      </w:r>
    </w:p>
    <w:p>
      <w:pPr>
        <w:spacing w:after="0" w:line="149" w:lineRule="exact"/>
        <w:rPr>
          <w:sz w:val="20"/>
          <w:szCs w:val="20"/>
          <w:color w:val="auto"/>
        </w:rPr>
      </w:pPr>
    </w:p>
    <w:p>
      <w:pPr>
        <w:ind w:left="160" w:right="540"/>
        <w:spacing w:after="0" w:line="263" w:lineRule="auto"/>
        <w:rPr>
          <w:sz w:val="20"/>
          <w:szCs w:val="20"/>
          <w:color w:val="auto"/>
        </w:rPr>
      </w:pPr>
      <w:r>
        <w:rPr>
          <w:rFonts w:ascii="Arial" w:cs="Arial" w:eastAsia="Arial" w:hAnsi="Arial"/>
          <w:sz w:val="17"/>
          <w:szCs w:val="17"/>
          <w:color w:val="auto"/>
        </w:rPr>
        <w:t>The following table sets forth information concerning grants of stock and option awards and non-equity incentive plan awards granted to our named executive officers during fiscal year 2017:</w:t>
      </w:r>
    </w:p>
    <w:p>
      <w:pPr>
        <w:spacing w:after="0" w:line="124" w:lineRule="exact"/>
        <w:rPr>
          <w:sz w:val="20"/>
          <w:szCs w:val="20"/>
          <w:color w:val="auto"/>
        </w:rPr>
      </w:pPr>
    </w:p>
    <w:tbl>
      <w:tblPr>
        <w:tblLayout w:type="fixed"/>
        <w:tblInd w:w="170" w:type="dxa"/>
        <w:tblCellMar>
          <w:top w:w="0" w:type="dxa"/>
          <w:left w:w="0" w:type="dxa"/>
          <w:bottom w:w="0" w:type="dxa"/>
          <w:right w:w="0" w:type="dxa"/>
        </w:tblCellMar>
      </w:tblPr>
      <w:tr>
        <w:trPr>
          <w:trHeight w:val="283"/>
        </w:trPr>
        <w:tc>
          <w:tcPr>
            <w:tcW w:w="60" w:type="dxa"/>
            <w:vAlign w:val="bottom"/>
            <w:tcBorders>
              <w:left w:val="single" w:sz="8" w:color="DD924E"/>
            </w:tcBorders>
            <w:shd w:val="clear" w:color="auto" w:fill="DD924E"/>
          </w:tcPr>
          <w:p>
            <w:pPr>
              <w:spacing w:after="0"/>
              <w:rPr>
                <w:sz w:val="24"/>
                <w:szCs w:val="24"/>
                <w:color w:val="auto"/>
              </w:rPr>
            </w:pPr>
          </w:p>
        </w:tc>
        <w:tc>
          <w:tcPr>
            <w:tcW w:w="1420" w:type="dxa"/>
            <w:vAlign w:val="bottom"/>
            <w:shd w:val="clear" w:color="auto" w:fill="DD924E"/>
          </w:tcPr>
          <w:p>
            <w:pPr>
              <w:spacing w:after="0"/>
              <w:rPr>
                <w:sz w:val="24"/>
                <w:szCs w:val="24"/>
                <w:color w:val="auto"/>
              </w:rPr>
            </w:pPr>
          </w:p>
        </w:tc>
        <w:tc>
          <w:tcPr>
            <w:tcW w:w="40" w:type="dxa"/>
            <w:vAlign w:val="bottom"/>
            <w:shd w:val="clear" w:color="auto" w:fill="DD924E"/>
          </w:tcPr>
          <w:p>
            <w:pPr>
              <w:spacing w:after="0"/>
              <w:rPr>
                <w:sz w:val="24"/>
                <w:szCs w:val="24"/>
                <w:color w:val="auto"/>
              </w:rPr>
            </w:pPr>
          </w:p>
        </w:tc>
        <w:tc>
          <w:tcPr>
            <w:tcW w:w="60" w:type="dxa"/>
            <w:vAlign w:val="bottom"/>
            <w:shd w:val="clear" w:color="auto" w:fill="DD924E"/>
          </w:tcPr>
          <w:p>
            <w:pPr>
              <w:spacing w:after="0"/>
              <w:rPr>
                <w:sz w:val="24"/>
                <w:szCs w:val="24"/>
                <w:color w:val="auto"/>
              </w:rPr>
            </w:pPr>
          </w:p>
        </w:tc>
        <w:tc>
          <w:tcPr>
            <w:tcW w:w="740" w:type="dxa"/>
            <w:vAlign w:val="bottom"/>
            <w:shd w:val="clear" w:color="auto" w:fill="DD924E"/>
          </w:tcPr>
          <w:p>
            <w:pPr>
              <w:spacing w:after="0"/>
              <w:rPr>
                <w:sz w:val="24"/>
                <w:szCs w:val="24"/>
                <w:color w:val="auto"/>
              </w:rPr>
            </w:pPr>
          </w:p>
        </w:tc>
        <w:tc>
          <w:tcPr>
            <w:tcW w:w="100" w:type="dxa"/>
            <w:vAlign w:val="bottom"/>
            <w:shd w:val="clear" w:color="auto" w:fill="DD924E"/>
          </w:tcPr>
          <w:p>
            <w:pPr>
              <w:spacing w:after="0"/>
              <w:rPr>
                <w:sz w:val="24"/>
                <w:szCs w:val="24"/>
                <w:color w:val="auto"/>
              </w:rPr>
            </w:pPr>
          </w:p>
        </w:tc>
        <w:tc>
          <w:tcPr>
            <w:tcW w:w="740" w:type="dxa"/>
            <w:vAlign w:val="bottom"/>
            <w:shd w:val="clear" w:color="auto" w:fill="DD924E"/>
          </w:tcPr>
          <w:p>
            <w:pPr>
              <w:spacing w:after="0"/>
              <w:rPr>
                <w:sz w:val="24"/>
                <w:szCs w:val="24"/>
                <w:color w:val="auto"/>
              </w:rPr>
            </w:pPr>
          </w:p>
        </w:tc>
        <w:tc>
          <w:tcPr>
            <w:tcW w:w="120" w:type="dxa"/>
            <w:vAlign w:val="bottom"/>
            <w:shd w:val="clear" w:color="auto" w:fill="DD924E"/>
          </w:tcPr>
          <w:p>
            <w:pPr>
              <w:spacing w:after="0"/>
              <w:rPr>
                <w:sz w:val="24"/>
                <w:szCs w:val="24"/>
                <w:color w:val="auto"/>
              </w:rPr>
            </w:pPr>
          </w:p>
        </w:tc>
        <w:tc>
          <w:tcPr>
            <w:tcW w:w="640" w:type="dxa"/>
            <w:vAlign w:val="bottom"/>
            <w:shd w:val="clear" w:color="auto" w:fill="DD924E"/>
          </w:tcPr>
          <w:p>
            <w:pPr>
              <w:spacing w:after="0"/>
              <w:rPr>
                <w:sz w:val="24"/>
                <w:szCs w:val="24"/>
                <w:color w:val="auto"/>
              </w:rPr>
            </w:pPr>
          </w:p>
        </w:tc>
        <w:tc>
          <w:tcPr>
            <w:tcW w:w="100" w:type="dxa"/>
            <w:vAlign w:val="bottom"/>
            <w:shd w:val="clear" w:color="auto" w:fill="DD924E"/>
          </w:tcPr>
          <w:p>
            <w:pPr>
              <w:spacing w:after="0"/>
              <w:rPr>
                <w:sz w:val="24"/>
                <w:szCs w:val="24"/>
                <w:color w:val="auto"/>
              </w:rPr>
            </w:pPr>
          </w:p>
        </w:tc>
        <w:tc>
          <w:tcPr>
            <w:tcW w:w="100" w:type="dxa"/>
            <w:vAlign w:val="bottom"/>
            <w:shd w:val="clear" w:color="auto" w:fill="DD924E"/>
          </w:tcPr>
          <w:p>
            <w:pPr>
              <w:spacing w:after="0"/>
              <w:rPr>
                <w:sz w:val="24"/>
                <w:szCs w:val="24"/>
                <w:color w:val="auto"/>
              </w:rPr>
            </w:pPr>
          </w:p>
        </w:tc>
        <w:tc>
          <w:tcPr>
            <w:tcW w:w="760" w:type="dxa"/>
            <w:vAlign w:val="bottom"/>
            <w:shd w:val="clear" w:color="auto" w:fill="DD924E"/>
          </w:tcPr>
          <w:p>
            <w:pPr>
              <w:spacing w:after="0"/>
              <w:rPr>
                <w:sz w:val="24"/>
                <w:szCs w:val="24"/>
                <w:color w:val="auto"/>
              </w:rPr>
            </w:pPr>
          </w:p>
        </w:tc>
        <w:tc>
          <w:tcPr>
            <w:tcW w:w="100" w:type="dxa"/>
            <w:vAlign w:val="bottom"/>
            <w:shd w:val="clear" w:color="auto" w:fill="DD924E"/>
          </w:tcPr>
          <w:p>
            <w:pPr>
              <w:spacing w:after="0"/>
              <w:rPr>
                <w:sz w:val="24"/>
                <w:szCs w:val="24"/>
                <w:color w:val="auto"/>
              </w:rPr>
            </w:pPr>
          </w:p>
        </w:tc>
        <w:tc>
          <w:tcPr>
            <w:tcW w:w="740" w:type="dxa"/>
            <w:vAlign w:val="bottom"/>
            <w:shd w:val="clear" w:color="auto" w:fill="DD924E"/>
          </w:tcPr>
          <w:p>
            <w:pPr>
              <w:spacing w:after="0"/>
              <w:rPr>
                <w:sz w:val="24"/>
                <w:szCs w:val="24"/>
                <w:color w:val="auto"/>
              </w:rPr>
            </w:pPr>
          </w:p>
        </w:tc>
        <w:tc>
          <w:tcPr>
            <w:tcW w:w="100" w:type="dxa"/>
            <w:vAlign w:val="bottom"/>
            <w:shd w:val="clear" w:color="auto" w:fill="DD924E"/>
          </w:tcPr>
          <w:p>
            <w:pPr>
              <w:spacing w:after="0"/>
              <w:rPr>
                <w:sz w:val="24"/>
                <w:szCs w:val="24"/>
                <w:color w:val="auto"/>
              </w:rPr>
            </w:pPr>
          </w:p>
        </w:tc>
        <w:tc>
          <w:tcPr>
            <w:tcW w:w="620" w:type="dxa"/>
            <w:vAlign w:val="bottom"/>
            <w:shd w:val="clear" w:color="auto" w:fill="DD924E"/>
          </w:tcPr>
          <w:p>
            <w:pPr>
              <w:spacing w:after="0"/>
              <w:rPr>
                <w:sz w:val="24"/>
                <w:szCs w:val="24"/>
                <w:color w:val="auto"/>
              </w:rPr>
            </w:pPr>
          </w:p>
        </w:tc>
        <w:tc>
          <w:tcPr>
            <w:tcW w:w="160" w:type="dxa"/>
            <w:vAlign w:val="bottom"/>
            <w:shd w:val="clear" w:color="auto" w:fill="DD924E"/>
          </w:tcPr>
          <w:p>
            <w:pPr>
              <w:spacing w:after="0"/>
              <w:rPr>
                <w:sz w:val="24"/>
                <w:szCs w:val="24"/>
                <w:color w:val="auto"/>
              </w:rPr>
            </w:pPr>
          </w:p>
        </w:tc>
        <w:tc>
          <w:tcPr>
            <w:tcW w:w="100" w:type="dxa"/>
            <w:vAlign w:val="bottom"/>
            <w:shd w:val="clear" w:color="auto" w:fill="DD924E"/>
          </w:tcPr>
          <w:p>
            <w:pPr>
              <w:spacing w:after="0"/>
              <w:rPr>
                <w:sz w:val="24"/>
                <w:szCs w:val="24"/>
                <w:color w:val="auto"/>
              </w:rPr>
            </w:pPr>
          </w:p>
        </w:tc>
        <w:tc>
          <w:tcPr>
            <w:tcW w:w="780" w:type="dxa"/>
            <w:vAlign w:val="bottom"/>
            <w:shd w:val="clear" w:color="auto" w:fill="DD924E"/>
          </w:tcPr>
          <w:p>
            <w:pPr>
              <w:spacing w:after="0"/>
              <w:rPr>
                <w:sz w:val="24"/>
                <w:szCs w:val="24"/>
                <w:color w:val="auto"/>
              </w:rPr>
            </w:pPr>
          </w:p>
        </w:tc>
        <w:tc>
          <w:tcPr>
            <w:tcW w:w="40" w:type="dxa"/>
            <w:vAlign w:val="bottom"/>
            <w:shd w:val="clear" w:color="auto" w:fill="DD924E"/>
          </w:tcPr>
          <w:p>
            <w:pPr>
              <w:spacing w:after="0"/>
              <w:rPr>
                <w:sz w:val="24"/>
                <w:szCs w:val="24"/>
                <w:color w:val="auto"/>
              </w:rPr>
            </w:pPr>
          </w:p>
        </w:tc>
        <w:tc>
          <w:tcPr>
            <w:tcW w:w="60" w:type="dxa"/>
            <w:vAlign w:val="bottom"/>
            <w:shd w:val="clear" w:color="auto" w:fill="DD924E"/>
          </w:tcPr>
          <w:p>
            <w:pPr>
              <w:spacing w:after="0"/>
              <w:rPr>
                <w:sz w:val="24"/>
                <w:szCs w:val="24"/>
                <w:color w:val="auto"/>
              </w:rPr>
            </w:pPr>
          </w:p>
        </w:tc>
        <w:tc>
          <w:tcPr>
            <w:tcW w:w="760" w:type="dxa"/>
            <w:vAlign w:val="bottom"/>
            <w:shd w:val="clear" w:color="auto" w:fill="DD924E"/>
          </w:tcPr>
          <w:p>
            <w:pPr>
              <w:jc w:val="center"/>
              <w:ind w:left="32"/>
              <w:spacing w:after="0"/>
              <w:rPr>
                <w:sz w:val="20"/>
                <w:szCs w:val="20"/>
                <w:color w:val="auto"/>
              </w:rPr>
            </w:pPr>
            <w:r>
              <w:rPr>
                <w:rFonts w:ascii="Arial" w:cs="Arial" w:eastAsia="Arial" w:hAnsi="Arial"/>
                <w:sz w:val="14"/>
                <w:szCs w:val="14"/>
                <w:b w:val="1"/>
                <w:bCs w:val="1"/>
                <w:color w:val="FFFFFF"/>
                <w:w w:val="98"/>
              </w:rPr>
              <w:t>All Other</w:t>
            </w:r>
          </w:p>
        </w:tc>
        <w:tc>
          <w:tcPr>
            <w:tcW w:w="120" w:type="dxa"/>
            <w:vAlign w:val="bottom"/>
            <w:shd w:val="clear" w:color="auto" w:fill="DD924E"/>
          </w:tcPr>
          <w:p>
            <w:pPr>
              <w:spacing w:after="0"/>
              <w:rPr>
                <w:sz w:val="24"/>
                <w:szCs w:val="24"/>
                <w:color w:val="auto"/>
              </w:rPr>
            </w:pPr>
          </w:p>
        </w:tc>
        <w:tc>
          <w:tcPr>
            <w:tcW w:w="100" w:type="dxa"/>
            <w:vAlign w:val="bottom"/>
            <w:shd w:val="clear" w:color="auto" w:fill="DD924E"/>
          </w:tcPr>
          <w:p>
            <w:pPr>
              <w:spacing w:after="0"/>
              <w:rPr>
                <w:sz w:val="24"/>
                <w:szCs w:val="24"/>
                <w:color w:val="auto"/>
              </w:rPr>
            </w:pPr>
          </w:p>
        </w:tc>
        <w:tc>
          <w:tcPr>
            <w:tcW w:w="780" w:type="dxa"/>
            <w:vAlign w:val="bottom"/>
            <w:tcBorders>
              <w:right w:val="single" w:sz="8" w:color="DD924E"/>
            </w:tcBorders>
            <w:shd w:val="clear" w:color="auto" w:fill="DD924E"/>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42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120" w:type="dxa"/>
            <w:vAlign w:val="bottom"/>
            <w:shd w:val="clear" w:color="auto" w:fill="DD924E"/>
          </w:tcPr>
          <w:p>
            <w:pPr>
              <w:spacing w:after="0"/>
              <w:rPr>
                <w:sz w:val="13"/>
                <w:szCs w:val="13"/>
                <w:color w:val="auto"/>
              </w:rPr>
            </w:pPr>
          </w:p>
        </w:tc>
        <w:tc>
          <w:tcPr>
            <w:tcW w:w="6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7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20" w:type="dxa"/>
            <w:vAlign w:val="bottom"/>
            <w:shd w:val="clear" w:color="auto" w:fill="DD924E"/>
          </w:tcPr>
          <w:p>
            <w:pPr>
              <w:spacing w:after="0"/>
              <w:rPr>
                <w:sz w:val="13"/>
                <w:szCs w:val="13"/>
                <w:color w:val="auto"/>
              </w:rPr>
            </w:pPr>
          </w:p>
        </w:tc>
        <w:tc>
          <w:tcPr>
            <w:tcW w:w="1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78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760" w:type="dxa"/>
            <w:vAlign w:val="bottom"/>
            <w:shd w:val="clear" w:color="auto" w:fill="DD924E"/>
          </w:tcPr>
          <w:p>
            <w:pPr>
              <w:jc w:val="center"/>
              <w:ind w:left="32"/>
              <w:spacing w:after="0" w:line="154" w:lineRule="exact"/>
              <w:rPr>
                <w:sz w:val="20"/>
                <w:szCs w:val="20"/>
                <w:color w:val="auto"/>
              </w:rPr>
            </w:pPr>
            <w:r>
              <w:rPr>
                <w:rFonts w:ascii="Arial" w:cs="Arial" w:eastAsia="Arial" w:hAnsi="Arial"/>
                <w:sz w:val="14"/>
                <w:szCs w:val="14"/>
                <w:b w:val="1"/>
                <w:bCs w:val="1"/>
                <w:color w:val="FFFFFF"/>
                <w:w w:val="99"/>
              </w:rPr>
              <w:t>Stock</w:t>
            </w:r>
          </w:p>
        </w:tc>
        <w:tc>
          <w:tcPr>
            <w:tcW w:w="120" w:type="dxa"/>
            <w:vAlign w:val="bottom"/>
            <w:shd w:val="clear" w:color="auto" w:fill="DD924E"/>
          </w:tcPr>
          <w:p>
            <w:pPr>
              <w:spacing w:after="0"/>
              <w:rPr>
                <w:sz w:val="13"/>
                <w:szCs w:val="13"/>
                <w:color w:val="auto"/>
              </w:rPr>
            </w:pPr>
          </w:p>
        </w:tc>
        <w:tc>
          <w:tcPr>
            <w:tcW w:w="880" w:type="dxa"/>
            <w:vAlign w:val="bottom"/>
            <w:tcBorders>
              <w:right w:val="single" w:sz="8" w:color="DD924E"/>
            </w:tcBorders>
            <w:gridSpan w:val="2"/>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Grant Date</w:t>
            </w:r>
          </w:p>
        </w:tc>
        <w:tc>
          <w:tcPr>
            <w:tcW w:w="0" w:type="dxa"/>
            <w:vAlign w:val="bottom"/>
          </w:tcPr>
          <w:p>
            <w:pPr>
              <w:spacing w:after="0"/>
              <w:rPr>
                <w:sz w:val="1"/>
                <w:szCs w:val="1"/>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42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2460" w:type="dxa"/>
            <w:vAlign w:val="bottom"/>
            <w:gridSpan w:val="6"/>
            <w:vMerge w:val="restart"/>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Estimated Future Payouts</w:t>
            </w:r>
          </w:p>
        </w:tc>
        <w:tc>
          <w:tcPr>
            <w:tcW w:w="100" w:type="dxa"/>
            <w:vAlign w:val="bottom"/>
            <w:shd w:val="clear" w:color="auto" w:fill="DD924E"/>
          </w:tcPr>
          <w:p>
            <w:pPr>
              <w:spacing w:after="0"/>
              <w:rPr>
                <w:sz w:val="13"/>
                <w:szCs w:val="13"/>
                <w:color w:val="auto"/>
              </w:rPr>
            </w:pPr>
          </w:p>
        </w:tc>
        <w:tc>
          <w:tcPr>
            <w:tcW w:w="2540" w:type="dxa"/>
            <w:vAlign w:val="bottom"/>
            <w:gridSpan w:val="7"/>
            <w:vMerge w:val="restart"/>
            <w:shd w:val="clear" w:color="auto" w:fill="DD924E"/>
          </w:tcPr>
          <w:p>
            <w:pPr>
              <w:jc w:val="center"/>
              <w:ind w:right="60"/>
              <w:spacing w:after="0"/>
              <w:rPr>
                <w:sz w:val="20"/>
                <w:szCs w:val="20"/>
                <w:color w:val="auto"/>
              </w:rPr>
            </w:pPr>
            <w:r>
              <w:rPr>
                <w:rFonts w:ascii="Arial" w:cs="Arial" w:eastAsia="Arial" w:hAnsi="Arial"/>
                <w:sz w:val="14"/>
                <w:szCs w:val="14"/>
                <w:b w:val="1"/>
                <w:bCs w:val="1"/>
                <w:color w:val="FFFFFF"/>
                <w:w w:val="97"/>
              </w:rPr>
              <w:t>Estimated Future Payouts</w:t>
            </w:r>
          </w:p>
        </w:tc>
        <w:tc>
          <w:tcPr>
            <w:tcW w:w="60" w:type="dxa"/>
            <w:vAlign w:val="bottom"/>
            <w:shd w:val="clear" w:color="auto" w:fill="DD924E"/>
          </w:tcPr>
          <w:p>
            <w:pPr>
              <w:spacing w:after="0"/>
              <w:rPr>
                <w:sz w:val="13"/>
                <w:szCs w:val="13"/>
                <w:color w:val="auto"/>
              </w:rPr>
            </w:pPr>
          </w:p>
        </w:tc>
        <w:tc>
          <w:tcPr>
            <w:tcW w:w="760" w:type="dxa"/>
            <w:vAlign w:val="bottom"/>
            <w:shd w:val="clear" w:color="auto" w:fill="DD924E"/>
          </w:tcPr>
          <w:p>
            <w:pPr>
              <w:jc w:val="center"/>
              <w:ind w:left="32"/>
              <w:spacing w:after="0" w:line="154" w:lineRule="exact"/>
              <w:rPr>
                <w:sz w:val="20"/>
                <w:szCs w:val="20"/>
                <w:color w:val="auto"/>
              </w:rPr>
            </w:pPr>
            <w:r>
              <w:rPr>
                <w:rFonts w:ascii="Arial" w:cs="Arial" w:eastAsia="Arial" w:hAnsi="Arial"/>
                <w:sz w:val="14"/>
                <w:szCs w:val="14"/>
                <w:b w:val="1"/>
                <w:bCs w:val="1"/>
                <w:color w:val="FFFFFF"/>
                <w:w w:val="97"/>
              </w:rPr>
              <w:t>Awards:</w:t>
            </w:r>
          </w:p>
        </w:tc>
        <w:tc>
          <w:tcPr>
            <w:tcW w:w="1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780" w:type="dxa"/>
            <w:vAlign w:val="bottom"/>
            <w:tcBorders>
              <w:right w:val="single" w:sz="8" w:color="DD924E"/>
            </w:tcBorders>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5"/>
              </w:rPr>
              <w:t>Fair Value</w:t>
            </w:r>
          </w:p>
        </w:tc>
        <w:tc>
          <w:tcPr>
            <w:tcW w:w="0" w:type="dxa"/>
            <w:vAlign w:val="bottom"/>
          </w:tcPr>
          <w:p>
            <w:pPr>
              <w:spacing w:after="0"/>
              <w:rPr>
                <w:sz w:val="1"/>
                <w:szCs w:val="1"/>
                <w:color w:val="auto"/>
              </w:rPr>
            </w:pPr>
          </w:p>
        </w:tc>
      </w:tr>
      <w:tr>
        <w:trPr>
          <w:trHeight w:val="90"/>
        </w:trPr>
        <w:tc>
          <w:tcPr>
            <w:tcW w:w="60" w:type="dxa"/>
            <w:vAlign w:val="bottom"/>
            <w:tcBorders>
              <w:left w:val="single" w:sz="8" w:color="DD924E"/>
            </w:tcBorders>
            <w:shd w:val="clear" w:color="auto" w:fill="DD924E"/>
          </w:tcPr>
          <w:p>
            <w:pPr>
              <w:spacing w:after="0"/>
              <w:rPr>
                <w:sz w:val="7"/>
                <w:szCs w:val="7"/>
                <w:color w:val="auto"/>
              </w:rPr>
            </w:pPr>
          </w:p>
        </w:tc>
        <w:tc>
          <w:tcPr>
            <w:tcW w:w="1420" w:type="dxa"/>
            <w:vAlign w:val="bottom"/>
            <w:shd w:val="clear" w:color="auto" w:fill="DD924E"/>
          </w:tcPr>
          <w:p>
            <w:pPr>
              <w:spacing w:after="0"/>
              <w:rPr>
                <w:sz w:val="7"/>
                <w:szCs w:val="7"/>
                <w:color w:val="auto"/>
              </w:rPr>
            </w:pPr>
          </w:p>
        </w:tc>
        <w:tc>
          <w:tcPr>
            <w:tcW w:w="40" w:type="dxa"/>
            <w:vAlign w:val="bottom"/>
            <w:shd w:val="clear" w:color="auto" w:fill="DD924E"/>
          </w:tcPr>
          <w:p>
            <w:pPr>
              <w:spacing w:after="0"/>
              <w:rPr>
                <w:sz w:val="7"/>
                <w:szCs w:val="7"/>
                <w:color w:val="auto"/>
              </w:rPr>
            </w:pPr>
          </w:p>
        </w:tc>
        <w:tc>
          <w:tcPr>
            <w:tcW w:w="60" w:type="dxa"/>
            <w:vAlign w:val="bottom"/>
            <w:shd w:val="clear" w:color="auto" w:fill="DD924E"/>
          </w:tcPr>
          <w:p>
            <w:pPr>
              <w:spacing w:after="0"/>
              <w:rPr>
                <w:sz w:val="7"/>
                <w:szCs w:val="7"/>
                <w:color w:val="auto"/>
              </w:rPr>
            </w:pPr>
          </w:p>
        </w:tc>
        <w:tc>
          <w:tcPr>
            <w:tcW w:w="740" w:type="dxa"/>
            <w:vAlign w:val="bottom"/>
            <w:shd w:val="clear" w:color="auto" w:fill="DD924E"/>
          </w:tcPr>
          <w:p>
            <w:pPr>
              <w:spacing w:after="0"/>
              <w:rPr>
                <w:sz w:val="7"/>
                <w:szCs w:val="7"/>
                <w:color w:val="auto"/>
              </w:rPr>
            </w:pPr>
          </w:p>
        </w:tc>
        <w:tc>
          <w:tcPr>
            <w:tcW w:w="100" w:type="dxa"/>
            <w:vAlign w:val="bottom"/>
            <w:shd w:val="clear" w:color="auto" w:fill="DD924E"/>
          </w:tcPr>
          <w:p>
            <w:pPr>
              <w:spacing w:after="0"/>
              <w:rPr>
                <w:sz w:val="7"/>
                <w:szCs w:val="7"/>
                <w:color w:val="auto"/>
              </w:rPr>
            </w:pPr>
          </w:p>
        </w:tc>
        <w:tc>
          <w:tcPr>
            <w:tcW w:w="2460" w:type="dxa"/>
            <w:vAlign w:val="bottom"/>
            <w:gridSpan w:val="6"/>
            <w:vMerge w:val="continue"/>
            <w:shd w:val="clear" w:color="auto" w:fill="DD924E"/>
          </w:tcPr>
          <w:p>
            <w:pPr>
              <w:spacing w:after="0"/>
              <w:rPr>
                <w:sz w:val="7"/>
                <w:szCs w:val="7"/>
                <w:color w:val="auto"/>
              </w:rPr>
            </w:pPr>
          </w:p>
        </w:tc>
        <w:tc>
          <w:tcPr>
            <w:tcW w:w="100" w:type="dxa"/>
            <w:vAlign w:val="bottom"/>
            <w:shd w:val="clear" w:color="auto" w:fill="DD924E"/>
          </w:tcPr>
          <w:p>
            <w:pPr>
              <w:spacing w:after="0"/>
              <w:rPr>
                <w:sz w:val="7"/>
                <w:szCs w:val="7"/>
                <w:color w:val="auto"/>
              </w:rPr>
            </w:pPr>
          </w:p>
        </w:tc>
        <w:tc>
          <w:tcPr>
            <w:tcW w:w="2540" w:type="dxa"/>
            <w:vAlign w:val="bottom"/>
            <w:gridSpan w:val="7"/>
            <w:vMerge w:val="continue"/>
            <w:shd w:val="clear" w:color="auto" w:fill="DD924E"/>
          </w:tcPr>
          <w:p>
            <w:pPr>
              <w:spacing w:after="0"/>
              <w:rPr>
                <w:sz w:val="7"/>
                <w:szCs w:val="7"/>
                <w:color w:val="auto"/>
              </w:rPr>
            </w:pPr>
          </w:p>
        </w:tc>
        <w:tc>
          <w:tcPr>
            <w:tcW w:w="60" w:type="dxa"/>
            <w:vAlign w:val="bottom"/>
            <w:shd w:val="clear" w:color="auto" w:fill="DD924E"/>
          </w:tcPr>
          <w:p>
            <w:pPr>
              <w:spacing w:after="0"/>
              <w:rPr>
                <w:sz w:val="7"/>
                <w:szCs w:val="7"/>
                <w:color w:val="auto"/>
              </w:rPr>
            </w:pPr>
          </w:p>
        </w:tc>
        <w:tc>
          <w:tcPr>
            <w:tcW w:w="880" w:type="dxa"/>
            <w:vAlign w:val="bottom"/>
            <w:gridSpan w:val="2"/>
            <w:vMerge w:val="restart"/>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Number of</w:t>
            </w:r>
          </w:p>
        </w:tc>
        <w:tc>
          <w:tcPr>
            <w:tcW w:w="100" w:type="dxa"/>
            <w:vAlign w:val="bottom"/>
            <w:shd w:val="clear" w:color="auto" w:fill="DD924E"/>
          </w:tcPr>
          <w:p>
            <w:pPr>
              <w:spacing w:after="0"/>
              <w:rPr>
                <w:sz w:val="7"/>
                <w:szCs w:val="7"/>
                <w:color w:val="auto"/>
              </w:rPr>
            </w:pPr>
          </w:p>
        </w:tc>
        <w:tc>
          <w:tcPr>
            <w:tcW w:w="780" w:type="dxa"/>
            <w:vAlign w:val="bottom"/>
            <w:tcBorders>
              <w:right w:val="single" w:sz="8" w:color="DD924E"/>
            </w:tcBorders>
            <w:vMerge w:val="restart"/>
            <w:shd w:val="clear" w:color="auto" w:fill="DD924E"/>
          </w:tcPr>
          <w:p>
            <w:pPr>
              <w:jc w:val="center"/>
              <w:ind w:right="12"/>
              <w:spacing w:after="0" w:line="154" w:lineRule="exact"/>
              <w:rPr>
                <w:sz w:val="20"/>
                <w:szCs w:val="20"/>
                <w:color w:val="auto"/>
              </w:rPr>
            </w:pPr>
            <w:r>
              <w:rPr>
                <w:rFonts w:ascii="Arial" w:cs="Arial" w:eastAsia="Arial" w:hAnsi="Arial"/>
                <w:sz w:val="14"/>
                <w:szCs w:val="14"/>
                <w:b w:val="1"/>
                <w:bCs w:val="1"/>
                <w:color w:val="FFFFFF"/>
                <w:w w:val="97"/>
              </w:rPr>
              <w:t>of Stock</w:t>
            </w:r>
          </w:p>
        </w:tc>
        <w:tc>
          <w:tcPr>
            <w:tcW w:w="0" w:type="dxa"/>
            <w:vAlign w:val="bottom"/>
          </w:tcPr>
          <w:p>
            <w:pPr>
              <w:spacing w:after="0"/>
              <w:rPr>
                <w:sz w:val="1"/>
                <w:szCs w:val="1"/>
                <w:color w:val="auto"/>
              </w:rPr>
            </w:pPr>
          </w:p>
        </w:tc>
      </w:tr>
      <w:tr>
        <w:trPr>
          <w:trHeight w:val="64"/>
        </w:trPr>
        <w:tc>
          <w:tcPr>
            <w:tcW w:w="60" w:type="dxa"/>
            <w:vAlign w:val="bottom"/>
            <w:tcBorders>
              <w:left w:val="single" w:sz="8" w:color="DD924E"/>
            </w:tcBorders>
            <w:shd w:val="clear" w:color="auto" w:fill="DD924E"/>
          </w:tcPr>
          <w:p>
            <w:pPr>
              <w:spacing w:after="0"/>
              <w:rPr>
                <w:sz w:val="5"/>
                <w:szCs w:val="5"/>
                <w:color w:val="auto"/>
              </w:rPr>
            </w:pPr>
          </w:p>
        </w:tc>
        <w:tc>
          <w:tcPr>
            <w:tcW w:w="1420" w:type="dxa"/>
            <w:vAlign w:val="bottom"/>
            <w:shd w:val="clear" w:color="auto" w:fill="DD924E"/>
          </w:tcPr>
          <w:p>
            <w:pPr>
              <w:spacing w:after="0"/>
              <w:rPr>
                <w:sz w:val="5"/>
                <w:szCs w:val="5"/>
                <w:color w:val="auto"/>
              </w:rPr>
            </w:pPr>
          </w:p>
        </w:tc>
        <w:tc>
          <w:tcPr>
            <w:tcW w:w="40" w:type="dxa"/>
            <w:vAlign w:val="bottom"/>
            <w:shd w:val="clear" w:color="auto" w:fill="DD924E"/>
          </w:tcPr>
          <w:p>
            <w:pPr>
              <w:spacing w:after="0"/>
              <w:rPr>
                <w:sz w:val="5"/>
                <w:szCs w:val="5"/>
                <w:color w:val="auto"/>
              </w:rPr>
            </w:pPr>
          </w:p>
        </w:tc>
        <w:tc>
          <w:tcPr>
            <w:tcW w:w="60" w:type="dxa"/>
            <w:vAlign w:val="bottom"/>
            <w:shd w:val="clear" w:color="auto" w:fill="DD924E"/>
          </w:tcPr>
          <w:p>
            <w:pPr>
              <w:spacing w:after="0"/>
              <w:rPr>
                <w:sz w:val="5"/>
                <w:szCs w:val="5"/>
                <w:color w:val="auto"/>
              </w:rPr>
            </w:pPr>
          </w:p>
        </w:tc>
        <w:tc>
          <w:tcPr>
            <w:tcW w:w="740" w:type="dxa"/>
            <w:vAlign w:val="bottom"/>
            <w:shd w:val="clear" w:color="auto" w:fill="DD924E"/>
          </w:tcPr>
          <w:p>
            <w:pPr>
              <w:spacing w:after="0"/>
              <w:rPr>
                <w:sz w:val="5"/>
                <w:szCs w:val="5"/>
                <w:color w:val="auto"/>
              </w:rPr>
            </w:pPr>
          </w:p>
        </w:tc>
        <w:tc>
          <w:tcPr>
            <w:tcW w:w="100" w:type="dxa"/>
            <w:vAlign w:val="bottom"/>
            <w:shd w:val="clear" w:color="auto" w:fill="DD924E"/>
          </w:tcPr>
          <w:p>
            <w:pPr>
              <w:spacing w:after="0"/>
              <w:rPr>
                <w:sz w:val="5"/>
                <w:szCs w:val="5"/>
                <w:color w:val="auto"/>
              </w:rPr>
            </w:pPr>
          </w:p>
        </w:tc>
        <w:tc>
          <w:tcPr>
            <w:tcW w:w="2460" w:type="dxa"/>
            <w:vAlign w:val="bottom"/>
            <w:gridSpan w:val="6"/>
            <w:vMerge w:val="restart"/>
            <w:shd w:val="clear" w:color="auto" w:fill="DD924E"/>
          </w:tcPr>
          <w:p>
            <w:pPr>
              <w:jc w:val="center"/>
              <w:spacing w:after="0" w:line="140" w:lineRule="exact"/>
              <w:rPr>
                <w:sz w:val="20"/>
                <w:szCs w:val="20"/>
                <w:color w:val="auto"/>
              </w:rPr>
            </w:pPr>
            <w:r>
              <w:rPr>
                <w:rFonts w:ascii="Arial" w:cs="Arial" w:eastAsia="Arial" w:hAnsi="Arial"/>
                <w:sz w:val="14"/>
                <w:szCs w:val="14"/>
                <w:b w:val="1"/>
                <w:bCs w:val="1"/>
                <w:color w:val="FFFFFF"/>
                <w:w w:val="98"/>
              </w:rPr>
              <w:t>Under Non-Equity Incentive</w:t>
            </w:r>
          </w:p>
        </w:tc>
        <w:tc>
          <w:tcPr>
            <w:tcW w:w="100" w:type="dxa"/>
            <w:vAlign w:val="bottom"/>
            <w:shd w:val="clear" w:color="auto" w:fill="DD924E"/>
          </w:tcPr>
          <w:p>
            <w:pPr>
              <w:spacing w:after="0"/>
              <w:rPr>
                <w:sz w:val="5"/>
                <w:szCs w:val="5"/>
                <w:color w:val="auto"/>
              </w:rPr>
            </w:pPr>
          </w:p>
        </w:tc>
        <w:tc>
          <w:tcPr>
            <w:tcW w:w="2540" w:type="dxa"/>
            <w:vAlign w:val="bottom"/>
            <w:gridSpan w:val="7"/>
            <w:vMerge w:val="restart"/>
            <w:shd w:val="clear" w:color="auto" w:fill="DD924E"/>
          </w:tcPr>
          <w:p>
            <w:pPr>
              <w:jc w:val="center"/>
              <w:ind w:right="60"/>
              <w:spacing w:after="0" w:line="140" w:lineRule="exact"/>
              <w:rPr>
                <w:sz w:val="20"/>
                <w:szCs w:val="20"/>
                <w:color w:val="auto"/>
              </w:rPr>
            </w:pPr>
            <w:r>
              <w:rPr>
                <w:rFonts w:ascii="Arial" w:cs="Arial" w:eastAsia="Arial" w:hAnsi="Arial"/>
                <w:sz w:val="14"/>
                <w:szCs w:val="14"/>
                <w:b w:val="1"/>
                <w:bCs w:val="1"/>
                <w:color w:val="FFFFFF"/>
                <w:w w:val="97"/>
              </w:rPr>
              <w:t>Under Equity Incentive</w:t>
            </w:r>
          </w:p>
        </w:tc>
        <w:tc>
          <w:tcPr>
            <w:tcW w:w="60" w:type="dxa"/>
            <w:vAlign w:val="bottom"/>
            <w:shd w:val="clear" w:color="auto" w:fill="DD924E"/>
          </w:tcPr>
          <w:p>
            <w:pPr>
              <w:spacing w:after="0"/>
              <w:rPr>
                <w:sz w:val="5"/>
                <w:szCs w:val="5"/>
                <w:color w:val="auto"/>
              </w:rPr>
            </w:pPr>
          </w:p>
        </w:tc>
        <w:tc>
          <w:tcPr>
            <w:tcW w:w="880" w:type="dxa"/>
            <w:vAlign w:val="bottom"/>
            <w:gridSpan w:val="2"/>
            <w:vMerge w:val="continue"/>
            <w:shd w:val="clear" w:color="auto" w:fill="DD924E"/>
          </w:tcPr>
          <w:p>
            <w:pPr>
              <w:spacing w:after="0"/>
              <w:rPr>
                <w:sz w:val="5"/>
                <w:szCs w:val="5"/>
                <w:color w:val="auto"/>
              </w:rPr>
            </w:pPr>
          </w:p>
        </w:tc>
        <w:tc>
          <w:tcPr>
            <w:tcW w:w="100" w:type="dxa"/>
            <w:vAlign w:val="bottom"/>
            <w:shd w:val="clear" w:color="auto" w:fill="DD924E"/>
          </w:tcPr>
          <w:p>
            <w:pPr>
              <w:spacing w:after="0"/>
              <w:rPr>
                <w:sz w:val="5"/>
                <w:szCs w:val="5"/>
                <w:color w:val="auto"/>
              </w:rPr>
            </w:pPr>
          </w:p>
        </w:tc>
        <w:tc>
          <w:tcPr>
            <w:tcW w:w="780" w:type="dxa"/>
            <w:vAlign w:val="bottom"/>
            <w:tcBorders>
              <w:right w:val="single" w:sz="8" w:color="DD924E"/>
            </w:tcBorders>
            <w:vMerge w:val="continue"/>
            <w:shd w:val="clear" w:color="auto" w:fill="DD924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0" w:type="dxa"/>
            <w:vAlign w:val="bottom"/>
            <w:tcBorders>
              <w:left w:val="single" w:sz="8" w:color="DD924E"/>
            </w:tcBorders>
            <w:shd w:val="clear" w:color="auto" w:fill="DD924E"/>
          </w:tcPr>
          <w:p>
            <w:pPr>
              <w:spacing w:after="0"/>
              <w:rPr>
                <w:sz w:val="6"/>
                <w:szCs w:val="6"/>
                <w:color w:val="auto"/>
              </w:rPr>
            </w:pPr>
          </w:p>
        </w:tc>
        <w:tc>
          <w:tcPr>
            <w:tcW w:w="1420" w:type="dxa"/>
            <w:vAlign w:val="bottom"/>
            <w:shd w:val="clear" w:color="auto" w:fill="DD924E"/>
          </w:tcPr>
          <w:p>
            <w:pPr>
              <w:spacing w:after="0"/>
              <w:rPr>
                <w:sz w:val="6"/>
                <w:szCs w:val="6"/>
                <w:color w:val="auto"/>
              </w:rPr>
            </w:pPr>
          </w:p>
        </w:tc>
        <w:tc>
          <w:tcPr>
            <w:tcW w:w="40" w:type="dxa"/>
            <w:vAlign w:val="bottom"/>
            <w:shd w:val="clear" w:color="auto" w:fill="DD924E"/>
          </w:tcPr>
          <w:p>
            <w:pPr>
              <w:spacing w:after="0"/>
              <w:rPr>
                <w:sz w:val="6"/>
                <w:szCs w:val="6"/>
                <w:color w:val="auto"/>
              </w:rPr>
            </w:pPr>
          </w:p>
        </w:tc>
        <w:tc>
          <w:tcPr>
            <w:tcW w:w="60" w:type="dxa"/>
            <w:vAlign w:val="bottom"/>
            <w:shd w:val="clear" w:color="auto" w:fill="DD924E"/>
          </w:tcPr>
          <w:p>
            <w:pPr>
              <w:spacing w:after="0"/>
              <w:rPr>
                <w:sz w:val="6"/>
                <w:szCs w:val="6"/>
                <w:color w:val="auto"/>
              </w:rPr>
            </w:pPr>
          </w:p>
        </w:tc>
        <w:tc>
          <w:tcPr>
            <w:tcW w:w="740" w:type="dxa"/>
            <w:vAlign w:val="bottom"/>
            <w:shd w:val="clear" w:color="auto" w:fill="DD924E"/>
          </w:tcPr>
          <w:p>
            <w:pPr>
              <w:spacing w:after="0"/>
              <w:rPr>
                <w:sz w:val="6"/>
                <w:szCs w:val="6"/>
                <w:color w:val="auto"/>
              </w:rPr>
            </w:pPr>
          </w:p>
        </w:tc>
        <w:tc>
          <w:tcPr>
            <w:tcW w:w="100" w:type="dxa"/>
            <w:vAlign w:val="bottom"/>
            <w:shd w:val="clear" w:color="auto" w:fill="DD924E"/>
          </w:tcPr>
          <w:p>
            <w:pPr>
              <w:spacing w:after="0"/>
              <w:rPr>
                <w:sz w:val="6"/>
                <w:szCs w:val="6"/>
                <w:color w:val="auto"/>
              </w:rPr>
            </w:pPr>
          </w:p>
        </w:tc>
        <w:tc>
          <w:tcPr>
            <w:tcW w:w="2460" w:type="dxa"/>
            <w:vAlign w:val="bottom"/>
            <w:gridSpan w:val="6"/>
            <w:vMerge w:val="continue"/>
            <w:shd w:val="clear" w:color="auto" w:fill="DD924E"/>
          </w:tcPr>
          <w:p>
            <w:pPr>
              <w:spacing w:after="0"/>
              <w:rPr>
                <w:sz w:val="6"/>
                <w:szCs w:val="6"/>
                <w:color w:val="auto"/>
              </w:rPr>
            </w:pPr>
          </w:p>
        </w:tc>
        <w:tc>
          <w:tcPr>
            <w:tcW w:w="100" w:type="dxa"/>
            <w:vAlign w:val="bottom"/>
            <w:shd w:val="clear" w:color="auto" w:fill="DD924E"/>
          </w:tcPr>
          <w:p>
            <w:pPr>
              <w:spacing w:after="0"/>
              <w:rPr>
                <w:sz w:val="6"/>
                <w:szCs w:val="6"/>
                <w:color w:val="auto"/>
              </w:rPr>
            </w:pPr>
          </w:p>
        </w:tc>
        <w:tc>
          <w:tcPr>
            <w:tcW w:w="2540" w:type="dxa"/>
            <w:vAlign w:val="bottom"/>
            <w:gridSpan w:val="7"/>
            <w:vMerge w:val="continue"/>
            <w:shd w:val="clear" w:color="auto" w:fill="DD924E"/>
          </w:tcPr>
          <w:p>
            <w:pPr>
              <w:spacing w:after="0"/>
              <w:rPr>
                <w:sz w:val="6"/>
                <w:szCs w:val="6"/>
                <w:color w:val="auto"/>
              </w:rPr>
            </w:pPr>
          </w:p>
        </w:tc>
        <w:tc>
          <w:tcPr>
            <w:tcW w:w="60" w:type="dxa"/>
            <w:vAlign w:val="bottom"/>
            <w:shd w:val="clear" w:color="auto" w:fill="DD924E"/>
          </w:tcPr>
          <w:p>
            <w:pPr>
              <w:spacing w:after="0"/>
              <w:rPr>
                <w:sz w:val="6"/>
                <w:szCs w:val="6"/>
                <w:color w:val="auto"/>
              </w:rPr>
            </w:pPr>
          </w:p>
        </w:tc>
        <w:tc>
          <w:tcPr>
            <w:tcW w:w="760" w:type="dxa"/>
            <w:vAlign w:val="bottom"/>
            <w:vMerge w:val="restart"/>
            <w:shd w:val="clear" w:color="auto" w:fill="DD924E"/>
          </w:tcPr>
          <w:p>
            <w:pPr>
              <w:jc w:val="center"/>
              <w:ind w:left="32"/>
              <w:spacing w:after="0" w:line="154" w:lineRule="exact"/>
              <w:rPr>
                <w:sz w:val="20"/>
                <w:szCs w:val="20"/>
                <w:color w:val="auto"/>
              </w:rPr>
            </w:pPr>
            <w:r>
              <w:rPr>
                <w:rFonts w:ascii="Arial" w:cs="Arial" w:eastAsia="Arial" w:hAnsi="Arial"/>
                <w:sz w:val="14"/>
                <w:szCs w:val="14"/>
                <w:b w:val="1"/>
                <w:bCs w:val="1"/>
                <w:color w:val="FFFFFF"/>
                <w:w w:val="97"/>
              </w:rPr>
              <w:t>Shares of</w:t>
            </w:r>
          </w:p>
        </w:tc>
        <w:tc>
          <w:tcPr>
            <w:tcW w:w="120" w:type="dxa"/>
            <w:vAlign w:val="bottom"/>
            <w:shd w:val="clear" w:color="auto" w:fill="DD924E"/>
          </w:tcPr>
          <w:p>
            <w:pPr>
              <w:spacing w:after="0"/>
              <w:rPr>
                <w:sz w:val="6"/>
                <w:szCs w:val="6"/>
                <w:color w:val="auto"/>
              </w:rPr>
            </w:pPr>
          </w:p>
        </w:tc>
        <w:tc>
          <w:tcPr>
            <w:tcW w:w="100" w:type="dxa"/>
            <w:vAlign w:val="bottom"/>
            <w:shd w:val="clear" w:color="auto" w:fill="DD924E"/>
          </w:tcPr>
          <w:p>
            <w:pPr>
              <w:spacing w:after="0"/>
              <w:rPr>
                <w:sz w:val="6"/>
                <w:szCs w:val="6"/>
                <w:color w:val="auto"/>
              </w:rPr>
            </w:pPr>
          </w:p>
        </w:tc>
        <w:tc>
          <w:tcPr>
            <w:tcW w:w="780" w:type="dxa"/>
            <w:vAlign w:val="bottom"/>
            <w:tcBorders>
              <w:right w:val="single" w:sz="8" w:color="DD924E"/>
            </w:tcBorders>
            <w:vMerge w:val="restart"/>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and</w:t>
            </w:r>
          </w:p>
        </w:tc>
        <w:tc>
          <w:tcPr>
            <w:tcW w:w="0" w:type="dxa"/>
            <w:vAlign w:val="bottom"/>
          </w:tcPr>
          <w:p>
            <w:pPr>
              <w:spacing w:after="0"/>
              <w:rPr>
                <w:sz w:val="1"/>
                <w:szCs w:val="1"/>
                <w:color w:val="auto"/>
              </w:rPr>
            </w:pPr>
          </w:p>
        </w:tc>
      </w:tr>
      <w:tr>
        <w:trPr>
          <w:trHeight w:val="78"/>
        </w:trPr>
        <w:tc>
          <w:tcPr>
            <w:tcW w:w="60" w:type="dxa"/>
            <w:vAlign w:val="bottom"/>
            <w:tcBorders>
              <w:left w:val="single" w:sz="8" w:color="DD924E"/>
            </w:tcBorders>
            <w:shd w:val="clear" w:color="auto" w:fill="DD924E"/>
          </w:tcPr>
          <w:p>
            <w:pPr>
              <w:spacing w:after="0"/>
              <w:rPr>
                <w:sz w:val="6"/>
                <w:szCs w:val="6"/>
                <w:color w:val="auto"/>
              </w:rPr>
            </w:pPr>
          </w:p>
        </w:tc>
        <w:tc>
          <w:tcPr>
            <w:tcW w:w="1420" w:type="dxa"/>
            <w:vAlign w:val="bottom"/>
            <w:shd w:val="clear" w:color="auto" w:fill="DD924E"/>
          </w:tcPr>
          <w:p>
            <w:pPr>
              <w:spacing w:after="0"/>
              <w:rPr>
                <w:sz w:val="6"/>
                <w:szCs w:val="6"/>
                <w:color w:val="auto"/>
              </w:rPr>
            </w:pPr>
          </w:p>
        </w:tc>
        <w:tc>
          <w:tcPr>
            <w:tcW w:w="40" w:type="dxa"/>
            <w:vAlign w:val="bottom"/>
            <w:shd w:val="clear" w:color="auto" w:fill="DD924E"/>
          </w:tcPr>
          <w:p>
            <w:pPr>
              <w:spacing w:after="0"/>
              <w:rPr>
                <w:sz w:val="6"/>
                <w:szCs w:val="6"/>
                <w:color w:val="auto"/>
              </w:rPr>
            </w:pPr>
          </w:p>
        </w:tc>
        <w:tc>
          <w:tcPr>
            <w:tcW w:w="60" w:type="dxa"/>
            <w:vAlign w:val="bottom"/>
            <w:shd w:val="clear" w:color="auto" w:fill="DD924E"/>
          </w:tcPr>
          <w:p>
            <w:pPr>
              <w:spacing w:after="0"/>
              <w:rPr>
                <w:sz w:val="6"/>
                <w:szCs w:val="6"/>
                <w:color w:val="auto"/>
              </w:rPr>
            </w:pPr>
          </w:p>
        </w:tc>
        <w:tc>
          <w:tcPr>
            <w:tcW w:w="740" w:type="dxa"/>
            <w:vAlign w:val="bottom"/>
            <w:shd w:val="clear" w:color="auto" w:fill="DD924E"/>
          </w:tcPr>
          <w:p>
            <w:pPr>
              <w:spacing w:after="0"/>
              <w:rPr>
                <w:sz w:val="6"/>
                <w:szCs w:val="6"/>
                <w:color w:val="auto"/>
              </w:rPr>
            </w:pPr>
          </w:p>
        </w:tc>
        <w:tc>
          <w:tcPr>
            <w:tcW w:w="100" w:type="dxa"/>
            <w:vAlign w:val="bottom"/>
            <w:shd w:val="clear" w:color="auto" w:fill="DD924E"/>
          </w:tcPr>
          <w:p>
            <w:pPr>
              <w:spacing w:after="0"/>
              <w:rPr>
                <w:sz w:val="6"/>
                <w:szCs w:val="6"/>
                <w:color w:val="auto"/>
              </w:rPr>
            </w:pPr>
          </w:p>
        </w:tc>
        <w:tc>
          <w:tcPr>
            <w:tcW w:w="740" w:type="dxa"/>
            <w:vAlign w:val="bottom"/>
            <w:shd w:val="clear" w:color="auto" w:fill="DD924E"/>
          </w:tcPr>
          <w:p>
            <w:pPr>
              <w:spacing w:after="0"/>
              <w:rPr>
                <w:sz w:val="6"/>
                <w:szCs w:val="6"/>
                <w:color w:val="auto"/>
              </w:rPr>
            </w:pPr>
          </w:p>
        </w:tc>
        <w:tc>
          <w:tcPr>
            <w:tcW w:w="960" w:type="dxa"/>
            <w:vAlign w:val="bottom"/>
            <w:gridSpan w:val="4"/>
            <w:vMerge w:val="restart"/>
            <w:shd w:val="clear" w:color="auto" w:fill="DD924E"/>
          </w:tcPr>
          <w:p>
            <w:pPr>
              <w:jc w:val="center"/>
              <w:spacing w:after="0" w:line="206" w:lineRule="exact"/>
              <w:rPr>
                <w:sz w:val="20"/>
                <w:szCs w:val="20"/>
                <w:color w:val="auto"/>
              </w:rPr>
            </w:pPr>
            <w:r>
              <w:rPr>
                <w:rFonts w:ascii="Arial" w:cs="Arial" w:eastAsia="Arial" w:hAnsi="Arial"/>
                <w:sz w:val="14"/>
                <w:szCs w:val="14"/>
                <w:b w:val="1"/>
                <w:bCs w:val="1"/>
                <w:color w:val="FFFFFF"/>
                <w:w w:val="93"/>
              </w:rPr>
              <w:t>Plan Awards</w:t>
            </w:r>
            <w:r>
              <w:rPr>
                <w:rFonts w:ascii="Arial" w:cs="Arial" w:eastAsia="Arial" w:hAnsi="Arial"/>
                <w:sz w:val="20"/>
                <w:szCs w:val="20"/>
                <w:b w:val="1"/>
                <w:bCs w:val="1"/>
                <w:color w:val="FFFFFF"/>
                <w:w w:val="93"/>
                <w:vertAlign w:val="superscript"/>
              </w:rPr>
              <w:t>(1)</w:t>
            </w:r>
          </w:p>
        </w:tc>
        <w:tc>
          <w:tcPr>
            <w:tcW w:w="760" w:type="dxa"/>
            <w:vAlign w:val="bottom"/>
            <w:shd w:val="clear" w:color="auto" w:fill="DD924E"/>
          </w:tcPr>
          <w:p>
            <w:pPr>
              <w:spacing w:after="0"/>
              <w:rPr>
                <w:sz w:val="6"/>
                <w:szCs w:val="6"/>
                <w:color w:val="auto"/>
              </w:rPr>
            </w:pPr>
          </w:p>
        </w:tc>
        <w:tc>
          <w:tcPr>
            <w:tcW w:w="100" w:type="dxa"/>
            <w:vAlign w:val="bottom"/>
            <w:shd w:val="clear" w:color="auto" w:fill="DD924E"/>
          </w:tcPr>
          <w:p>
            <w:pPr>
              <w:spacing w:after="0"/>
              <w:rPr>
                <w:sz w:val="6"/>
                <w:szCs w:val="6"/>
                <w:color w:val="auto"/>
              </w:rPr>
            </w:pPr>
          </w:p>
        </w:tc>
        <w:tc>
          <w:tcPr>
            <w:tcW w:w="740" w:type="dxa"/>
            <w:vAlign w:val="bottom"/>
            <w:shd w:val="clear" w:color="auto" w:fill="DD924E"/>
          </w:tcPr>
          <w:p>
            <w:pPr>
              <w:spacing w:after="0"/>
              <w:rPr>
                <w:sz w:val="6"/>
                <w:szCs w:val="6"/>
                <w:color w:val="auto"/>
              </w:rPr>
            </w:pPr>
          </w:p>
        </w:tc>
        <w:tc>
          <w:tcPr>
            <w:tcW w:w="980" w:type="dxa"/>
            <w:vAlign w:val="bottom"/>
            <w:gridSpan w:val="4"/>
            <w:vMerge w:val="restart"/>
            <w:shd w:val="clear" w:color="auto" w:fill="DD924E"/>
          </w:tcPr>
          <w:p>
            <w:pPr>
              <w:jc w:val="center"/>
              <w:spacing w:after="0"/>
              <w:rPr>
                <w:sz w:val="20"/>
                <w:szCs w:val="20"/>
                <w:color w:val="auto"/>
              </w:rPr>
            </w:pPr>
            <w:r>
              <w:rPr>
                <w:rFonts w:ascii="Arial" w:cs="Arial" w:eastAsia="Arial" w:hAnsi="Arial"/>
                <w:sz w:val="14"/>
                <w:szCs w:val="14"/>
                <w:b w:val="1"/>
                <w:bCs w:val="1"/>
                <w:color w:val="FFFFFF"/>
                <w:w w:val="95"/>
              </w:rPr>
              <w:t>Plan Awards</w:t>
            </w:r>
          </w:p>
        </w:tc>
        <w:tc>
          <w:tcPr>
            <w:tcW w:w="780" w:type="dxa"/>
            <w:vAlign w:val="bottom"/>
            <w:shd w:val="clear" w:color="auto" w:fill="DD924E"/>
          </w:tcPr>
          <w:p>
            <w:pPr>
              <w:spacing w:after="0"/>
              <w:rPr>
                <w:sz w:val="6"/>
                <w:szCs w:val="6"/>
                <w:color w:val="auto"/>
              </w:rPr>
            </w:pPr>
          </w:p>
        </w:tc>
        <w:tc>
          <w:tcPr>
            <w:tcW w:w="40" w:type="dxa"/>
            <w:vAlign w:val="bottom"/>
            <w:shd w:val="clear" w:color="auto" w:fill="DD924E"/>
          </w:tcPr>
          <w:p>
            <w:pPr>
              <w:spacing w:after="0"/>
              <w:rPr>
                <w:sz w:val="6"/>
                <w:szCs w:val="6"/>
                <w:color w:val="auto"/>
              </w:rPr>
            </w:pPr>
          </w:p>
        </w:tc>
        <w:tc>
          <w:tcPr>
            <w:tcW w:w="60" w:type="dxa"/>
            <w:vAlign w:val="bottom"/>
            <w:shd w:val="clear" w:color="auto" w:fill="DD924E"/>
          </w:tcPr>
          <w:p>
            <w:pPr>
              <w:spacing w:after="0"/>
              <w:rPr>
                <w:sz w:val="6"/>
                <w:szCs w:val="6"/>
                <w:color w:val="auto"/>
              </w:rPr>
            </w:pPr>
          </w:p>
        </w:tc>
        <w:tc>
          <w:tcPr>
            <w:tcW w:w="760" w:type="dxa"/>
            <w:vAlign w:val="bottom"/>
            <w:vMerge w:val="continue"/>
            <w:shd w:val="clear" w:color="auto" w:fill="DD924E"/>
          </w:tcPr>
          <w:p>
            <w:pPr>
              <w:spacing w:after="0"/>
              <w:rPr>
                <w:sz w:val="6"/>
                <w:szCs w:val="6"/>
                <w:color w:val="auto"/>
              </w:rPr>
            </w:pPr>
          </w:p>
        </w:tc>
        <w:tc>
          <w:tcPr>
            <w:tcW w:w="120" w:type="dxa"/>
            <w:vAlign w:val="bottom"/>
            <w:shd w:val="clear" w:color="auto" w:fill="DD924E"/>
          </w:tcPr>
          <w:p>
            <w:pPr>
              <w:spacing w:after="0"/>
              <w:rPr>
                <w:sz w:val="6"/>
                <w:szCs w:val="6"/>
                <w:color w:val="auto"/>
              </w:rPr>
            </w:pPr>
          </w:p>
        </w:tc>
        <w:tc>
          <w:tcPr>
            <w:tcW w:w="100" w:type="dxa"/>
            <w:vAlign w:val="bottom"/>
            <w:shd w:val="clear" w:color="auto" w:fill="DD924E"/>
          </w:tcPr>
          <w:p>
            <w:pPr>
              <w:spacing w:after="0"/>
              <w:rPr>
                <w:sz w:val="6"/>
                <w:szCs w:val="6"/>
                <w:color w:val="auto"/>
              </w:rPr>
            </w:pPr>
          </w:p>
        </w:tc>
        <w:tc>
          <w:tcPr>
            <w:tcW w:w="780" w:type="dxa"/>
            <w:vAlign w:val="bottom"/>
            <w:tcBorders>
              <w:right w:val="single" w:sz="8" w:color="DD924E"/>
            </w:tcBorders>
            <w:vMerge w:val="continue"/>
            <w:shd w:val="clear" w:color="auto" w:fill="DD924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60" w:type="dxa"/>
            <w:vAlign w:val="bottom"/>
            <w:tcBorders>
              <w:left w:val="single" w:sz="8" w:color="DD924E"/>
            </w:tcBorders>
            <w:shd w:val="clear" w:color="auto" w:fill="DD924E"/>
          </w:tcPr>
          <w:p>
            <w:pPr>
              <w:spacing w:after="0"/>
              <w:rPr>
                <w:sz w:val="12"/>
                <w:szCs w:val="12"/>
                <w:color w:val="auto"/>
              </w:rPr>
            </w:pPr>
          </w:p>
        </w:tc>
        <w:tc>
          <w:tcPr>
            <w:tcW w:w="1420" w:type="dxa"/>
            <w:vAlign w:val="bottom"/>
            <w:shd w:val="clear" w:color="auto" w:fill="DD924E"/>
          </w:tcPr>
          <w:p>
            <w:pPr>
              <w:spacing w:after="0"/>
              <w:rPr>
                <w:sz w:val="12"/>
                <w:szCs w:val="12"/>
                <w:color w:val="auto"/>
              </w:rPr>
            </w:pPr>
          </w:p>
        </w:tc>
        <w:tc>
          <w:tcPr>
            <w:tcW w:w="40" w:type="dxa"/>
            <w:vAlign w:val="bottom"/>
            <w:shd w:val="clear" w:color="auto" w:fill="DD924E"/>
          </w:tcPr>
          <w:p>
            <w:pPr>
              <w:spacing w:after="0"/>
              <w:rPr>
                <w:sz w:val="12"/>
                <w:szCs w:val="12"/>
                <w:color w:val="auto"/>
              </w:rPr>
            </w:pPr>
          </w:p>
        </w:tc>
        <w:tc>
          <w:tcPr>
            <w:tcW w:w="60" w:type="dxa"/>
            <w:vAlign w:val="bottom"/>
            <w:shd w:val="clear" w:color="auto" w:fill="DD924E"/>
          </w:tcPr>
          <w:p>
            <w:pPr>
              <w:spacing w:after="0"/>
              <w:rPr>
                <w:sz w:val="12"/>
                <w:szCs w:val="12"/>
                <w:color w:val="auto"/>
              </w:rPr>
            </w:pPr>
          </w:p>
        </w:tc>
        <w:tc>
          <w:tcPr>
            <w:tcW w:w="740" w:type="dxa"/>
            <w:vAlign w:val="bottom"/>
            <w:shd w:val="clear" w:color="auto" w:fill="DD924E"/>
          </w:tcPr>
          <w:p>
            <w:pPr>
              <w:spacing w:after="0"/>
              <w:rPr>
                <w:sz w:val="12"/>
                <w:szCs w:val="12"/>
                <w:color w:val="auto"/>
              </w:rPr>
            </w:pPr>
          </w:p>
        </w:tc>
        <w:tc>
          <w:tcPr>
            <w:tcW w:w="100" w:type="dxa"/>
            <w:vAlign w:val="bottom"/>
            <w:shd w:val="clear" w:color="auto" w:fill="DD924E"/>
          </w:tcPr>
          <w:p>
            <w:pPr>
              <w:spacing w:after="0"/>
              <w:rPr>
                <w:sz w:val="12"/>
                <w:szCs w:val="12"/>
                <w:color w:val="auto"/>
              </w:rPr>
            </w:pPr>
          </w:p>
        </w:tc>
        <w:tc>
          <w:tcPr>
            <w:tcW w:w="740" w:type="dxa"/>
            <w:vAlign w:val="bottom"/>
            <w:shd w:val="clear" w:color="auto" w:fill="DD924E"/>
          </w:tcPr>
          <w:p>
            <w:pPr>
              <w:spacing w:after="0"/>
              <w:rPr>
                <w:sz w:val="12"/>
                <w:szCs w:val="12"/>
                <w:color w:val="auto"/>
              </w:rPr>
            </w:pPr>
          </w:p>
        </w:tc>
        <w:tc>
          <w:tcPr>
            <w:tcW w:w="960" w:type="dxa"/>
            <w:vAlign w:val="bottom"/>
            <w:gridSpan w:val="4"/>
            <w:vMerge w:val="continue"/>
            <w:shd w:val="clear" w:color="auto" w:fill="DD924E"/>
          </w:tcPr>
          <w:p>
            <w:pPr>
              <w:spacing w:after="0"/>
              <w:rPr>
                <w:sz w:val="12"/>
                <w:szCs w:val="12"/>
                <w:color w:val="auto"/>
              </w:rPr>
            </w:pPr>
          </w:p>
        </w:tc>
        <w:tc>
          <w:tcPr>
            <w:tcW w:w="760" w:type="dxa"/>
            <w:vAlign w:val="bottom"/>
            <w:shd w:val="clear" w:color="auto" w:fill="DD924E"/>
          </w:tcPr>
          <w:p>
            <w:pPr>
              <w:spacing w:after="0"/>
              <w:rPr>
                <w:sz w:val="12"/>
                <w:szCs w:val="12"/>
                <w:color w:val="auto"/>
              </w:rPr>
            </w:pPr>
          </w:p>
        </w:tc>
        <w:tc>
          <w:tcPr>
            <w:tcW w:w="100" w:type="dxa"/>
            <w:vAlign w:val="bottom"/>
            <w:shd w:val="clear" w:color="auto" w:fill="DD924E"/>
          </w:tcPr>
          <w:p>
            <w:pPr>
              <w:spacing w:after="0"/>
              <w:rPr>
                <w:sz w:val="12"/>
                <w:szCs w:val="12"/>
                <w:color w:val="auto"/>
              </w:rPr>
            </w:pPr>
          </w:p>
        </w:tc>
        <w:tc>
          <w:tcPr>
            <w:tcW w:w="740" w:type="dxa"/>
            <w:vAlign w:val="bottom"/>
            <w:shd w:val="clear" w:color="auto" w:fill="DD924E"/>
          </w:tcPr>
          <w:p>
            <w:pPr>
              <w:spacing w:after="0"/>
              <w:rPr>
                <w:sz w:val="12"/>
                <w:szCs w:val="12"/>
                <w:color w:val="auto"/>
              </w:rPr>
            </w:pPr>
          </w:p>
        </w:tc>
        <w:tc>
          <w:tcPr>
            <w:tcW w:w="980" w:type="dxa"/>
            <w:vAlign w:val="bottom"/>
            <w:gridSpan w:val="4"/>
            <w:vMerge w:val="continue"/>
            <w:shd w:val="clear" w:color="auto" w:fill="DD924E"/>
          </w:tcPr>
          <w:p>
            <w:pPr>
              <w:spacing w:after="0"/>
              <w:rPr>
                <w:sz w:val="12"/>
                <w:szCs w:val="12"/>
                <w:color w:val="auto"/>
              </w:rPr>
            </w:pPr>
          </w:p>
        </w:tc>
        <w:tc>
          <w:tcPr>
            <w:tcW w:w="780" w:type="dxa"/>
            <w:vAlign w:val="bottom"/>
            <w:shd w:val="clear" w:color="auto" w:fill="DD924E"/>
          </w:tcPr>
          <w:p>
            <w:pPr>
              <w:spacing w:after="0"/>
              <w:rPr>
                <w:sz w:val="12"/>
                <w:szCs w:val="12"/>
                <w:color w:val="auto"/>
              </w:rPr>
            </w:pPr>
          </w:p>
        </w:tc>
        <w:tc>
          <w:tcPr>
            <w:tcW w:w="40" w:type="dxa"/>
            <w:vAlign w:val="bottom"/>
            <w:shd w:val="clear" w:color="auto" w:fill="DD924E"/>
          </w:tcPr>
          <w:p>
            <w:pPr>
              <w:spacing w:after="0"/>
              <w:rPr>
                <w:sz w:val="12"/>
                <w:szCs w:val="12"/>
                <w:color w:val="auto"/>
              </w:rPr>
            </w:pPr>
          </w:p>
        </w:tc>
        <w:tc>
          <w:tcPr>
            <w:tcW w:w="60" w:type="dxa"/>
            <w:vAlign w:val="bottom"/>
            <w:shd w:val="clear" w:color="auto" w:fill="DD924E"/>
          </w:tcPr>
          <w:p>
            <w:pPr>
              <w:spacing w:after="0"/>
              <w:rPr>
                <w:sz w:val="12"/>
                <w:szCs w:val="12"/>
                <w:color w:val="auto"/>
              </w:rPr>
            </w:pPr>
          </w:p>
        </w:tc>
        <w:tc>
          <w:tcPr>
            <w:tcW w:w="760" w:type="dxa"/>
            <w:vAlign w:val="bottom"/>
            <w:shd w:val="clear" w:color="auto" w:fill="DD924E"/>
          </w:tcPr>
          <w:p>
            <w:pPr>
              <w:jc w:val="center"/>
              <w:ind w:left="32"/>
              <w:spacing w:after="0" w:line="140" w:lineRule="exact"/>
              <w:rPr>
                <w:sz w:val="20"/>
                <w:szCs w:val="20"/>
                <w:color w:val="auto"/>
              </w:rPr>
            </w:pPr>
            <w:r>
              <w:rPr>
                <w:rFonts w:ascii="Arial" w:cs="Arial" w:eastAsia="Arial" w:hAnsi="Arial"/>
                <w:sz w:val="14"/>
                <w:szCs w:val="14"/>
                <w:b w:val="1"/>
                <w:bCs w:val="1"/>
                <w:color w:val="FFFFFF"/>
                <w:w w:val="96"/>
              </w:rPr>
              <w:t>Stock or</w:t>
            </w:r>
          </w:p>
        </w:tc>
        <w:tc>
          <w:tcPr>
            <w:tcW w:w="120" w:type="dxa"/>
            <w:vAlign w:val="bottom"/>
            <w:shd w:val="clear" w:color="auto" w:fill="DD924E"/>
          </w:tcPr>
          <w:p>
            <w:pPr>
              <w:spacing w:after="0"/>
              <w:rPr>
                <w:sz w:val="12"/>
                <w:szCs w:val="12"/>
                <w:color w:val="auto"/>
              </w:rPr>
            </w:pPr>
          </w:p>
        </w:tc>
        <w:tc>
          <w:tcPr>
            <w:tcW w:w="100" w:type="dxa"/>
            <w:vAlign w:val="bottom"/>
            <w:shd w:val="clear" w:color="auto" w:fill="DD924E"/>
          </w:tcPr>
          <w:p>
            <w:pPr>
              <w:spacing w:after="0"/>
              <w:rPr>
                <w:sz w:val="12"/>
                <w:szCs w:val="12"/>
                <w:color w:val="auto"/>
              </w:rPr>
            </w:pPr>
          </w:p>
        </w:tc>
        <w:tc>
          <w:tcPr>
            <w:tcW w:w="780" w:type="dxa"/>
            <w:vAlign w:val="bottom"/>
            <w:tcBorders>
              <w:right w:val="single" w:sz="8" w:color="DD924E"/>
            </w:tcBorders>
            <w:shd w:val="clear" w:color="auto" w:fill="DD924E"/>
          </w:tcPr>
          <w:p>
            <w:pPr>
              <w:jc w:val="center"/>
              <w:spacing w:after="0" w:line="140" w:lineRule="exact"/>
              <w:rPr>
                <w:sz w:val="20"/>
                <w:szCs w:val="20"/>
                <w:color w:val="auto"/>
              </w:rPr>
            </w:pPr>
            <w:r>
              <w:rPr>
                <w:rFonts w:ascii="Arial" w:cs="Arial" w:eastAsia="Arial" w:hAnsi="Arial"/>
                <w:sz w:val="14"/>
                <w:szCs w:val="14"/>
                <w:b w:val="1"/>
                <w:bCs w:val="1"/>
                <w:color w:val="FFFFFF"/>
                <w:w w:val="97"/>
              </w:rPr>
              <w:t>Option</w:t>
            </w:r>
          </w:p>
        </w:tc>
        <w:tc>
          <w:tcPr>
            <w:tcW w:w="0" w:type="dxa"/>
            <w:vAlign w:val="bottom"/>
          </w:tcPr>
          <w:p>
            <w:pPr>
              <w:spacing w:after="0"/>
              <w:rPr>
                <w:sz w:val="1"/>
                <w:szCs w:val="1"/>
                <w:color w:val="auto"/>
              </w:rPr>
            </w:pPr>
          </w:p>
        </w:tc>
      </w:tr>
      <w:tr>
        <w:trPr>
          <w:trHeight w:val="168"/>
        </w:trPr>
        <w:tc>
          <w:tcPr>
            <w:tcW w:w="60" w:type="dxa"/>
            <w:vAlign w:val="bottom"/>
            <w:tcBorders>
              <w:left w:val="single" w:sz="8" w:color="DD924E"/>
            </w:tcBorders>
            <w:shd w:val="clear" w:color="auto" w:fill="DD924E"/>
          </w:tcPr>
          <w:p>
            <w:pPr>
              <w:spacing w:after="0"/>
              <w:rPr>
                <w:sz w:val="14"/>
                <w:szCs w:val="14"/>
                <w:color w:val="auto"/>
              </w:rPr>
            </w:pPr>
          </w:p>
        </w:tc>
        <w:tc>
          <w:tcPr>
            <w:tcW w:w="1420" w:type="dxa"/>
            <w:vAlign w:val="bottom"/>
            <w:shd w:val="clear" w:color="auto" w:fill="DD924E"/>
          </w:tcPr>
          <w:p>
            <w:pPr>
              <w:spacing w:after="0"/>
              <w:rPr>
                <w:sz w:val="14"/>
                <w:szCs w:val="14"/>
                <w:color w:val="auto"/>
              </w:rPr>
            </w:pPr>
          </w:p>
        </w:tc>
        <w:tc>
          <w:tcPr>
            <w:tcW w:w="40" w:type="dxa"/>
            <w:vAlign w:val="bottom"/>
            <w:shd w:val="clear" w:color="auto" w:fill="DD924E"/>
          </w:tcPr>
          <w:p>
            <w:pPr>
              <w:spacing w:after="0"/>
              <w:rPr>
                <w:sz w:val="14"/>
                <w:szCs w:val="14"/>
                <w:color w:val="auto"/>
              </w:rPr>
            </w:pPr>
          </w:p>
        </w:tc>
        <w:tc>
          <w:tcPr>
            <w:tcW w:w="60" w:type="dxa"/>
            <w:vAlign w:val="bottom"/>
            <w:shd w:val="clear" w:color="auto" w:fill="DD924E"/>
          </w:tcPr>
          <w:p>
            <w:pPr>
              <w:spacing w:after="0"/>
              <w:rPr>
                <w:sz w:val="14"/>
                <w:szCs w:val="14"/>
                <w:color w:val="auto"/>
              </w:rPr>
            </w:pPr>
          </w:p>
        </w:tc>
        <w:tc>
          <w:tcPr>
            <w:tcW w:w="740" w:type="dxa"/>
            <w:vAlign w:val="bottom"/>
            <w:shd w:val="clear" w:color="auto" w:fill="DD924E"/>
          </w:tcPr>
          <w:p>
            <w:pPr>
              <w:spacing w:after="0"/>
              <w:rPr>
                <w:sz w:val="14"/>
                <w:szCs w:val="14"/>
                <w:color w:val="auto"/>
              </w:rPr>
            </w:pPr>
          </w:p>
        </w:tc>
        <w:tc>
          <w:tcPr>
            <w:tcW w:w="100" w:type="dxa"/>
            <w:vAlign w:val="bottom"/>
            <w:shd w:val="clear" w:color="auto" w:fill="DD924E"/>
          </w:tcPr>
          <w:p>
            <w:pPr>
              <w:spacing w:after="0"/>
              <w:rPr>
                <w:sz w:val="14"/>
                <w:szCs w:val="14"/>
                <w:color w:val="auto"/>
              </w:rPr>
            </w:pPr>
          </w:p>
        </w:tc>
        <w:tc>
          <w:tcPr>
            <w:tcW w:w="74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Threshold</w:t>
            </w:r>
          </w:p>
        </w:tc>
        <w:tc>
          <w:tcPr>
            <w:tcW w:w="120" w:type="dxa"/>
            <w:vAlign w:val="bottom"/>
            <w:shd w:val="clear" w:color="auto" w:fill="DD924E"/>
          </w:tcPr>
          <w:p>
            <w:pPr>
              <w:spacing w:after="0"/>
              <w:rPr>
                <w:sz w:val="14"/>
                <w:szCs w:val="14"/>
                <w:color w:val="auto"/>
              </w:rPr>
            </w:pPr>
          </w:p>
        </w:tc>
        <w:tc>
          <w:tcPr>
            <w:tcW w:w="840" w:type="dxa"/>
            <w:vAlign w:val="bottom"/>
            <w:gridSpan w:val="3"/>
            <w:shd w:val="clear" w:color="auto" w:fill="DD924E"/>
          </w:tcPr>
          <w:p>
            <w:pPr>
              <w:ind w:left="100"/>
              <w:spacing w:after="0"/>
              <w:rPr>
                <w:sz w:val="20"/>
                <w:szCs w:val="20"/>
                <w:color w:val="auto"/>
              </w:rPr>
            </w:pPr>
            <w:r>
              <w:rPr>
                <w:rFonts w:ascii="Arial" w:cs="Arial" w:eastAsia="Arial" w:hAnsi="Arial"/>
                <w:sz w:val="14"/>
                <w:szCs w:val="14"/>
                <w:b w:val="1"/>
                <w:bCs w:val="1"/>
                <w:color w:val="FFFFFF"/>
              </w:rPr>
              <w:t>Target</w:t>
            </w:r>
          </w:p>
        </w:tc>
        <w:tc>
          <w:tcPr>
            <w:tcW w:w="760" w:type="dxa"/>
            <w:vAlign w:val="bottom"/>
            <w:shd w:val="clear" w:color="auto" w:fill="DD924E"/>
          </w:tcPr>
          <w:p>
            <w:pPr>
              <w:jc w:val="right"/>
              <w:ind w:right="52"/>
              <w:spacing w:after="0"/>
              <w:rPr>
                <w:sz w:val="20"/>
                <w:szCs w:val="20"/>
                <w:color w:val="auto"/>
              </w:rPr>
            </w:pPr>
            <w:r>
              <w:rPr>
                <w:rFonts w:ascii="Arial" w:cs="Arial" w:eastAsia="Arial" w:hAnsi="Arial"/>
                <w:sz w:val="14"/>
                <w:szCs w:val="14"/>
                <w:b w:val="1"/>
                <w:bCs w:val="1"/>
                <w:color w:val="FFFFFF"/>
                <w:w w:val="95"/>
              </w:rPr>
              <w:t>Maximum</w:t>
            </w:r>
          </w:p>
        </w:tc>
        <w:tc>
          <w:tcPr>
            <w:tcW w:w="100" w:type="dxa"/>
            <w:vAlign w:val="bottom"/>
            <w:shd w:val="clear" w:color="auto" w:fill="DD924E"/>
          </w:tcPr>
          <w:p>
            <w:pPr>
              <w:spacing w:after="0"/>
              <w:rPr>
                <w:sz w:val="14"/>
                <w:szCs w:val="14"/>
                <w:color w:val="auto"/>
              </w:rPr>
            </w:pPr>
          </w:p>
        </w:tc>
        <w:tc>
          <w:tcPr>
            <w:tcW w:w="74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Threshold</w:t>
            </w:r>
          </w:p>
        </w:tc>
        <w:tc>
          <w:tcPr>
            <w:tcW w:w="100" w:type="dxa"/>
            <w:vAlign w:val="bottom"/>
            <w:shd w:val="clear" w:color="auto" w:fill="DD924E"/>
          </w:tcPr>
          <w:p>
            <w:pPr>
              <w:spacing w:after="0"/>
              <w:rPr>
                <w:sz w:val="14"/>
                <w:szCs w:val="14"/>
                <w:color w:val="auto"/>
              </w:rPr>
            </w:pPr>
          </w:p>
        </w:tc>
        <w:tc>
          <w:tcPr>
            <w:tcW w:w="620" w:type="dxa"/>
            <w:vAlign w:val="bottom"/>
            <w:shd w:val="clear" w:color="auto" w:fill="DD924E"/>
          </w:tcPr>
          <w:p>
            <w:pPr>
              <w:jc w:val="center"/>
              <w:ind w:left="92"/>
              <w:spacing w:after="0"/>
              <w:rPr>
                <w:sz w:val="20"/>
                <w:szCs w:val="20"/>
                <w:color w:val="auto"/>
              </w:rPr>
            </w:pPr>
            <w:r>
              <w:rPr>
                <w:rFonts w:ascii="Arial" w:cs="Arial" w:eastAsia="Arial" w:hAnsi="Arial"/>
                <w:sz w:val="14"/>
                <w:szCs w:val="14"/>
                <w:b w:val="1"/>
                <w:bCs w:val="1"/>
                <w:color w:val="FFFFFF"/>
                <w:w w:val="98"/>
              </w:rPr>
              <w:t>Target</w:t>
            </w:r>
          </w:p>
        </w:tc>
        <w:tc>
          <w:tcPr>
            <w:tcW w:w="160" w:type="dxa"/>
            <w:vAlign w:val="bottom"/>
            <w:shd w:val="clear" w:color="auto" w:fill="DD924E"/>
          </w:tcPr>
          <w:p>
            <w:pPr>
              <w:spacing w:after="0"/>
              <w:rPr>
                <w:sz w:val="14"/>
                <w:szCs w:val="14"/>
                <w:color w:val="auto"/>
              </w:rPr>
            </w:pPr>
          </w:p>
        </w:tc>
        <w:tc>
          <w:tcPr>
            <w:tcW w:w="100" w:type="dxa"/>
            <w:vAlign w:val="bottom"/>
            <w:shd w:val="clear" w:color="auto" w:fill="DD924E"/>
          </w:tcPr>
          <w:p>
            <w:pPr>
              <w:spacing w:after="0"/>
              <w:rPr>
                <w:sz w:val="14"/>
                <w:szCs w:val="14"/>
                <w:color w:val="auto"/>
              </w:rPr>
            </w:pPr>
          </w:p>
        </w:tc>
        <w:tc>
          <w:tcPr>
            <w:tcW w:w="820" w:type="dxa"/>
            <w:vAlign w:val="bottom"/>
            <w:gridSpan w:val="2"/>
            <w:shd w:val="clear" w:color="auto" w:fill="DD924E"/>
          </w:tcPr>
          <w:p>
            <w:pPr>
              <w:ind w:left="80"/>
              <w:spacing w:after="0"/>
              <w:rPr>
                <w:sz w:val="20"/>
                <w:szCs w:val="20"/>
                <w:color w:val="auto"/>
              </w:rPr>
            </w:pPr>
            <w:r>
              <w:rPr>
                <w:rFonts w:ascii="Arial" w:cs="Arial" w:eastAsia="Arial" w:hAnsi="Arial"/>
                <w:sz w:val="14"/>
                <w:szCs w:val="14"/>
                <w:b w:val="1"/>
                <w:bCs w:val="1"/>
                <w:color w:val="FFFFFF"/>
              </w:rPr>
              <w:t>Maximum</w:t>
            </w:r>
          </w:p>
        </w:tc>
        <w:tc>
          <w:tcPr>
            <w:tcW w:w="60" w:type="dxa"/>
            <w:vAlign w:val="bottom"/>
            <w:shd w:val="clear" w:color="auto" w:fill="DD924E"/>
          </w:tcPr>
          <w:p>
            <w:pPr>
              <w:spacing w:after="0"/>
              <w:rPr>
                <w:sz w:val="14"/>
                <w:szCs w:val="14"/>
                <w:color w:val="auto"/>
              </w:rPr>
            </w:pPr>
          </w:p>
        </w:tc>
        <w:tc>
          <w:tcPr>
            <w:tcW w:w="760" w:type="dxa"/>
            <w:vAlign w:val="bottom"/>
            <w:shd w:val="clear" w:color="auto" w:fill="DD924E"/>
          </w:tcPr>
          <w:p>
            <w:pPr>
              <w:jc w:val="center"/>
              <w:ind w:left="32"/>
              <w:spacing w:after="0"/>
              <w:rPr>
                <w:sz w:val="20"/>
                <w:szCs w:val="20"/>
                <w:color w:val="auto"/>
              </w:rPr>
            </w:pPr>
            <w:r>
              <w:rPr>
                <w:rFonts w:ascii="Arial" w:cs="Arial" w:eastAsia="Arial" w:hAnsi="Arial"/>
                <w:sz w:val="14"/>
                <w:szCs w:val="14"/>
                <w:b w:val="1"/>
                <w:bCs w:val="1"/>
                <w:color w:val="FFFFFF"/>
                <w:w w:val="97"/>
              </w:rPr>
              <w:t>Units</w:t>
            </w:r>
          </w:p>
        </w:tc>
        <w:tc>
          <w:tcPr>
            <w:tcW w:w="120" w:type="dxa"/>
            <w:vAlign w:val="bottom"/>
            <w:shd w:val="clear" w:color="auto" w:fill="DD924E"/>
          </w:tcPr>
          <w:p>
            <w:pPr>
              <w:spacing w:after="0"/>
              <w:rPr>
                <w:sz w:val="14"/>
                <w:szCs w:val="14"/>
                <w:color w:val="auto"/>
              </w:rPr>
            </w:pPr>
          </w:p>
        </w:tc>
        <w:tc>
          <w:tcPr>
            <w:tcW w:w="100" w:type="dxa"/>
            <w:vAlign w:val="bottom"/>
            <w:shd w:val="clear" w:color="auto" w:fill="DD924E"/>
          </w:tcPr>
          <w:p>
            <w:pPr>
              <w:spacing w:after="0"/>
              <w:rPr>
                <w:sz w:val="14"/>
                <w:szCs w:val="14"/>
                <w:color w:val="auto"/>
              </w:rPr>
            </w:pPr>
          </w:p>
        </w:tc>
        <w:tc>
          <w:tcPr>
            <w:tcW w:w="780" w:type="dxa"/>
            <w:vAlign w:val="bottom"/>
            <w:tcBorders>
              <w:right w:val="single" w:sz="8" w:color="DD924E"/>
            </w:tcBorders>
            <w:shd w:val="clear" w:color="auto" w:fill="DD924E"/>
          </w:tcPr>
          <w:p>
            <w:pPr>
              <w:jc w:val="center"/>
              <w:ind w:right="12"/>
              <w:spacing w:after="0" w:line="168" w:lineRule="exact"/>
              <w:rPr>
                <w:sz w:val="20"/>
                <w:szCs w:val="20"/>
                <w:color w:val="auto"/>
              </w:rPr>
            </w:pPr>
            <w:r>
              <w:rPr>
                <w:rFonts w:ascii="Arial" w:cs="Arial" w:eastAsia="Arial" w:hAnsi="Arial"/>
                <w:sz w:val="13"/>
                <w:szCs w:val="13"/>
                <w:b w:val="1"/>
                <w:bCs w:val="1"/>
                <w:color w:val="FFFFFF"/>
                <w:w w:val="99"/>
              </w:rPr>
              <w:t>Awards</w:t>
            </w:r>
            <w:r>
              <w:rPr>
                <w:rFonts w:ascii="Arial" w:cs="Arial" w:eastAsia="Arial" w:hAnsi="Arial"/>
                <w:sz w:val="19"/>
                <w:szCs w:val="19"/>
                <w:b w:val="1"/>
                <w:bCs w:val="1"/>
                <w:color w:val="FFFFFF"/>
                <w:w w:val="99"/>
                <w:vertAlign w:val="superscript"/>
              </w:rPr>
              <w:t>(5)</w:t>
            </w:r>
          </w:p>
        </w:tc>
        <w:tc>
          <w:tcPr>
            <w:tcW w:w="0" w:type="dxa"/>
            <w:vAlign w:val="bottom"/>
          </w:tcPr>
          <w:p>
            <w:pPr>
              <w:spacing w:after="0"/>
              <w:rPr>
                <w:sz w:val="1"/>
                <w:szCs w:val="1"/>
                <w:color w:val="auto"/>
              </w:rPr>
            </w:pPr>
          </w:p>
        </w:tc>
      </w:tr>
      <w:tr>
        <w:trPr>
          <w:trHeight w:val="184"/>
        </w:trPr>
        <w:tc>
          <w:tcPr>
            <w:tcW w:w="60" w:type="dxa"/>
            <w:vAlign w:val="bottom"/>
            <w:tcBorders>
              <w:left w:val="single" w:sz="8" w:color="DD924E"/>
              <w:bottom w:val="single" w:sz="8" w:color="DD924E"/>
            </w:tcBorders>
            <w:shd w:val="clear" w:color="auto" w:fill="DD924E"/>
          </w:tcPr>
          <w:p>
            <w:pPr>
              <w:spacing w:after="0"/>
              <w:rPr>
                <w:sz w:val="15"/>
                <w:szCs w:val="15"/>
                <w:color w:val="auto"/>
              </w:rPr>
            </w:pPr>
          </w:p>
        </w:tc>
        <w:tc>
          <w:tcPr>
            <w:tcW w:w="1420" w:type="dxa"/>
            <w:vAlign w:val="bottom"/>
            <w:tcBorders>
              <w:bottom w:val="single" w:sz="8" w:color="auto"/>
            </w:tcBorders>
            <w:shd w:val="clear" w:color="auto" w:fill="DD924E"/>
          </w:tcPr>
          <w:p>
            <w:pPr>
              <w:ind w:left="520"/>
              <w:spacing w:after="0"/>
              <w:rPr>
                <w:sz w:val="20"/>
                <w:szCs w:val="20"/>
                <w:color w:val="auto"/>
              </w:rPr>
            </w:pPr>
            <w:r>
              <w:rPr>
                <w:rFonts w:ascii="Arial" w:cs="Arial" w:eastAsia="Arial" w:hAnsi="Arial"/>
                <w:sz w:val="14"/>
                <w:szCs w:val="14"/>
                <w:b w:val="1"/>
                <w:bCs w:val="1"/>
                <w:color w:val="FFFFFF"/>
              </w:rPr>
              <w:t>Name</w:t>
            </w:r>
          </w:p>
        </w:tc>
        <w:tc>
          <w:tcPr>
            <w:tcW w:w="40" w:type="dxa"/>
            <w:vAlign w:val="bottom"/>
            <w:tcBorders>
              <w:bottom w:val="single" w:sz="8" w:color="DD924E"/>
            </w:tcBorders>
            <w:shd w:val="clear" w:color="auto" w:fill="DD924E"/>
          </w:tcPr>
          <w:p>
            <w:pPr>
              <w:spacing w:after="0"/>
              <w:rPr>
                <w:sz w:val="15"/>
                <w:szCs w:val="15"/>
                <w:color w:val="auto"/>
              </w:rPr>
            </w:pPr>
          </w:p>
        </w:tc>
        <w:tc>
          <w:tcPr>
            <w:tcW w:w="60" w:type="dxa"/>
            <w:vAlign w:val="bottom"/>
            <w:tcBorders>
              <w:bottom w:val="single" w:sz="8" w:color="DD924E"/>
            </w:tcBorders>
            <w:shd w:val="clear" w:color="auto" w:fill="DD924E"/>
          </w:tcPr>
          <w:p>
            <w:pPr>
              <w:spacing w:after="0"/>
              <w:rPr>
                <w:sz w:val="15"/>
                <w:szCs w:val="15"/>
                <w:color w:val="auto"/>
              </w:rPr>
            </w:pPr>
          </w:p>
        </w:tc>
        <w:tc>
          <w:tcPr>
            <w:tcW w:w="740" w:type="dxa"/>
            <w:vAlign w:val="bottom"/>
            <w:tcBorders>
              <w:bottom w:val="single" w:sz="8" w:color="auto"/>
            </w:tcBorders>
            <w:shd w:val="clear" w:color="auto" w:fill="DD924E"/>
          </w:tcPr>
          <w:p>
            <w:pPr>
              <w:jc w:val="right"/>
              <w:spacing w:after="0"/>
              <w:rPr>
                <w:sz w:val="20"/>
                <w:szCs w:val="20"/>
                <w:color w:val="auto"/>
              </w:rPr>
            </w:pPr>
            <w:r>
              <w:rPr>
                <w:rFonts w:ascii="Arial" w:cs="Arial" w:eastAsia="Arial" w:hAnsi="Arial"/>
                <w:sz w:val="14"/>
                <w:szCs w:val="14"/>
                <w:b w:val="1"/>
                <w:bCs w:val="1"/>
                <w:color w:val="FFFFFF"/>
                <w:w w:val="97"/>
              </w:rPr>
              <w:t>Grant Date</w:t>
            </w:r>
          </w:p>
        </w:tc>
        <w:tc>
          <w:tcPr>
            <w:tcW w:w="100" w:type="dxa"/>
            <w:vAlign w:val="bottom"/>
            <w:tcBorders>
              <w:bottom w:val="single" w:sz="8" w:color="DD924E"/>
            </w:tcBorders>
            <w:shd w:val="clear" w:color="auto" w:fill="DD924E"/>
          </w:tcPr>
          <w:p>
            <w:pPr>
              <w:spacing w:after="0"/>
              <w:rPr>
                <w:sz w:val="15"/>
                <w:szCs w:val="15"/>
                <w:color w:val="auto"/>
              </w:rPr>
            </w:pPr>
          </w:p>
        </w:tc>
        <w:tc>
          <w:tcPr>
            <w:tcW w:w="740" w:type="dxa"/>
            <w:vAlign w:val="bottom"/>
            <w:tcBorders>
              <w:bottom w:val="single" w:sz="8" w:color="auto"/>
            </w:tcBorders>
            <w:shd w:val="clear" w:color="auto" w:fill="DD924E"/>
          </w:tcPr>
          <w:p>
            <w:pPr>
              <w:jc w:val="right"/>
              <w:ind w:right="212"/>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D924E"/>
            </w:tcBorders>
            <w:shd w:val="clear" w:color="auto" w:fill="DD924E"/>
          </w:tcPr>
          <w:p>
            <w:pPr>
              <w:spacing w:after="0"/>
              <w:rPr>
                <w:sz w:val="15"/>
                <w:szCs w:val="15"/>
                <w:color w:val="auto"/>
              </w:rPr>
            </w:pPr>
          </w:p>
        </w:tc>
        <w:tc>
          <w:tcPr>
            <w:tcW w:w="640" w:type="dxa"/>
            <w:vAlign w:val="bottom"/>
            <w:tcBorders>
              <w:bottom w:val="single" w:sz="8" w:color="auto"/>
            </w:tcBorders>
            <w:shd w:val="clear" w:color="auto" w:fill="DD924E"/>
          </w:tcPr>
          <w:p>
            <w:pPr>
              <w:jc w:val="right"/>
              <w:ind w:right="172"/>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D924E"/>
            </w:tcBorders>
            <w:shd w:val="clear" w:color="auto" w:fill="DD924E"/>
          </w:tcPr>
          <w:p>
            <w:pPr>
              <w:spacing w:after="0"/>
              <w:rPr>
                <w:sz w:val="15"/>
                <w:szCs w:val="15"/>
                <w:color w:val="auto"/>
              </w:rPr>
            </w:pPr>
          </w:p>
        </w:tc>
        <w:tc>
          <w:tcPr>
            <w:tcW w:w="100" w:type="dxa"/>
            <w:vAlign w:val="bottom"/>
            <w:tcBorders>
              <w:bottom w:val="single" w:sz="8" w:color="auto"/>
            </w:tcBorders>
            <w:shd w:val="clear" w:color="auto" w:fill="DD924E"/>
          </w:tcPr>
          <w:p>
            <w:pPr>
              <w:spacing w:after="0"/>
              <w:rPr>
                <w:sz w:val="15"/>
                <w:szCs w:val="15"/>
                <w:color w:val="auto"/>
              </w:rPr>
            </w:pPr>
          </w:p>
        </w:tc>
        <w:tc>
          <w:tcPr>
            <w:tcW w:w="760" w:type="dxa"/>
            <w:vAlign w:val="bottom"/>
            <w:tcBorders>
              <w:bottom w:val="single" w:sz="8" w:color="auto"/>
            </w:tcBorders>
            <w:shd w:val="clear" w:color="auto" w:fill="DD924E"/>
          </w:tcPr>
          <w:p>
            <w:pPr>
              <w:jc w:val="right"/>
              <w:ind w:right="292"/>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D924E"/>
            </w:tcBorders>
            <w:shd w:val="clear" w:color="auto" w:fill="DD924E"/>
          </w:tcPr>
          <w:p>
            <w:pPr>
              <w:spacing w:after="0"/>
              <w:rPr>
                <w:sz w:val="15"/>
                <w:szCs w:val="15"/>
                <w:color w:val="auto"/>
              </w:rPr>
            </w:pPr>
          </w:p>
        </w:tc>
        <w:tc>
          <w:tcPr>
            <w:tcW w:w="740" w:type="dxa"/>
            <w:vAlign w:val="bottom"/>
            <w:tcBorders>
              <w:bottom w:val="single" w:sz="8" w:color="auto"/>
            </w:tcBorders>
            <w:shd w:val="clear" w:color="auto" w:fill="DD924E"/>
          </w:tcPr>
          <w:p>
            <w:pPr>
              <w:jc w:val="right"/>
              <w:ind w:right="232"/>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D924E"/>
            </w:tcBorders>
            <w:shd w:val="clear" w:color="auto" w:fill="DD924E"/>
          </w:tcPr>
          <w:p>
            <w:pPr>
              <w:spacing w:after="0"/>
              <w:rPr>
                <w:sz w:val="15"/>
                <w:szCs w:val="15"/>
                <w:color w:val="auto"/>
              </w:rPr>
            </w:pPr>
          </w:p>
        </w:tc>
        <w:tc>
          <w:tcPr>
            <w:tcW w:w="620" w:type="dxa"/>
            <w:vAlign w:val="bottom"/>
            <w:tcBorders>
              <w:bottom w:val="single" w:sz="8" w:color="auto"/>
            </w:tcBorders>
            <w:shd w:val="clear" w:color="auto" w:fill="DD924E"/>
          </w:tcPr>
          <w:p>
            <w:pPr>
              <w:jc w:val="center"/>
              <w:ind w:left="92"/>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auto"/>
            </w:tcBorders>
            <w:shd w:val="clear" w:color="auto" w:fill="DD924E"/>
          </w:tcPr>
          <w:p>
            <w:pPr>
              <w:spacing w:after="0"/>
              <w:rPr>
                <w:sz w:val="15"/>
                <w:szCs w:val="15"/>
                <w:color w:val="auto"/>
              </w:rPr>
            </w:pPr>
          </w:p>
        </w:tc>
        <w:tc>
          <w:tcPr>
            <w:tcW w:w="100" w:type="dxa"/>
            <w:vAlign w:val="bottom"/>
            <w:tcBorders>
              <w:bottom w:val="single" w:sz="8" w:color="DD924E"/>
            </w:tcBorders>
            <w:shd w:val="clear" w:color="auto" w:fill="DD924E"/>
          </w:tcPr>
          <w:p>
            <w:pPr>
              <w:spacing w:after="0"/>
              <w:rPr>
                <w:sz w:val="15"/>
                <w:szCs w:val="15"/>
                <w:color w:val="auto"/>
              </w:rPr>
            </w:pPr>
          </w:p>
        </w:tc>
        <w:tc>
          <w:tcPr>
            <w:tcW w:w="780" w:type="dxa"/>
            <w:vAlign w:val="bottom"/>
            <w:tcBorders>
              <w:bottom w:val="single" w:sz="8" w:color="auto"/>
            </w:tcBorders>
            <w:shd w:val="clear" w:color="auto" w:fill="DD924E"/>
          </w:tcPr>
          <w:p>
            <w:pPr>
              <w:jc w:val="right"/>
              <w:ind w:right="252"/>
              <w:spacing w:after="0"/>
              <w:rPr>
                <w:sz w:val="20"/>
                <w:szCs w:val="20"/>
                <w:color w:val="auto"/>
              </w:rPr>
            </w:pPr>
            <w:r>
              <w:rPr>
                <w:rFonts w:ascii="Arial" w:cs="Arial" w:eastAsia="Arial" w:hAnsi="Arial"/>
                <w:sz w:val="14"/>
                <w:szCs w:val="14"/>
                <w:b w:val="1"/>
                <w:bCs w:val="1"/>
                <w:color w:val="FFFFFF"/>
              </w:rPr>
              <w:t>(#)</w:t>
            </w:r>
          </w:p>
        </w:tc>
        <w:tc>
          <w:tcPr>
            <w:tcW w:w="40" w:type="dxa"/>
            <w:vAlign w:val="bottom"/>
            <w:tcBorders>
              <w:bottom w:val="single" w:sz="8" w:color="DD924E"/>
            </w:tcBorders>
            <w:shd w:val="clear" w:color="auto" w:fill="DD924E"/>
          </w:tcPr>
          <w:p>
            <w:pPr>
              <w:spacing w:after="0"/>
              <w:rPr>
                <w:sz w:val="15"/>
                <w:szCs w:val="15"/>
                <w:color w:val="auto"/>
              </w:rPr>
            </w:pPr>
          </w:p>
        </w:tc>
        <w:tc>
          <w:tcPr>
            <w:tcW w:w="60" w:type="dxa"/>
            <w:vAlign w:val="bottom"/>
            <w:tcBorders>
              <w:bottom w:val="single" w:sz="8" w:color="DD924E"/>
            </w:tcBorders>
            <w:shd w:val="clear" w:color="auto" w:fill="DD924E"/>
          </w:tcPr>
          <w:p>
            <w:pPr>
              <w:spacing w:after="0"/>
              <w:rPr>
                <w:sz w:val="15"/>
                <w:szCs w:val="15"/>
                <w:color w:val="auto"/>
              </w:rPr>
            </w:pPr>
          </w:p>
        </w:tc>
        <w:tc>
          <w:tcPr>
            <w:tcW w:w="760" w:type="dxa"/>
            <w:vAlign w:val="bottom"/>
            <w:tcBorders>
              <w:bottom w:val="single" w:sz="8" w:color="auto"/>
            </w:tcBorders>
            <w:shd w:val="clear" w:color="auto" w:fill="DD924E"/>
          </w:tcPr>
          <w:p>
            <w:pPr>
              <w:jc w:val="center"/>
              <w:ind w:left="52"/>
              <w:spacing w:after="0"/>
              <w:rPr>
                <w:sz w:val="20"/>
                <w:szCs w:val="20"/>
                <w:color w:val="auto"/>
              </w:rPr>
            </w:pPr>
            <w:r>
              <w:rPr>
                <w:rFonts w:ascii="Arial" w:cs="Arial" w:eastAsia="Arial" w:hAnsi="Arial"/>
                <w:sz w:val="14"/>
                <w:szCs w:val="14"/>
                <w:b w:val="1"/>
                <w:bCs w:val="1"/>
                <w:color w:val="FFFFFF"/>
                <w:w w:val="93"/>
              </w:rPr>
              <w:t>(#)</w:t>
            </w:r>
          </w:p>
        </w:tc>
        <w:tc>
          <w:tcPr>
            <w:tcW w:w="120" w:type="dxa"/>
            <w:vAlign w:val="bottom"/>
            <w:tcBorders>
              <w:bottom w:val="single" w:sz="8" w:color="auto"/>
            </w:tcBorders>
            <w:shd w:val="clear" w:color="auto" w:fill="DD924E"/>
          </w:tcPr>
          <w:p>
            <w:pPr>
              <w:spacing w:after="0"/>
              <w:rPr>
                <w:sz w:val="15"/>
                <w:szCs w:val="15"/>
                <w:color w:val="auto"/>
              </w:rPr>
            </w:pPr>
          </w:p>
        </w:tc>
        <w:tc>
          <w:tcPr>
            <w:tcW w:w="100" w:type="dxa"/>
            <w:vAlign w:val="bottom"/>
            <w:tcBorders>
              <w:bottom w:val="single" w:sz="8" w:color="DD924E"/>
            </w:tcBorders>
            <w:shd w:val="clear" w:color="auto" w:fill="DD924E"/>
          </w:tcPr>
          <w:p>
            <w:pPr>
              <w:spacing w:after="0"/>
              <w:rPr>
                <w:sz w:val="15"/>
                <w:szCs w:val="15"/>
                <w:color w:val="auto"/>
              </w:rPr>
            </w:pPr>
          </w:p>
        </w:tc>
        <w:tc>
          <w:tcPr>
            <w:tcW w:w="780" w:type="dxa"/>
            <w:vAlign w:val="bottom"/>
            <w:tcBorders>
              <w:bottom w:val="single" w:sz="8" w:color="auto"/>
              <w:right w:val="single" w:sz="8" w:color="DD924E"/>
            </w:tcBorders>
            <w:shd w:val="clear" w:color="auto" w:fill="DD924E"/>
          </w:tcPr>
          <w:p>
            <w:pPr>
              <w:jc w:val="center"/>
              <w:ind w:right="12"/>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94"/>
        </w:trPr>
        <w:tc>
          <w:tcPr>
            <w:tcW w:w="1520" w:type="dxa"/>
            <w:vAlign w:val="bottom"/>
            <w:tcBorders>
              <w:left w:val="single" w:sz="8" w:color="DD924E"/>
            </w:tcBorders>
            <w:gridSpan w:val="3"/>
          </w:tcPr>
          <w:p>
            <w:pPr>
              <w:ind w:left="60"/>
              <w:spacing w:after="0"/>
              <w:rPr>
                <w:sz w:val="20"/>
                <w:szCs w:val="20"/>
                <w:color w:val="auto"/>
              </w:rPr>
            </w:pPr>
            <w:r>
              <w:rPr>
                <w:rFonts w:ascii="Arial" w:cs="Arial" w:eastAsia="Arial" w:hAnsi="Arial"/>
                <w:sz w:val="14"/>
                <w:szCs w:val="14"/>
                <w:b w:val="1"/>
                <w:bCs w:val="1"/>
                <w:color w:val="auto"/>
              </w:rPr>
              <w:t>Rohit Kapoor</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620,000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1,240,000</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right w:val="single" w:sz="8" w:color="DD924E"/>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15,945</w:t>
            </w:r>
          </w:p>
        </w:tc>
        <w:tc>
          <w:tcPr>
            <w:tcW w:w="1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31,890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4"/>
                <w:szCs w:val="14"/>
                <w:color w:val="auto"/>
              </w:rPr>
              <w:t>761,055</w:t>
            </w: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15,944</w:t>
            </w:r>
          </w:p>
        </w:tc>
        <w:tc>
          <w:tcPr>
            <w:tcW w:w="16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31,888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4"/>
                <w:szCs w:val="14"/>
                <w:color w:val="auto"/>
              </w:rPr>
              <w:t>862,570</w:t>
            </w: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4"/>
                <w:szCs w:val="14"/>
                <w:color w:val="auto"/>
              </w:rPr>
              <w:t>31,889</w:t>
            </w:r>
          </w:p>
        </w:tc>
        <w:tc>
          <w:tcPr>
            <w:tcW w:w="120" w:type="dxa"/>
            <w:vAlign w:val="bottom"/>
          </w:tcPr>
          <w:p>
            <w:pPr>
              <w:jc w:val="right"/>
              <w:spacing w:after="0"/>
              <w:rPr>
                <w:sz w:val="20"/>
                <w:szCs w:val="20"/>
                <w:color w:val="auto"/>
              </w:rPr>
            </w:pPr>
            <w:r>
              <w:rPr>
                <w:rFonts w:ascii="Arial" w:cs="Arial" w:eastAsia="Arial" w:hAnsi="Arial"/>
                <w:sz w:val="10"/>
                <w:szCs w:val="10"/>
                <w:color w:val="auto"/>
                <w:w w:val="81"/>
              </w:rPr>
              <w:t>(4)</w:t>
            </w:r>
          </w:p>
        </w:tc>
        <w:tc>
          <w:tcPr>
            <w:tcW w:w="88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4"/>
                <w:szCs w:val="14"/>
                <w:color w:val="auto"/>
              </w:rPr>
              <w:t>1,522,062</w:t>
            </w:r>
          </w:p>
        </w:tc>
        <w:tc>
          <w:tcPr>
            <w:tcW w:w="0" w:type="dxa"/>
            <w:vAlign w:val="bottom"/>
          </w:tcPr>
          <w:p>
            <w:pPr>
              <w:spacing w:after="0"/>
              <w:rPr>
                <w:sz w:val="1"/>
                <w:szCs w:val="1"/>
                <w:color w:val="auto"/>
              </w:rPr>
            </w:pPr>
          </w:p>
        </w:tc>
      </w:tr>
      <w:tr>
        <w:trPr>
          <w:trHeight w:val="24"/>
        </w:trPr>
        <w:tc>
          <w:tcPr>
            <w:tcW w:w="1520" w:type="dxa"/>
            <w:vAlign w:val="bottom"/>
            <w:tcBorders>
              <w:left w:val="single" w:sz="8" w:color="DD924E"/>
            </w:tcBorders>
            <w:gridSpan w:val="3"/>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right w:val="single" w:sz="8" w:color="DD924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520" w:type="dxa"/>
            <w:vAlign w:val="bottom"/>
            <w:tcBorders>
              <w:left w:val="single" w:sz="8" w:color="DD924E"/>
            </w:tcBorders>
            <w:gridSpan w:val="3"/>
            <w:shd w:val="clear" w:color="auto" w:fill="FBF4ED"/>
          </w:tcPr>
          <w:p>
            <w:pPr>
              <w:ind w:left="60"/>
              <w:spacing w:after="0"/>
              <w:rPr>
                <w:sz w:val="20"/>
                <w:szCs w:val="20"/>
                <w:color w:val="auto"/>
              </w:rPr>
            </w:pPr>
            <w:r>
              <w:rPr>
                <w:rFonts w:ascii="Arial" w:cs="Arial" w:eastAsia="Arial" w:hAnsi="Arial"/>
                <w:sz w:val="14"/>
                <w:szCs w:val="14"/>
                <w:b w:val="1"/>
                <w:bCs w:val="1"/>
                <w:color w:val="auto"/>
              </w:rPr>
              <w:t>Vishal Chhibbar</w:t>
            </w:r>
          </w:p>
        </w:tc>
        <w:tc>
          <w:tcPr>
            <w:tcW w:w="6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7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240,000</w:t>
            </w:r>
          </w:p>
        </w:tc>
        <w:tc>
          <w:tcPr>
            <w:tcW w:w="10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60" w:type="dxa"/>
            <w:vAlign w:val="bottom"/>
            <w:shd w:val="clear" w:color="auto" w:fill="FBF4ED"/>
          </w:tcPr>
          <w:p>
            <w:pPr>
              <w:jc w:val="right"/>
              <w:spacing w:after="0"/>
              <w:rPr>
                <w:sz w:val="20"/>
                <w:szCs w:val="20"/>
                <w:color w:val="auto"/>
              </w:rPr>
            </w:pPr>
            <w:r>
              <w:rPr>
                <w:rFonts w:ascii="Arial" w:cs="Arial" w:eastAsia="Arial" w:hAnsi="Arial"/>
                <w:sz w:val="14"/>
                <w:szCs w:val="14"/>
                <w:color w:val="auto"/>
              </w:rPr>
              <w:t>480,000</w:t>
            </w:r>
          </w:p>
        </w:tc>
        <w:tc>
          <w:tcPr>
            <w:tcW w:w="10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620" w:type="dxa"/>
            <w:vAlign w:val="bottom"/>
            <w:shd w:val="clear" w:color="auto" w:fill="FBF4ED"/>
          </w:tcPr>
          <w:p>
            <w:pPr>
              <w:spacing w:after="0"/>
              <w:rPr>
                <w:sz w:val="16"/>
                <w:szCs w:val="16"/>
                <w:color w:val="auto"/>
              </w:rPr>
            </w:pPr>
          </w:p>
        </w:tc>
        <w:tc>
          <w:tcPr>
            <w:tcW w:w="1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8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760" w:type="dxa"/>
            <w:vAlign w:val="bottom"/>
            <w:shd w:val="clear" w:color="auto" w:fill="FBF4ED"/>
          </w:tcPr>
          <w:p>
            <w:pPr>
              <w:spacing w:after="0"/>
              <w:rPr>
                <w:sz w:val="16"/>
                <w:szCs w:val="16"/>
                <w:color w:val="auto"/>
              </w:rPr>
            </w:pPr>
          </w:p>
        </w:tc>
        <w:tc>
          <w:tcPr>
            <w:tcW w:w="12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80" w:type="dxa"/>
            <w:vAlign w:val="bottom"/>
            <w:tcBorders>
              <w:right w:val="single" w:sz="8" w:color="DD924E"/>
            </w:tcBorders>
            <w:shd w:val="clear" w:color="auto" w:fill="FBF4ED"/>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shd w:val="clear" w:color="auto" w:fill="FBF4ED"/>
          </w:tcPr>
          <w:p>
            <w:pPr>
              <w:spacing w:after="0"/>
              <w:rPr>
                <w:sz w:val="17"/>
                <w:szCs w:val="17"/>
                <w:color w:val="auto"/>
              </w:rPr>
            </w:pPr>
          </w:p>
        </w:tc>
        <w:tc>
          <w:tcPr>
            <w:tcW w:w="142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80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120" w:type="dxa"/>
            <w:vAlign w:val="bottom"/>
            <w:shd w:val="clear" w:color="auto" w:fill="FBF4ED"/>
          </w:tcPr>
          <w:p>
            <w:pPr>
              <w:spacing w:after="0"/>
              <w:rPr>
                <w:sz w:val="17"/>
                <w:szCs w:val="17"/>
                <w:color w:val="auto"/>
              </w:rPr>
            </w:pPr>
          </w:p>
        </w:tc>
        <w:tc>
          <w:tcPr>
            <w:tcW w:w="64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7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72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3,638</w:t>
            </w:r>
          </w:p>
        </w:tc>
        <w:tc>
          <w:tcPr>
            <w:tcW w:w="160" w:type="dxa"/>
            <w:vAlign w:val="bottom"/>
            <w:shd w:val="clear" w:color="auto" w:fill="FBF4ED"/>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FBF4ED"/>
          </w:tcPr>
          <w:p>
            <w:pPr>
              <w:spacing w:after="0"/>
              <w:rPr>
                <w:sz w:val="17"/>
                <w:szCs w:val="17"/>
                <w:color w:val="auto"/>
              </w:rPr>
            </w:pPr>
          </w:p>
        </w:tc>
        <w:tc>
          <w:tcPr>
            <w:tcW w:w="7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7,276</w:t>
            </w:r>
          </w:p>
        </w:tc>
        <w:tc>
          <w:tcPr>
            <w:tcW w:w="40" w:type="dxa"/>
            <w:vAlign w:val="bottom"/>
            <w:shd w:val="clear" w:color="auto" w:fill="FBF4ED"/>
          </w:tcPr>
          <w:p>
            <w:pPr>
              <w:spacing w:after="0"/>
              <w:rPr>
                <w:sz w:val="17"/>
                <w:szCs w:val="17"/>
                <w:color w:val="auto"/>
              </w:rPr>
            </w:pPr>
          </w:p>
        </w:tc>
        <w:tc>
          <w:tcPr>
            <w:tcW w:w="60" w:type="dxa"/>
            <w:vAlign w:val="bottom"/>
            <w:shd w:val="clear" w:color="auto" w:fill="FBF4ED"/>
          </w:tcPr>
          <w:p>
            <w:pPr>
              <w:spacing w:after="0"/>
              <w:rPr>
                <w:sz w:val="17"/>
                <w:szCs w:val="17"/>
                <w:color w:val="auto"/>
              </w:rPr>
            </w:pPr>
          </w:p>
        </w:tc>
        <w:tc>
          <w:tcPr>
            <w:tcW w:w="760" w:type="dxa"/>
            <w:vAlign w:val="bottom"/>
            <w:shd w:val="clear" w:color="auto" w:fill="FBF4ED"/>
          </w:tcPr>
          <w:p>
            <w:pPr>
              <w:spacing w:after="0"/>
              <w:rPr>
                <w:sz w:val="17"/>
                <w:szCs w:val="17"/>
                <w:color w:val="auto"/>
              </w:rPr>
            </w:pPr>
          </w:p>
        </w:tc>
        <w:tc>
          <w:tcPr>
            <w:tcW w:w="120" w:type="dxa"/>
            <w:vAlign w:val="bottom"/>
            <w:shd w:val="clear" w:color="auto" w:fill="FBF4ED"/>
          </w:tcPr>
          <w:p>
            <w:pPr>
              <w:spacing w:after="0"/>
              <w:rPr>
                <w:sz w:val="17"/>
                <w:szCs w:val="17"/>
                <w:color w:val="auto"/>
              </w:rPr>
            </w:pPr>
          </w:p>
        </w:tc>
        <w:tc>
          <w:tcPr>
            <w:tcW w:w="880" w:type="dxa"/>
            <w:vAlign w:val="bottom"/>
            <w:tcBorders>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4"/>
                <w:szCs w:val="14"/>
                <w:color w:val="auto"/>
              </w:rPr>
              <w:t>173,642</w:t>
            </w: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shd w:val="clear" w:color="auto" w:fill="FBF4ED"/>
          </w:tcPr>
          <w:p>
            <w:pPr>
              <w:spacing w:after="0"/>
              <w:rPr>
                <w:sz w:val="17"/>
                <w:szCs w:val="17"/>
                <w:color w:val="auto"/>
              </w:rPr>
            </w:pPr>
          </w:p>
        </w:tc>
        <w:tc>
          <w:tcPr>
            <w:tcW w:w="142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80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120" w:type="dxa"/>
            <w:vAlign w:val="bottom"/>
            <w:shd w:val="clear" w:color="auto" w:fill="FBF4ED"/>
          </w:tcPr>
          <w:p>
            <w:pPr>
              <w:spacing w:after="0"/>
              <w:rPr>
                <w:sz w:val="17"/>
                <w:szCs w:val="17"/>
                <w:color w:val="auto"/>
              </w:rPr>
            </w:pPr>
          </w:p>
        </w:tc>
        <w:tc>
          <w:tcPr>
            <w:tcW w:w="64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7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72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3,637</w:t>
            </w:r>
          </w:p>
        </w:tc>
        <w:tc>
          <w:tcPr>
            <w:tcW w:w="160" w:type="dxa"/>
            <w:vAlign w:val="bottom"/>
            <w:shd w:val="clear" w:color="auto" w:fill="FBF4ED"/>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FBF4ED"/>
          </w:tcPr>
          <w:p>
            <w:pPr>
              <w:spacing w:after="0"/>
              <w:rPr>
                <w:sz w:val="17"/>
                <w:szCs w:val="17"/>
                <w:color w:val="auto"/>
              </w:rPr>
            </w:pPr>
          </w:p>
        </w:tc>
        <w:tc>
          <w:tcPr>
            <w:tcW w:w="7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7,274</w:t>
            </w:r>
          </w:p>
        </w:tc>
        <w:tc>
          <w:tcPr>
            <w:tcW w:w="40" w:type="dxa"/>
            <w:vAlign w:val="bottom"/>
            <w:shd w:val="clear" w:color="auto" w:fill="FBF4ED"/>
          </w:tcPr>
          <w:p>
            <w:pPr>
              <w:spacing w:after="0"/>
              <w:rPr>
                <w:sz w:val="17"/>
                <w:szCs w:val="17"/>
                <w:color w:val="auto"/>
              </w:rPr>
            </w:pPr>
          </w:p>
        </w:tc>
        <w:tc>
          <w:tcPr>
            <w:tcW w:w="60" w:type="dxa"/>
            <w:vAlign w:val="bottom"/>
            <w:shd w:val="clear" w:color="auto" w:fill="FBF4ED"/>
          </w:tcPr>
          <w:p>
            <w:pPr>
              <w:spacing w:after="0"/>
              <w:rPr>
                <w:sz w:val="17"/>
                <w:szCs w:val="17"/>
                <w:color w:val="auto"/>
              </w:rPr>
            </w:pPr>
          </w:p>
        </w:tc>
        <w:tc>
          <w:tcPr>
            <w:tcW w:w="760" w:type="dxa"/>
            <w:vAlign w:val="bottom"/>
            <w:shd w:val="clear" w:color="auto" w:fill="FBF4ED"/>
          </w:tcPr>
          <w:p>
            <w:pPr>
              <w:spacing w:after="0"/>
              <w:rPr>
                <w:sz w:val="17"/>
                <w:szCs w:val="17"/>
                <w:color w:val="auto"/>
              </w:rPr>
            </w:pPr>
          </w:p>
        </w:tc>
        <w:tc>
          <w:tcPr>
            <w:tcW w:w="120" w:type="dxa"/>
            <w:vAlign w:val="bottom"/>
            <w:shd w:val="clear" w:color="auto" w:fill="FBF4ED"/>
          </w:tcPr>
          <w:p>
            <w:pPr>
              <w:spacing w:after="0"/>
              <w:rPr>
                <w:sz w:val="17"/>
                <w:szCs w:val="17"/>
                <w:color w:val="auto"/>
              </w:rPr>
            </w:pPr>
          </w:p>
        </w:tc>
        <w:tc>
          <w:tcPr>
            <w:tcW w:w="880" w:type="dxa"/>
            <w:vAlign w:val="bottom"/>
            <w:tcBorders>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4"/>
                <w:szCs w:val="14"/>
                <w:color w:val="auto"/>
              </w:rPr>
              <w:t>196,762</w:t>
            </w:r>
          </w:p>
        </w:tc>
        <w:tc>
          <w:tcPr>
            <w:tcW w:w="0" w:type="dxa"/>
            <w:vAlign w:val="bottom"/>
          </w:tcPr>
          <w:p>
            <w:pPr>
              <w:spacing w:after="0"/>
              <w:rPr>
                <w:sz w:val="1"/>
                <w:szCs w:val="1"/>
                <w:color w:val="auto"/>
              </w:rPr>
            </w:pPr>
          </w:p>
        </w:tc>
      </w:tr>
      <w:tr>
        <w:trPr>
          <w:trHeight w:val="209"/>
        </w:trPr>
        <w:tc>
          <w:tcPr>
            <w:tcW w:w="60" w:type="dxa"/>
            <w:vAlign w:val="bottom"/>
            <w:tcBorders>
              <w:left w:val="single" w:sz="8" w:color="DD924E"/>
              <w:bottom w:val="single" w:sz="8" w:color="FBF4ED"/>
            </w:tcBorders>
            <w:shd w:val="clear" w:color="auto" w:fill="FBF4ED"/>
          </w:tcPr>
          <w:p>
            <w:pPr>
              <w:spacing w:after="0"/>
              <w:rPr>
                <w:sz w:val="18"/>
                <w:szCs w:val="18"/>
                <w:color w:val="auto"/>
              </w:rPr>
            </w:pPr>
          </w:p>
        </w:tc>
        <w:tc>
          <w:tcPr>
            <w:tcW w:w="1420" w:type="dxa"/>
            <w:vAlign w:val="bottom"/>
            <w:tcBorders>
              <w:bottom w:val="single" w:sz="8" w:color="FBF4ED"/>
            </w:tcBorders>
            <w:shd w:val="clear" w:color="auto" w:fill="FBF4ED"/>
          </w:tcPr>
          <w:p>
            <w:pPr>
              <w:spacing w:after="0"/>
              <w:rPr>
                <w:sz w:val="18"/>
                <w:szCs w:val="18"/>
                <w:color w:val="auto"/>
              </w:rPr>
            </w:pPr>
          </w:p>
        </w:tc>
        <w:tc>
          <w:tcPr>
            <w:tcW w:w="40" w:type="dxa"/>
            <w:vAlign w:val="bottom"/>
            <w:tcBorders>
              <w:bottom w:val="single" w:sz="8" w:color="FBF4ED"/>
            </w:tcBorders>
            <w:shd w:val="clear" w:color="auto" w:fill="FBF4ED"/>
          </w:tcPr>
          <w:p>
            <w:pPr>
              <w:spacing w:after="0"/>
              <w:rPr>
                <w:sz w:val="18"/>
                <w:szCs w:val="18"/>
                <w:color w:val="auto"/>
              </w:rPr>
            </w:pPr>
          </w:p>
        </w:tc>
        <w:tc>
          <w:tcPr>
            <w:tcW w:w="800" w:type="dxa"/>
            <w:vAlign w:val="bottom"/>
            <w:tcBorders>
              <w:bottom w:val="single" w:sz="8" w:color="FBF4ED"/>
            </w:tcBorders>
            <w:gridSpan w:val="2"/>
            <w:shd w:val="clear" w:color="auto" w:fill="FBF4ED"/>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tcBorders>
              <w:bottom w:val="single" w:sz="8" w:color="FBF4ED"/>
            </w:tcBorders>
            <w:shd w:val="clear" w:color="auto" w:fill="FBF4ED"/>
          </w:tcPr>
          <w:p>
            <w:pPr>
              <w:spacing w:after="0"/>
              <w:rPr>
                <w:sz w:val="18"/>
                <w:szCs w:val="18"/>
                <w:color w:val="auto"/>
              </w:rPr>
            </w:pPr>
          </w:p>
        </w:tc>
        <w:tc>
          <w:tcPr>
            <w:tcW w:w="740" w:type="dxa"/>
            <w:vAlign w:val="bottom"/>
            <w:tcBorders>
              <w:bottom w:val="single" w:sz="8" w:color="FBF4ED"/>
            </w:tcBorders>
            <w:shd w:val="clear" w:color="auto" w:fill="FBF4ED"/>
          </w:tcPr>
          <w:p>
            <w:pPr>
              <w:spacing w:after="0"/>
              <w:rPr>
                <w:sz w:val="18"/>
                <w:szCs w:val="18"/>
                <w:color w:val="auto"/>
              </w:rPr>
            </w:pPr>
          </w:p>
        </w:tc>
        <w:tc>
          <w:tcPr>
            <w:tcW w:w="120" w:type="dxa"/>
            <w:vAlign w:val="bottom"/>
            <w:tcBorders>
              <w:bottom w:val="single" w:sz="8" w:color="FBF4ED"/>
            </w:tcBorders>
            <w:shd w:val="clear" w:color="auto" w:fill="FBF4ED"/>
          </w:tcPr>
          <w:p>
            <w:pPr>
              <w:spacing w:after="0"/>
              <w:rPr>
                <w:sz w:val="18"/>
                <w:szCs w:val="18"/>
                <w:color w:val="auto"/>
              </w:rPr>
            </w:pPr>
          </w:p>
        </w:tc>
        <w:tc>
          <w:tcPr>
            <w:tcW w:w="640" w:type="dxa"/>
            <w:vAlign w:val="bottom"/>
            <w:tcBorders>
              <w:bottom w:val="single" w:sz="8" w:color="FBF4ED"/>
            </w:tcBorders>
            <w:shd w:val="clear" w:color="auto" w:fill="FBF4ED"/>
          </w:tcPr>
          <w:p>
            <w:pPr>
              <w:spacing w:after="0"/>
              <w:rPr>
                <w:sz w:val="18"/>
                <w:szCs w:val="18"/>
                <w:color w:val="auto"/>
              </w:rPr>
            </w:pPr>
          </w:p>
        </w:tc>
        <w:tc>
          <w:tcPr>
            <w:tcW w:w="100" w:type="dxa"/>
            <w:vAlign w:val="bottom"/>
            <w:tcBorders>
              <w:bottom w:val="single" w:sz="8" w:color="FBF4ED"/>
            </w:tcBorders>
            <w:shd w:val="clear" w:color="auto" w:fill="FBF4ED"/>
          </w:tcPr>
          <w:p>
            <w:pPr>
              <w:spacing w:after="0"/>
              <w:rPr>
                <w:sz w:val="18"/>
                <w:szCs w:val="18"/>
                <w:color w:val="auto"/>
              </w:rPr>
            </w:pPr>
          </w:p>
        </w:tc>
        <w:tc>
          <w:tcPr>
            <w:tcW w:w="100" w:type="dxa"/>
            <w:vAlign w:val="bottom"/>
            <w:tcBorders>
              <w:bottom w:val="single" w:sz="8" w:color="FBF4ED"/>
            </w:tcBorders>
            <w:shd w:val="clear" w:color="auto" w:fill="FBF4ED"/>
          </w:tcPr>
          <w:p>
            <w:pPr>
              <w:spacing w:after="0"/>
              <w:rPr>
                <w:sz w:val="18"/>
                <w:szCs w:val="18"/>
                <w:color w:val="auto"/>
              </w:rPr>
            </w:pPr>
          </w:p>
        </w:tc>
        <w:tc>
          <w:tcPr>
            <w:tcW w:w="760" w:type="dxa"/>
            <w:vAlign w:val="bottom"/>
            <w:tcBorders>
              <w:bottom w:val="single" w:sz="8" w:color="FBF4ED"/>
            </w:tcBorders>
            <w:shd w:val="clear" w:color="auto" w:fill="FBF4ED"/>
          </w:tcPr>
          <w:p>
            <w:pPr>
              <w:spacing w:after="0"/>
              <w:rPr>
                <w:sz w:val="18"/>
                <w:szCs w:val="18"/>
                <w:color w:val="auto"/>
              </w:rPr>
            </w:pPr>
          </w:p>
        </w:tc>
        <w:tc>
          <w:tcPr>
            <w:tcW w:w="100" w:type="dxa"/>
            <w:vAlign w:val="bottom"/>
            <w:tcBorders>
              <w:bottom w:val="single" w:sz="8" w:color="FBF4ED"/>
            </w:tcBorders>
            <w:shd w:val="clear" w:color="auto" w:fill="FBF4ED"/>
          </w:tcPr>
          <w:p>
            <w:pPr>
              <w:spacing w:after="0"/>
              <w:rPr>
                <w:sz w:val="18"/>
                <w:szCs w:val="18"/>
                <w:color w:val="auto"/>
              </w:rPr>
            </w:pPr>
          </w:p>
        </w:tc>
        <w:tc>
          <w:tcPr>
            <w:tcW w:w="740" w:type="dxa"/>
            <w:vAlign w:val="bottom"/>
            <w:tcBorders>
              <w:bottom w:val="single" w:sz="8" w:color="FBF4ED"/>
            </w:tcBorders>
            <w:shd w:val="clear" w:color="auto" w:fill="FBF4ED"/>
          </w:tcPr>
          <w:p>
            <w:pPr>
              <w:spacing w:after="0"/>
              <w:rPr>
                <w:sz w:val="18"/>
                <w:szCs w:val="18"/>
                <w:color w:val="auto"/>
              </w:rPr>
            </w:pPr>
          </w:p>
        </w:tc>
        <w:tc>
          <w:tcPr>
            <w:tcW w:w="100" w:type="dxa"/>
            <w:vAlign w:val="bottom"/>
            <w:tcBorders>
              <w:bottom w:val="single" w:sz="8" w:color="FBF4ED"/>
            </w:tcBorders>
            <w:shd w:val="clear" w:color="auto" w:fill="FBF4ED"/>
          </w:tcPr>
          <w:p>
            <w:pPr>
              <w:spacing w:after="0"/>
              <w:rPr>
                <w:sz w:val="18"/>
                <w:szCs w:val="18"/>
                <w:color w:val="auto"/>
              </w:rPr>
            </w:pPr>
          </w:p>
        </w:tc>
        <w:tc>
          <w:tcPr>
            <w:tcW w:w="620" w:type="dxa"/>
            <w:vAlign w:val="bottom"/>
            <w:tcBorders>
              <w:bottom w:val="single" w:sz="8" w:color="FBF4ED"/>
            </w:tcBorders>
            <w:shd w:val="clear" w:color="auto" w:fill="FBF4ED"/>
          </w:tcPr>
          <w:p>
            <w:pPr>
              <w:spacing w:after="0"/>
              <w:rPr>
                <w:sz w:val="18"/>
                <w:szCs w:val="18"/>
                <w:color w:val="auto"/>
              </w:rPr>
            </w:pPr>
          </w:p>
        </w:tc>
        <w:tc>
          <w:tcPr>
            <w:tcW w:w="160" w:type="dxa"/>
            <w:vAlign w:val="bottom"/>
            <w:tcBorders>
              <w:bottom w:val="single" w:sz="8" w:color="FBF4ED"/>
            </w:tcBorders>
            <w:shd w:val="clear" w:color="auto" w:fill="FBF4ED"/>
          </w:tcPr>
          <w:p>
            <w:pPr>
              <w:spacing w:after="0"/>
              <w:rPr>
                <w:sz w:val="18"/>
                <w:szCs w:val="18"/>
                <w:color w:val="auto"/>
              </w:rPr>
            </w:pPr>
          </w:p>
        </w:tc>
        <w:tc>
          <w:tcPr>
            <w:tcW w:w="100" w:type="dxa"/>
            <w:vAlign w:val="bottom"/>
            <w:tcBorders>
              <w:bottom w:val="single" w:sz="8" w:color="FBF4ED"/>
            </w:tcBorders>
            <w:shd w:val="clear" w:color="auto" w:fill="FBF4ED"/>
          </w:tcPr>
          <w:p>
            <w:pPr>
              <w:spacing w:after="0"/>
              <w:rPr>
                <w:sz w:val="18"/>
                <w:szCs w:val="18"/>
                <w:color w:val="auto"/>
              </w:rPr>
            </w:pPr>
          </w:p>
        </w:tc>
        <w:tc>
          <w:tcPr>
            <w:tcW w:w="780" w:type="dxa"/>
            <w:vAlign w:val="bottom"/>
            <w:tcBorders>
              <w:bottom w:val="single" w:sz="8" w:color="FBF4ED"/>
            </w:tcBorders>
            <w:shd w:val="clear" w:color="auto" w:fill="FBF4ED"/>
          </w:tcPr>
          <w:p>
            <w:pPr>
              <w:spacing w:after="0"/>
              <w:rPr>
                <w:sz w:val="18"/>
                <w:szCs w:val="18"/>
                <w:color w:val="auto"/>
              </w:rPr>
            </w:pPr>
          </w:p>
        </w:tc>
        <w:tc>
          <w:tcPr>
            <w:tcW w:w="40" w:type="dxa"/>
            <w:vAlign w:val="bottom"/>
            <w:tcBorders>
              <w:bottom w:val="single" w:sz="8" w:color="FBF4ED"/>
            </w:tcBorders>
            <w:shd w:val="clear" w:color="auto" w:fill="FBF4ED"/>
          </w:tcPr>
          <w:p>
            <w:pPr>
              <w:spacing w:after="0"/>
              <w:rPr>
                <w:sz w:val="18"/>
                <w:szCs w:val="18"/>
                <w:color w:val="auto"/>
              </w:rPr>
            </w:pPr>
          </w:p>
        </w:tc>
        <w:tc>
          <w:tcPr>
            <w:tcW w:w="820" w:type="dxa"/>
            <w:vAlign w:val="bottom"/>
            <w:tcBorders>
              <w:bottom w:val="single" w:sz="8" w:color="FBF4ED"/>
            </w:tcBorders>
            <w:gridSpan w:val="2"/>
            <w:shd w:val="clear" w:color="auto" w:fill="FBF4ED"/>
          </w:tcPr>
          <w:p>
            <w:pPr>
              <w:jc w:val="right"/>
              <w:ind w:right="32"/>
              <w:spacing w:after="0"/>
              <w:rPr>
                <w:sz w:val="20"/>
                <w:szCs w:val="20"/>
                <w:color w:val="auto"/>
              </w:rPr>
            </w:pPr>
            <w:r>
              <w:rPr>
                <w:rFonts w:ascii="Arial" w:cs="Arial" w:eastAsia="Arial" w:hAnsi="Arial"/>
                <w:sz w:val="14"/>
                <w:szCs w:val="14"/>
                <w:color w:val="auto"/>
              </w:rPr>
              <w:t>7,275</w:t>
            </w:r>
          </w:p>
        </w:tc>
        <w:tc>
          <w:tcPr>
            <w:tcW w:w="120" w:type="dxa"/>
            <w:vAlign w:val="bottom"/>
            <w:tcBorders>
              <w:bottom w:val="single" w:sz="8" w:color="FBF4ED"/>
            </w:tcBorders>
            <w:shd w:val="clear" w:color="auto" w:fill="FBF4ED"/>
          </w:tcPr>
          <w:p>
            <w:pPr>
              <w:jc w:val="right"/>
              <w:spacing w:after="0"/>
              <w:rPr>
                <w:sz w:val="20"/>
                <w:szCs w:val="20"/>
                <w:color w:val="auto"/>
              </w:rPr>
            </w:pPr>
            <w:r>
              <w:rPr>
                <w:rFonts w:ascii="Arial" w:cs="Arial" w:eastAsia="Arial" w:hAnsi="Arial"/>
                <w:sz w:val="10"/>
                <w:szCs w:val="10"/>
                <w:color w:val="auto"/>
                <w:w w:val="81"/>
              </w:rPr>
              <w:t>(4)</w:t>
            </w:r>
          </w:p>
        </w:tc>
        <w:tc>
          <w:tcPr>
            <w:tcW w:w="880" w:type="dxa"/>
            <w:vAlign w:val="bottom"/>
            <w:tcBorders>
              <w:bottom w:val="single" w:sz="8" w:color="FBF4ED"/>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4"/>
                <w:szCs w:val="14"/>
                <w:color w:val="auto"/>
              </w:rPr>
              <w:t>347,236</w:t>
            </w:r>
          </w:p>
        </w:tc>
        <w:tc>
          <w:tcPr>
            <w:tcW w:w="0" w:type="dxa"/>
            <w:vAlign w:val="bottom"/>
          </w:tcPr>
          <w:p>
            <w:pPr>
              <w:spacing w:after="0"/>
              <w:rPr>
                <w:sz w:val="1"/>
                <w:szCs w:val="1"/>
                <w:color w:val="auto"/>
              </w:rPr>
            </w:pPr>
          </w:p>
        </w:tc>
      </w:tr>
      <w:tr>
        <w:trPr>
          <w:trHeight w:val="194"/>
        </w:trPr>
        <w:tc>
          <w:tcPr>
            <w:tcW w:w="1520" w:type="dxa"/>
            <w:vAlign w:val="bottom"/>
            <w:tcBorders>
              <w:left w:val="single" w:sz="8" w:color="DD924E"/>
            </w:tcBorders>
            <w:gridSpan w:val="3"/>
          </w:tcPr>
          <w:p>
            <w:pPr>
              <w:ind w:left="60"/>
              <w:spacing w:after="0"/>
              <w:rPr>
                <w:sz w:val="20"/>
                <w:szCs w:val="20"/>
                <w:color w:val="auto"/>
              </w:rPr>
            </w:pPr>
            <w:r>
              <w:rPr>
                <w:rFonts w:ascii="Arial" w:cs="Arial" w:eastAsia="Arial" w:hAnsi="Arial"/>
                <w:sz w:val="14"/>
                <w:szCs w:val="14"/>
                <w:b w:val="1"/>
                <w:bCs w:val="1"/>
                <w:color w:val="auto"/>
              </w:rPr>
              <w:t>Pavan Bagai</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270,080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540,160</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right w:val="single" w:sz="8" w:color="DD924E"/>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5,750</w:t>
            </w:r>
          </w:p>
        </w:tc>
        <w:tc>
          <w:tcPr>
            <w:tcW w:w="1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4"/>
                <w:szCs w:val="14"/>
                <w:color w:val="auto"/>
              </w:rPr>
              <w:t>274,448</w:t>
            </w: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5,750</w:t>
            </w:r>
          </w:p>
        </w:tc>
        <w:tc>
          <w:tcPr>
            <w:tcW w:w="16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4"/>
                <w:szCs w:val="14"/>
                <w:color w:val="auto"/>
              </w:rPr>
              <w:t>311,075</w:t>
            </w: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4"/>
                <w:szCs w:val="14"/>
                <w:color w:val="auto"/>
              </w:rPr>
              <w:t>11,500</w:t>
            </w:r>
          </w:p>
        </w:tc>
        <w:tc>
          <w:tcPr>
            <w:tcW w:w="120" w:type="dxa"/>
            <w:vAlign w:val="bottom"/>
          </w:tcPr>
          <w:p>
            <w:pPr>
              <w:jc w:val="right"/>
              <w:spacing w:after="0"/>
              <w:rPr>
                <w:sz w:val="20"/>
                <w:szCs w:val="20"/>
                <w:color w:val="auto"/>
              </w:rPr>
            </w:pPr>
            <w:r>
              <w:rPr>
                <w:rFonts w:ascii="Arial" w:cs="Arial" w:eastAsia="Arial" w:hAnsi="Arial"/>
                <w:sz w:val="10"/>
                <w:szCs w:val="10"/>
                <w:color w:val="auto"/>
                <w:w w:val="81"/>
              </w:rPr>
              <w:t>(4)</w:t>
            </w:r>
          </w:p>
        </w:tc>
        <w:tc>
          <w:tcPr>
            <w:tcW w:w="88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4"/>
                <w:szCs w:val="14"/>
                <w:color w:val="auto"/>
              </w:rPr>
              <w:t>548,895</w:t>
            </w:r>
          </w:p>
        </w:tc>
        <w:tc>
          <w:tcPr>
            <w:tcW w:w="0" w:type="dxa"/>
            <w:vAlign w:val="bottom"/>
          </w:tcPr>
          <w:p>
            <w:pPr>
              <w:spacing w:after="0"/>
              <w:rPr>
                <w:sz w:val="1"/>
                <w:szCs w:val="1"/>
                <w:color w:val="auto"/>
              </w:rPr>
            </w:pPr>
          </w:p>
        </w:tc>
      </w:tr>
      <w:tr>
        <w:trPr>
          <w:trHeight w:val="24"/>
        </w:trPr>
        <w:tc>
          <w:tcPr>
            <w:tcW w:w="1520" w:type="dxa"/>
            <w:vAlign w:val="bottom"/>
            <w:tcBorders>
              <w:left w:val="single" w:sz="8" w:color="DD924E"/>
            </w:tcBorders>
            <w:gridSpan w:val="3"/>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right w:val="single" w:sz="8" w:color="DD924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520" w:type="dxa"/>
            <w:vAlign w:val="bottom"/>
            <w:tcBorders>
              <w:left w:val="single" w:sz="8" w:color="DD924E"/>
            </w:tcBorders>
            <w:gridSpan w:val="3"/>
            <w:shd w:val="clear" w:color="auto" w:fill="FBF4ED"/>
          </w:tcPr>
          <w:p>
            <w:pPr>
              <w:ind w:left="60"/>
              <w:spacing w:after="0"/>
              <w:rPr>
                <w:sz w:val="20"/>
                <w:szCs w:val="20"/>
                <w:color w:val="auto"/>
              </w:rPr>
            </w:pPr>
            <w:r>
              <w:rPr>
                <w:rFonts w:ascii="Arial" w:cs="Arial" w:eastAsia="Arial" w:hAnsi="Arial"/>
                <w:sz w:val="14"/>
                <w:szCs w:val="14"/>
                <w:b w:val="1"/>
                <w:bCs w:val="1"/>
                <w:color w:val="auto"/>
              </w:rPr>
              <w:t>Nagaraja Srivatsan</w:t>
            </w:r>
          </w:p>
        </w:tc>
        <w:tc>
          <w:tcPr>
            <w:tcW w:w="6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7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311,250</w:t>
            </w:r>
          </w:p>
        </w:tc>
        <w:tc>
          <w:tcPr>
            <w:tcW w:w="10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60" w:type="dxa"/>
            <w:vAlign w:val="bottom"/>
            <w:shd w:val="clear" w:color="auto" w:fill="FBF4ED"/>
          </w:tcPr>
          <w:p>
            <w:pPr>
              <w:jc w:val="right"/>
              <w:spacing w:after="0"/>
              <w:rPr>
                <w:sz w:val="20"/>
                <w:szCs w:val="20"/>
                <w:color w:val="auto"/>
              </w:rPr>
            </w:pPr>
            <w:r>
              <w:rPr>
                <w:rFonts w:ascii="Arial" w:cs="Arial" w:eastAsia="Arial" w:hAnsi="Arial"/>
                <w:sz w:val="14"/>
                <w:szCs w:val="14"/>
                <w:color w:val="auto"/>
              </w:rPr>
              <w:t>622,500</w:t>
            </w:r>
          </w:p>
        </w:tc>
        <w:tc>
          <w:tcPr>
            <w:tcW w:w="10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620" w:type="dxa"/>
            <w:vAlign w:val="bottom"/>
            <w:shd w:val="clear" w:color="auto" w:fill="FBF4ED"/>
          </w:tcPr>
          <w:p>
            <w:pPr>
              <w:spacing w:after="0"/>
              <w:rPr>
                <w:sz w:val="16"/>
                <w:szCs w:val="16"/>
                <w:color w:val="auto"/>
              </w:rPr>
            </w:pPr>
          </w:p>
        </w:tc>
        <w:tc>
          <w:tcPr>
            <w:tcW w:w="1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8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760" w:type="dxa"/>
            <w:vAlign w:val="bottom"/>
            <w:shd w:val="clear" w:color="auto" w:fill="FBF4ED"/>
          </w:tcPr>
          <w:p>
            <w:pPr>
              <w:spacing w:after="0"/>
              <w:rPr>
                <w:sz w:val="16"/>
                <w:szCs w:val="16"/>
                <w:color w:val="auto"/>
              </w:rPr>
            </w:pPr>
          </w:p>
        </w:tc>
        <w:tc>
          <w:tcPr>
            <w:tcW w:w="12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80" w:type="dxa"/>
            <w:vAlign w:val="bottom"/>
            <w:tcBorders>
              <w:right w:val="single" w:sz="8" w:color="DD924E"/>
            </w:tcBorders>
            <w:shd w:val="clear" w:color="auto" w:fill="FBF4ED"/>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shd w:val="clear" w:color="auto" w:fill="FBF4ED"/>
          </w:tcPr>
          <w:p>
            <w:pPr>
              <w:spacing w:after="0"/>
              <w:rPr>
                <w:sz w:val="17"/>
                <w:szCs w:val="17"/>
                <w:color w:val="auto"/>
              </w:rPr>
            </w:pPr>
          </w:p>
        </w:tc>
        <w:tc>
          <w:tcPr>
            <w:tcW w:w="142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80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120" w:type="dxa"/>
            <w:vAlign w:val="bottom"/>
            <w:shd w:val="clear" w:color="auto" w:fill="FBF4ED"/>
          </w:tcPr>
          <w:p>
            <w:pPr>
              <w:spacing w:after="0"/>
              <w:rPr>
                <w:sz w:val="17"/>
                <w:szCs w:val="17"/>
                <w:color w:val="auto"/>
              </w:rPr>
            </w:pPr>
          </w:p>
        </w:tc>
        <w:tc>
          <w:tcPr>
            <w:tcW w:w="64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7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72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3,300</w:t>
            </w:r>
          </w:p>
        </w:tc>
        <w:tc>
          <w:tcPr>
            <w:tcW w:w="160" w:type="dxa"/>
            <w:vAlign w:val="bottom"/>
            <w:shd w:val="clear" w:color="auto" w:fill="FBF4ED"/>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FBF4ED"/>
          </w:tcPr>
          <w:p>
            <w:pPr>
              <w:spacing w:after="0"/>
              <w:rPr>
                <w:sz w:val="17"/>
                <w:szCs w:val="17"/>
                <w:color w:val="auto"/>
              </w:rPr>
            </w:pPr>
          </w:p>
        </w:tc>
        <w:tc>
          <w:tcPr>
            <w:tcW w:w="7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6,600</w:t>
            </w:r>
          </w:p>
        </w:tc>
        <w:tc>
          <w:tcPr>
            <w:tcW w:w="40" w:type="dxa"/>
            <w:vAlign w:val="bottom"/>
            <w:shd w:val="clear" w:color="auto" w:fill="FBF4ED"/>
          </w:tcPr>
          <w:p>
            <w:pPr>
              <w:spacing w:after="0"/>
              <w:rPr>
                <w:sz w:val="17"/>
                <w:szCs w:val="17"/>
                <w:color w:val="auto"/>
              </w:rPr>
            </w:pPr>
          </w:p>
        </w:tc>
        <w:tc>
          <w:tcPr>
            <w:tcW w:w="60" w:type="dxa"/>
            <w:vAlign w:val="bottom"/>
            <w:shd w:val="clear" w:color="auto" w:fill="FBF4ED"/>
          </w:tcPr>
          <w:p>
            <w:pPr>
              <w:spacing w:after="0"/>
              <w:rPr>
                <w:sz w:val="17"/>
                <w:szCs w:val="17"/>
                <w:color w:val="auto"/>
              </w:rPr>
            </w:pPr>
          </w:p>
        </w:tc>
        <w:tc>
          <w:tcPr>
            <w:tcW w:w="760" w:type="dxa"/>
            <w:vAlign w:val="bottom"/>
            <w:shd w:val="clear" w:color="auto" w:fill="FBF4ED"/>
          </w:tcPr>
          <w:p>
            <w:pPr>
              <w:spacing w:after="0"/>
              <w:rPr>
                <w:sz w:val="17"/>
                <w:szCs w:val="17"/>
                <w:color w:val="auto"/>
              </w:rPr>
            </w:pPr>
          </w:p>
        </w:tc>
        <w:tc>
          <w:tcPr>
            <w:tcW w:w="120" w:type="dxa"/>
            <w:vAlign w:val="bottom"/>
            <w:shd w:val="clear" w:color="auto" w:fill="FBF4ED"/>
          </w:tcPr>
          <w:p>
            <w:pPr>
              <w:spacing w:after="0"/>
              <w:rPr>
                <w:sz w:val="17"/>
                <w:szCs w:val="17"/>
                <w:color w:val="auto"/>
              </w:rPr>
            </w:pPr>
          </w:p>
        </w:tc>
        <w:tc>
          <w:tcPr>
            <w:tcW w:w="880" w:type="dxa"/>
            <w:vAlign w:val="bottom"/>
            <w:tcBorders>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4"/>
                <w:szCs w:val="14"/>
                <w:color w:val="auto"/>
              </w:rPr>
              <w:t>157,509</w:t>
            </w: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shd w:val="clear" w:color="auto" w:fill="FBF4ED"/>
          </w:tcPr>
          <w:p>
            <w:pPr>
              <w:spacing w:after="0"/>
              <w:rPr>
                <w:sz w:val="17"/>
                <w:szCs w:val="17"/>
                <w:color w:val="auto"/>
              </w:rPr>
            </w:pPr>
          </w:p>
        </w:tc>
        <w:tc>
          <w:tcPr>
            <w:tcW w:w="142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80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120" w:type="dxa"/>
            <w:vAlign w:val="bottom"/>
            <w:shd w:val="clear" w:color="auto" w:fill="FBF4ED"/>
          </w:tcPr>
          <w:p>
            <w:pPr>
              <w:spacing w:after="0"/>
              <w:rPr>
                <w:sz w:val="17"/>
                <w:szCs w:val="17"/>
                <w:color w:val="auto"/>
              </w:rPr>
            </w:pPr>
          </w:p>
        </w:tc>
        <w:tc>
          <w:tcPr>
            <w:tcW w:w="64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7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72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3,300</w:t>
            </w:r>
          </w:p>
        </w:tc>
        <w:tc>
          <w:tcPr>
            <w:tcW w:w="160" w:type="dxa"/>
            <w:vAlign w:val="bottom"/>
            <w:shd w:val="clear" w:color="auto" w:fill="FBF4ED"/>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FBF4ED"/>
          </w:tcPr>
          <w:p>
            <w:pPr>
              <w:spacing w:after="0"/>
              <w:rPr>
                <w:sz w:val="17"/>
                <w:szCs w:val="17"/>
                <w:color w:val="auto"/>
              </w:rPr>
            </w:pPr>
          </w:p>
        </w:tc>
        <w:tc>
          <w:tcPr>
            <w:tcW w:w="7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6,600</w:t>
            </w:r>
          </w:p>
        </w:tc>
        <w:tc>
          <w:tcPr>
            <w:tcW w:w="40" w:type="dxa"/>
            <w:vAlign w:val="bottom"/>
            <w:shd w:val="clear" w:color="auto" w:fill="FBF4ED"/>
          </w:tcPr>
          <w:p>
            <w:pPr>
              <w:spacing w:after="0"/>
              <w:rPr>
                <w:sz w:val="17"/>
                <w:szCs w:val="17"/>
                <w:color w:val="auto"/>
              </w:rPr>
            </w:pPr>
          </w:p>
        </w:tc>
        <w:tc>
          <w:tcPr>
            <w:tcW w:w="60" w:type="dxa"/>
            <w:vAlign w:val="bottom"/>
            <w:shd w:val="clear" w:color="auto" w:fill="FBF4ED"/>
          </w:tcPr>
          <w:p>
            <w:pPr>
              <w:spacing w:after="0"/>
              <w:rPr>
                <w:sz w:val="17"/>
                <w:szCs w:val="17"/>
                <w:color w:val="auto"/>
              </w:rPr>
            </w:pPr>
          </w:p>
        </w:tc>
        <w:tc>
          <w:tcPr>
            <w:tcW w:w="760" w:type="dxa"/>
            <w:vAlign w:val="bottom"/>
            <w:shd w:val="clear" w:color="auto" w:fill="FBF4ED"/>
          </w:tcPr>
          <w:p>
            <w:pPr>
              <w:spacing w:after="0"/>
              <w:rPr>
                <w:sz w:val="17"/>
                <w:szCs w:val="17"/>
                <w:color w:val="auto"/>
              </w:rPr>
            </w:pPr>
          </w:p>
        </w:tc>
        <w:tc>
          <w:tcPr>
            <w:tcW w:w="120" w:type="dxa"/>
            <w:vAlign w:val="bottom"/>
            <w:shd w:val="clear" w:color="auto" w:fill="FBF4ED"/>
          </w:tcPr>
          <w:p>
            <w:pPr>
              <w:spacing w:after="0"/>
              <w:rPr>
                <w:sz w:val="17"/>
                <w:szCs w:val="17"/>
                <w:color w:val="auto"/>
              </w:rPr>
            </w:pPr>
          </w:p>
        </w:tc>
        <w:tc>
          <w:tcPr>
            <w:tcW w:w="880" w:type="dxa"/>
            <w:vAlign w:val="bottom"/>
            <w:tcBorders>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4"/>
                <w:szCs w:val="14"/>
                <w:color w:val="auto"/>
              </w:rPr>
              <w:t>178,530</w:t>
            </w:r>
          </w:p>
        </w:tc>
        <w:tc>
          <w:tcPr>
            <w:tcW w:w="0" w:type="dxa"/>
            <w:vAlign w:val="bottom"/>
          </w:tcPr>
          <w:p>
            <w:pPr>
              <w:spacing w:after="0"/>
              <w:rPr>
                <w:sz w:val="1"/>
                <w:szCs w:val="1"/>
                <w:color w:val="auto"/>
              </w:rPr>
            </w:pPr>
          </w:p>
        </w:tc>
      </w:tr>
      <w:tr>
        <w:trPr>
          <w:trHeight w:val="209"/>
        </w:trPr>
        <w:tc>
          <w:tcPr>
            <w:tcW w:w="60" w:type="dxa"/>
            <w:vAlign w:val="bottom"/>
            <w:tcBorders>
              <w:left w:val="single" w:sz="8" w:color="DD924E"/>
              <w:bottom w:val="single" w:sz="8" w:color="FBF4ED"/>
            </w:tcBorders>
            <w:shd w:val="clear" w:color="auto" w:fill="FBF4ED"/>
          </w:tcPr>
          <w:p>
            <w:pPr>
              <w:spacing w:after="0"/>
              <w:rPr>
                <w:sz w:val="18"/>
                <w:szCs w:val="18"/>
                <w:color w:val="auto"/>
              </w:rPr>
            </w:pPr>
          </w:p>
        </w:tc>
        <w:tc>
          <w:tcPr>
            <w:tcW w:w="1420" w:type="dxa"/>
            <w:vAlign w:val="bottom"/>
            <w:tcBorders>
              <w:bottom w:val="single" w:sz="8" w:color="FBF4ED"/>
            </w:tcBorders>
            <w:shd w:val="clear" w:color="auto" w:fill="FBF4ED"/>
          </w:tcPr>
          <w:p>
            <w:pPr>
              <w:spacing w:after="0"/>
              <w:rPr>
                <w:sz w:val="18"/>
                <w:szCs w:val="18"/>
                <w:color w:val="auto"/>
              </w:rPr>
            </w:pPr>
          </w:p>
        </w:tc>
        <w:tc>
          <w:tcPr>
            <w:tcW w:w="40" w:type="dxa"/>
            <w:vAlign w:val="bottom"/>
            <w:tcBorders>
              <w:bottom w:val="single" w:sz="8" w:color="FBF4ED"/>
            </w:tcBorders>
            <w:shd w:val="clear" w:color="auto" w:fill="FBF4ED"/>
          </w:tcPr>
          <w:p>
            <w:pPr>
              <w:spacing w:after="0"/>
              <w:rPr>
                <w:sz w:val="18"/>
                <w:szCs w:val="18"/>
                <w:color w:val="auto"/>
              </w:rPr>
            </w:pPr>
          </w:p>
        </w:tc>
        <w:tc>
          <w:tcPr>
            <w:tcW w:w="800" w:type="dxa"/>
            <w:vAlign w:val="bottom"/>
            <w:tcBorders>
              <w:bottom w:val="single" w:sz="8" w:color="FBF4ED"/>
            </w:tcBorders>
            <w:gridSpan w:val="2"/>
            <w:shd w:val="clear" w:color="auto" w:fill="FBF4ED"/>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tcBorders>
              <w:bottom w:val="single" w:sz="8" w:color="FBF4ED"/>
            </w:tcBorders>
            <w:shd w:val="clear" w:color="auto" w:fill="FBF4ED"/>
          </w:tcPr>
          <w:p>
            <w:pPr>
              <w:spacing w:after="0"/>
              <w:rPr>
                <w:sz w:val="18"/>
                <w:szCs w:val="18"/>
                <w:color w:val="auto"/>
              </w:rPr>
            </w:pPr>
          </w:p>
        </w:tc>
        <w:tc>
          <w:tcPr>
            <w:tcW w:w="740" w:type="dxa"/>
            <w:vAlign w:val="bottom"/>
            <w:tcBorders>
              <w:bottom w:val="single" w:sz="8" w:color="FBF4ED"/>
            </w:tcBorders>
            <w:shd w:val="clear" w:color="auto" w:fill="FBF4ED"/>
          </w:tcPr>
          <w:p>
            <w:pPr>
              <w:spacing w:after="0"/>
              <w:rPr>
                <w:sz w:val="18"/>
                <w:szCs w:val="18"/>
                <w:color w:val="auto"/>
              </w:rPr>
            </w:pPr>
          </w:p>
        </w:tc>
        <w:tc>
          <w:tcPr>
            <w:tcW w:w="120" w:type="dxa"/>
            <w:vAlign w:val="bottom"/>
            <w:tcBorders>
              <w:bottom w:val="single" w:sz="8" w:color="FBF4ED"/>
            </w:tcBorders>
            <w:shd w:val="clear" w:color="auto" w:fill="FBF4ED"/>
          </w:tcPr>
          <w:p>
            <w:pPr>
              <w:spacing w:after="0"/>
              <w:rPr>
                <w:sz w:val="18"/>
                <w:szCs w:val="18"/>
                <w:color w:val="auto"/>
              </w:rPr>
            </w:pPr>
          </w:p>
        </w:tc>
        <w:tc>
          <w:tcPr>
            <w:tcW w:w="640" w:type="dxa"/>
            <w:vAlign w:val="bottom"/>
            <w:tcBorders>
              <w:bottom w:val="single" w:sz="8" w:color="FBF4ED"/>
            </w:tcBorders>
            <w:shd w:val="clear" w:color="auto" w:fill="FBF4ED"/>
          </w:tcPr>
          <w:p>
            <w:pPr>
              <w:spacing w:after="0"/>
              <w:rPr>
                <w:sz w:val="18"/>
                <w:szCs w:val="18"/>
                <w:color w:val="auto"/>
              </w:rPr>
            </w:pPr>
          </w:p>
        </w:tc>
        <w:tc>
          <w:tcPr>
            <w:tcW w:w="100" w:type="dxa"/>
            <w:vAlign w:val="bottom"/>
            <w:tcBorders>
              <w:bottom w:val="single" w:sz="8" w:color="FBF4ED"/>
            </w:tcBorders>
            <w:shd w:val="clear" w:color="auto" w:fill="FBF4ED"/>
          </w:tcPr>
          <w:p>
            <w:pPr>
              <w:spacing w:after="0"/>
              <w:rPr>
                <w:sz w:val="18"/>
                <w:szCs w:val="18"/>
                <w:color w:val="auto"/>
              </w:rPr>
            </w:pPr>
          </w:p>
        </w:tc>
        <w:tc>
          <w:tcPr>
            <w:tcW w:w="100" w:type="dxa"/>
            <w:vAlign w:val="bottom"/>
            <w:tcBorders>
              <w:bottom w:val="single" w:sz="8" w:color="FBF4ED"/>
            </w:tcBorders>
            <w:shd w:val="clear" w:color="auto" w:fill="FBF4ED"/>
          </w:tcPr>
          <w:p>
            <w:pPr>
              <w:spacing w:after="0"/>
              <w:rPr>
                <w:sz w:val="18"/>
                <w:szCs w:val="18"/>
                <w:color w:val="auto"/>
              </w:rPr>
            </w:pPr>
          </w:p>
        </w:tc>
        <w:tc>
          <w:tcPr>
            <w:tcW w:w="760" w:type="dxa"/>
            <w:vAlign w:val="bottom"/>
            <w:tcBorders>
              <w:bottom w:val="single" w:sz="8" w:color="FBF4ED"/>
            </w:tcBorders>
            <w:shd w:val="clear" w:color="auto" w:fill="FBF4ED"/>
          </w:tcPr>
          <w:p>
            <w:pPr>
              <w:spacing w:after="0"/>
              <w:rPr>
                <w:sz w:val="18"/>
                <w:szCs w:val="18"/>
                <w:color w:val="auto"/>
              </w:rPr>
            </w:pPr>
          </w:p>
        </w:tc>
        <w:tc>
          <w:tcPr>
            <w:tcW w:w="100" w:type="dxa"/>
            <w:vAlign w:val="bottom"/>
            <w:tcBorders>
              <w:bottom w:val="single" w:sz="8" w:color="FBF4ED"/>
            </w:tcBorders>
            <w:shd w:val="clear" w:color="auto" w:fill="FBF4ED"/>
          </w:tcPr>
          <w:p>
            <w:pPr>
              <w:spacing w:after="0"/>
              <w:rPr>
                <w:sz w:val="18"/>
                <w:szCs w:val="18"/>
                <w:color w:val="auto"/>
              </w:rPr>
            </w:pPr>
          </w:p>
        </w:tc>
        <w:tc>
          <w:tcPr>
            <w:tcW w:w="740" w:type="dxa"/>
            <w:vAlign w:val="bottom"/>
            <w:tcBorders>
              <w:bottom w:val="single" w:sz="8" w:color="FBF4ED"/>
            </w:tcBorders>
            <w:shd w:val="clear" w:color="auto" w:fill="FBF4ED"/>
          </w:tcPr>
          <w:p>
            <w:pPr>
              <w:spacing w:after="0"/>
              <w:rPr>
                <w:sz w:val="18"/>
                <w:szCs w:val="18"/>
                <w:color w:val="auto"/>
              </w:rPr>
            </w:pPr>
          </w:p>
        </w:tc>
        <w:tc>
          <w:tcPr>
            <w:tcW w:w="100" w:type="dxa"/>
            <w:vAlign w:val="bottom"/>
            <w:tcBorders>
              <w:bottom w:val="single" w:sz="8" w:color="FBF4ED"/>
            </w:tcBorders>
            <w:shd w:val="clear" w:color="auto" w:fill="FBF4ED"/>
          </w:tcPr>
          <w:p>
            <w:pPr>
              <w:spacing w:after="0"/>
              <w:rPr>
                <w:sz w:val="18"/>
                <w:szCs w:val="18"/>
                <w:color w:val="auto"/>
              </w:rPr>
            </w:pPr>
          </w:p>
        </w:tc>
        <w:tc>
          <w:tcPr>
            <w:tcW w:w="620" w:type="dxa"/>
            <w:vAlign w:val="bottom"/>
            <w:tcBorders>
              <w:bottom w:val="single" w:sz="8" w:color="FBF4ED"/>
            </w:tcBorders>
            <w:shd w:val="clear" w:color="auto" w:fill="FBF4ED"/>
          </w:tcPr>
          <w:p>
            <w:pPr>
              <w:spacing w:after="0"/>
              <w:rPr>
                <w:sz w:val="18"/>
                <w:szCs w:val="18"/>
                <w:color w:val="auto"/>
              </w:rPr>
            </w:pPr>
          </w:p>
        </w:tc>
        <w:tc>
          <w:tcPr>
            <w:tcW w:w="160" w:type="dxa"/>
            <w:vAlign w:val="bottom"/>
            <w:tcBorders>
              <w:bottom w:val="single" w:sz="8" w:color="FBF4ED"/>
            </w:tcBorders>
            <w:shd w:val="clear" w:color="auto" w:fill="FBF4ED"/>
          </w:tcPr>
          <w:p>
            <w:pPr>
              <w:spacing w:after="0"/>
              <w:rPr>
                <w:sz w:val="18"/>
                <w:szCs w:val="18"/>
                <w:color w:val="auto"/>
              </w:rPr>
            </w:pPr>
          </w:p>
        </w:tc>
        <w:tc>
          <w:tcPr>
            <w:tcW w:w="100" w:type="dxa"/>
            <w:vAlign w:val="bottom"/>
            <w:tcBorders>
              <w:bottom w:val="single" w:sz="8" w:color="FBF4ED"/>
            </w:tcBorders>
            <w:shd w:val="clear" w:color="auto" w:fill="FBF4ED"/>
          </w:tcPr>
          <w:p>
            <w:pPr>
              <w:spacing w:after="0"/>
              <w:rPr>
                <w:sz w:val="18"/>
                <w:szCs w:val="18"/>
                <w:color w:val="auto"/>
              </w:rPr>
            </w:pPr>
          </w:p>
        </w:tc>
        <w:tc>
          <w:tcPr>
            <w:tcW w:w="780" w:type="dxa"/>
            <w:vAlign w:val="bottom"/>
            <w:tcBorders>
              <w:bottom w:val="single" w:sz="8" w:color="FBF4ED"/>
            </w:tcBorders>
            <w:shd w:val="clear" w:color="auto" w:fill="FBF4ED"/>
          </w:tcPr>
          <w:p>
            <w:pPr>
              <w:spacing w:after="0"/>
              <w:rPr>
                <w:sz w:val="18"/>
                <w:szCs w:val="18"/>
                <w:color w:val="auto"/>
              </w:rPr>
            </w:pPr>
          </w:p>
        </w:tc>
        <w:tc>
          <w:tcPr>
            <w:tcW w:w="40" w:type="dxa"/>
            <w:vAlign w:val="bottom"/>
            <w:tcBorders>
              <w:bottom w:val="single" w:sz="8" w:color="FBF4ED"/>
            </w:tcBorders>
            <w:shd w:val="clear" w:color="auto" w:fill="FBF4ED"/>
          </w:tcPr>
          <w:p>
            <w:pPr>
              <w:spacing w:after="0"/>
              <w:rPr>
                <w:sz w:val="18"/>
                <w:szCs w:val="18"/>
                <w:color w:val="auto"/>
              </w:rPr>
            </w:pPr>
          </w:p>
        </w:tc>
        <w:tc>
          <w:tcPr>
            <w:tcW w:w="820" w:type="dxa"/>
            <w:vAlign w:val="bottom"/>
            <w:tcBorders>
              <w:bottom w:val="single" w:sz="8" w:color="FBF4ED"/>
            </w:tcBorders>
            <w:gridSpan w:val="2"/>
            <w:shd w:val="clear" w:color="auto" w:fill="FBF4ED"/>
          </w:tcPr>
          <w:p>
            <w:pPr>
              <w:jc w:val="right"/>
              <w:ind w:right="32"/>
              <w:spacing w:after="0"/>
              <w:rPr>
                <w:sz w:val="20"/>
                <w:szCs w:val="20"/>
                <w:color w:val="auto"/>
              </w:rPr>
            </w:pPr>
            <w:r>
              <w:rPr>
                <w:rFonts w:ascii="Arial" w:cs="Arial" w:eastAsia="Arial" w:hAnsi="Arial"/>
                <w:sz w:val="14"/>
                <w:szCs w:val="14"/>
                <w:color w:val="auto"/>
              </w:rPr>
              <w:t>6,600</w:t>
            </w:r>
          </w:p>
        </w:tc>
        <w:tc>
          <w:tcPr>
            <w:tcW w:w="120" w:type="dxa"/>
            <w:vAlign w:val="bottom"/>
            <w:tcBorders>
              <w:bottom w:val="single" w:sz="8" w:color="FBF4ED"/>
            </w:tcBorders>
            <w:shd w:val="clear" w:color="auto" w:fill="FBF4ED"/>
          </w:tcPr>
          <w:p>
            <w:pPr>
              <w:jc w:val="right"/>
              <w:spacing w:after="0"/>
              <w:rPr>
                <w:sz w:val="20"/>
                <w:szCs w:val="20"/>
                <w:color w:val="auto"/>
              </w:rPr>
            </w:pPr>
            <w:r>
              <w:rPr>
                <w:rFonts w:ascii="Arial" w:cs="Arial" w:eastAsia="Arial" w:hAnsi="Arial"/>
                <w:sz w:val="10"/>
                <w:szCs w:val="10"/>
                <w:color w:val="auto"/>
                <w:w w:val="81"/>
              </w:rPr>
              <w:t>(4)</w:t>
            </w:r>
          </w:p>
        </w:tc>
        <w:tc>
          <w:tcPr>
            <w:tcW w:w="880" w:type="dxa"/>
            <w:vAlign w:val="bottom"/>
            <w:tcBorders>
              <w:bottom w:val="single" w:sz="8" w:color="FBF4ED"/>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4"/>
                <w:szCs w:val="14"/>
                <w:color w:val="auto"/>
              </w:rPr>
              <w:t>315,018</w:t>
            </w:r>
          </w:p>
        </w:tc>
        <w:tc>
          <w:tcPr>
            <w:tcW w:w="0" w:type="dxa"/>
            <w:vAlign w:val="bottom"/>
          </w:tcPr>
          <w:p>
            <w:pPr>
              <w:spacing w:after="0"/>
              <w:rPr>
                <w:sz w:val="1"/>
                <w:szCs w:val="1"/>
                <w:color w:val="auto"/>
              </w:rPr>
            </w:pPr>
          </w:p>
        </w:tc>
      </w:tr>
      <w:tr>
        <w:trPr>
          <w:trHeight w:val="194"/>
        </w:trPr>
        <w:tc>
          <w:tcPr>
            <w:tcW w:w="1520" w:type="dxa"/>
            <w:vAlign w:val="bottom"/>
            <w:tcBorders>
              <w:left w:val="single" w:sz="8" w:color="DD924E"/>
            </w:tcBorders>
            <w:gridSpan w:val="3"/>
          </w:tcPr>
          <w:p>
            <w:pPr>
              <w:ind w:left="60"/>
              <w:spacing w:after="0"/>
              <w:rPr>
                <w:sz w:val="20"/>
                <w:szCs w:val="20"/>
                <w:color w:val="auto"/>
              </w:rPr>
            </w:pPr>
            <w:r>
              <w:rPr>
                <w:rFonts w:ascii="Arial" w:cs="Arial" w:eastAsia="Arial" w:hAnsi="Arial"/>
                <w:sz w:val="14"/>
                <w:szCs w:val="14"/>
                <w:b w:val="1"/>
                <w:bCs w:val="1"/>
                <w:color w:val="auto"/>
              </w:rPr>
              <w:t>Nalin Miglani</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246,000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492,000</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right w:val="single" w:sz="8" w:color="DD924E"/>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3,575</w:t>
            </w:r>
          </w:p>
        </w:tc>
        <w:tc>
          <w:tcPr>
            <w:tcW w:w="1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7,150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4"/>
                <w:szCs w:val="14"/>
                <w:color w:val="auto"/>
              </w:rPr>
              <w:t>170,635</w:t>
            </w: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3,575</w:t>
            </w:r>
          </w:p>
        </w:tc>
        <w:tc>
          <w:tcPr>
            <w:tcW w:w="16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7,150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4"/>
                <w:szCs w:val="14"/>
                <w:color w:val="auto"/>
              </w:rPr>
              <w:t>193,408</w:t>
            </w: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4"/>
                <w:szCs w:val="14"/>
                <w:color w:val="auto"/>
              </w:rPr>
              <w:t>7,150</w:t>
            </w:r>
          </w:p>
        </w:tc>
        <w:tc>
          <w:tcPr>
            <w:tcW w:w="120" w:type="dxa"/>
            <w:vAlign w:val="bottom"/>
          </w:tcPr>
          <w:p>
            <w:pPr>
              <w:jc w:val="right"/>
              <w:spacing w:after="0"/>
              <w:rPr>
                <w:sz w:val="20"/>
                <w:szCs w:val="20"/>
                <w:color w:val="auto"/>
              </w:rPr>
            </w:pPr>
            <w:r>
              <w:rPr>
                <w:rFonts w:ascii="Arial" w:cs="Arial" w:eastAsia="Arial" w:hAnsi="Arial"/>
                <w:sz w:val="10"/>
                <w:szCs w:val="10"/>
                <w:color w:val="auto"/>
                <w:w w:val="81"/>
              </w:rPr>
              <w:t>(4)</w:t>
            </w:r>
          </w:p>
        </w:tc>
        <w:tc>
          <w:tcPr>
            <w:tcW w:w="88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4"/>
                <w:szCs w:val="14"/>
                <w:color w:val="auto"/>
              </w:rPr>
              <w:t>341,270</w:t>
            </w:r>
          </w:p>
        </w:tc>
        <w:tc>
          <w:tcPr>
            <w:tcW w:w="0" w:type="dxa"/>
            <w:vAlign w:val="bottom"/>
          </w:tcPr>
          <w:p>
            <w:pPr>
              <w:spacing w:after="0"/>
              <w:rPr>
                <w:sz w:val="1"/>
                <w:szCs w:val="1"/>
                <w:color w:val="auto"/>
              </w:rPr>
            </w:pPr>
          </w:p>
        </w:tc>
      </w:tr>
      <w:tr>
        <w:trPr>
          <w:trHeight w:val="24"/>
        </w:trPr>
        <w:tc>
          <w:tcPr>
            <w:tcW w:w="60" w:type="dxa"/>
            <w:vAlign w:val="bottom"/>
            <w:tcBorders>
              <w:left w:val="single" w:sz="8" w:color="DD924E"/>
              <w:bottom w:val="single" w:sz="8" w:color="DD924E"/>
            </w:tcBorders>
          </w:tcPr>
          <w:p>
            <w:pPr>
              <w:spacing w:after="0"/>
              <w:rPr>
                <w:sz w:val="2"/>
                <w:szCs w:val="2"/>
                <w:color w:val="auto"/>
              </w:rPr>
            </w:pPr>
          </w:p>
        </w:tc>
        <w:tc>
          <w:tcPr>
            <w:tcW w:w="1420" w:type="dxa"/>
            <w:vAlign w:val="bottom"/>
            <w:tcBorders>
              <w:bottom w:val="single" w:sz="8" w:color="DD924E"/>
            </w:tcBorders>
          </w:tcPr>
          <w:p>
            <w:pPr>
              <w:spacing w:after="0"/>
              <w:rPr>
                <w:sz w:val="2"/>
                <w:szCs w:val="2"/>
                <w:color w:val="auto"/>
              </w:rPr>
            </w:pPr>
          </w:p>
        </w:tc>
        <w:tc>
          <w:tcPr>
            <w:tcW w:w="40" w:type="dxa"/>
            <w:vAlign w:val="bottom"/>
            <w:tcBorders>
              <w:bottom w:val="single" w:sz="8" w:color="DD924E"/>
            </w:tcBorders>
          </w:tcPr>
          <w:p>
            <w:pPr>
              <w:spacing w:after="0"/>
              <w:rPr>
                <w:sz w:val="2"/>
                <w:szCs w:val="2"/>
                <w:color w:val="auto"/>
              </w:rPr>
            </w:pPr>
          </w:p>
        </w:tc>
        <w:tc>
          <w:tcPr>
            <w:tcW w:w="60" w:type="dxa"/>
            <w:vAlign w:val="bottom"/>
            <w:tcBorders>
              <w:bottom w:val="single" w:sz="8" w:color="DD924E"/>
            </w:tcBorders>
          </w:tcPr>
          <w:p>
            <w:pPr>
              <w:spacing w:after="0"/>
              <w:rPr>
                <w:sz w:val="2"/>
                <w:szCs w:val="2"/>
                <w:color w:val="auto"/>
              </w:rPr>
            </w:pPr>
          </w:p>
        </w:tc>
        <w:tc>
          <w:tcPr>
            <w:tcW w:w="740" w:type="dxa"/>
            <w:vAlign w:val="bottom"/>
            <w:tcBorders>
              <w:bottom w:val="single" w:sz="8" w:color="DD924E"/>
            </w:tcBorders>
          </w:tcPr>
          <w:p>
            <w:pPr>
              <w:spacing w:after="0"/>
              <w:rPr>
                <w:sz w:val="2"/>
                <w:szCs w:val="2"/>
                <w:color w:val="auto"/>
              </w:rPr>
            </w:pPr>
          </w:p>
        </w:tc>
        <w:tc>
          <w:tcPr>
            <w:tcW w:w="100" w:type="dxa"/>
            <w:vAlign w:val="bottom"/>
            <w:tcBorders>
              <w:bottom w:val="single" w:sz="8" w:color="DD924E"/>
            </w:tcBorders>
          </w:tcPr>
          <w:p>
            <w:pPr>
              <w:spacing w:after="0"/>
              <w:rPr>
                <w:sz w:val="2"/>
                <w:szCs w:val="2"/>
                <w:color w:val="auto"/>
              </w:rPr>
            </w:pPr>
          </w:p>
        </w:tc>
        <w:tc>
          <w:tcPr>
            <w:tcW w:w="740" w:type="dxa"/>
            <w:vAlign w:val="bottom"/>
            <w:tcBorders>
              <w:bottom w:val="single" w:sz="8" w:color="DD924E"/>
            </w:tcBorders>
          </w:tcPr>
          <w:p>
            <w:pPr>
              <w:spacing w:after="0"/>
              <w:rPr>
                <w:sz w:val="2"/>
                <w:szCs w:val="2"/>
                <w:color w:val="auto"/>
              </w:rPr>
            </w:pPr>
          </w:p>
        </w:tc>
        <w:tc>
          <w:tcPr>
            <w:tcW w:w="120" w:type="dxa"/>
            <w:vAlign w:val="bottom"/>
            <w:tcBorders>
              <w:bottom w:val="single" w:sz="8" w:color="DD924E"/>
            </w:tcBorders>
          </w:tcPr>
          <w:p>
            <w:pPr>
              <w:spacing w:after="0"/>
              <w:rPr>
                <w:sz w:val="2"/>
                <w:szCs w:val="2"/>
                <w:color w:val="auto"/>
              </w:rPr>
            </w:pPr>
          </w:p>
        </w:tc>
        <w:tc>
          <w:tcPr>
            <w:tcW w:w="640" w:type="dxa"/>
            <w:vAlign w:val="bottom"/>
            <w:tcBorders>
              <w:bottom w:val="single" w:sz="8" w:color="DD924E"/>
            </w:tcBorders>
          </w:tcPr>
          <w:p>
            <w:pPr>
              <w:spacing w:after="0"/>
              <w:rPr>
                <w:sz w:val="2"/>
                <w:szCs w:val="2"/>
                <w:color w:val="auto"/>
              </w:rPr>
            </w:pPr>
          </w:p>
        </w:tc>
        <w:tc>
          <w:tcPr>
            <w:tcW w:w="100" w:type="dxa"/>
            <w:vAlign w:val="bottom"/>
            <w:tcBorders>
              <w:bottom w:val="single" w:sz="8" w:color="DD924E"/>
            </w:tcBorders>
          </w:tcPr>
          <w:p>
            <w:pPr>
              <w:spacing w:after="0"/>
              <w:rPr>
                <w:sz w:val="2"/>
                <w:szCs w:val="2"/>
                <w:color w:val="auto"/>
              </w:rPr>
            </w:pPr>
          </w:p>
        </w:tc>
        <w:tc>
          <w:tcPr>
            <w:tcW w:w="100" w:type="dxa"/>
            <w:vAlign w:val="bottom"/>
            <w:tcBorders>
              <w:bottom w:val="single" w:sz="8" w:color="DD924E"/>
            </w:tcBorders>
          </w:tcPr>
          <w:p>
            <w:pPr>
              <w:spacing w:after="0"/>
              <w:rPr>
                <w:sz w:val="2"/>
                <w:szCs w:val="2"/>
                <w:color w:val="auto"/>
              </w:rPr>
            </w:pPr>
          </w:p>
        </w:tc>
        <w:tc>
          <w:tcPr>
            <w:tcW w:w="760" w:type="dxa"/>
            <w:vAlign w:val="bottom"/>
            <w:tcBorders>
              <w:bottom w:val="single" w:sz="8" w:color="DD924E"/>
            </w:tcBorders>
          </w:tcPr>
          <w:p>
            <w:pPr>
              <w:spacing w:after="0"/>
              <w:rPr>
                <w:sz w:val="2"/>
                <w:szCs w:val="2"/>
                <w:color w:val="auto"/>
              </w:rPr>
            </w:pPr>
          </w:p>
        </w:tc>
        <w:tc>
          <w:tcPr>
            <w:tcW w:w="100" w:type="dxa"/>
            <w:vAlign w:val="bottom"/>
            <w:tcBorders>
              <w:bottom w:val="single" w:sz="8" w:color="DD924E"/>
            </w:tcBorders>
          </w:tcPr>
          <w:p>
            <w:pPr>
              <w:spacing w:after="0"/>
              <w:rPr>
                <w:sz w:val="2"/>
                <w:szCs w:val="2"/>
                <w:color w:val="auto"/>
              </w:rPr>
            </w:pPr>
          </w:p>
        </w:tc>
        <w:tc>
          <w:tcPr>
            <w:tcW w:w="740" w:type="dxa"/>
            <w:vAlign w:val="bottom"/>
            <w:tcBorders>
              <w:bottom w:val="single" w:sz="8" w:color="DD924E"/>
            </w:tcBorders>
          </w:tcPr>
          <w:p>
            <w:pPr>
              <w:spacing w:after="0"/>
              <w:rPr>
                <w:sz w:val="2"/>
                <w:szCs w:val="2"/>
                <w:color w:val="auto"/>
              </w:rPr>
            </w:pPr>
          </w:p>
        </w:tc>
        <w:tc>
          <w:tcPr>
            <w:tcW w:w="100" w:type="dxa"/>
            <w:vAlign w:val="bottom"/>
            <w:tcBorders>
              <w:bottom w:val="single" w:sz="8" w:color="DD924E"/>
            </w:tcBorders>
          </w:tcPr>
          <w:p>
            <w:pPr>
              <w:spacing w:after="0"/>
              <w:rPr>
                <w:sz w:val="2"/>
                <w:szCs w:val="2"/>
                <w:color w:val="auto"/>
              </w:rPr>
            </w:pPr>
          </w:p>
        </w:tc>
        <w:tc>
          <w:tcPr>
            <w:tcW w:w="620" w:type="dxa"/>
            <w:vAlign w:val="bottom"/>
            <w:tcBorders>
              <w:bottom w:val="single" w:sz="8" w:color="DD924E"/>
            </w:tcBorders>
          </w:tcPr>
          <w:p>
            <w:pPr>
              <w:spacing w:after="0"/>
              <w:rPr>
                <w:sz w:val="2"/>
                <w:szCs w:val="2"/>
                <w:color w:val="auto"/>
              </w:rPr>
            </w:pPr>
          </w:p>
        </w:tc>
        <w:tc>
          <w:tcPr>
            <w:tcW w:w="160" w:type="dxa"/>
            <w:vAlign w:val="bottom"/>
            <w:tcBorders>
              <w:bottom w:val="single" w:sz="8" w:color="DD924E"/>
            </w:tcBorders>
          </w:tcPr>
          <w:p>
            <w:pPr>
              <w:spacing w:after="0"/>
              <w:rPr>
                <w:sz w:val="2"/>
                <w:szCs w:val="2"/>
                <w:color w:val="auto"/>
              </w:rPr>
            </w:pPr>
          </w:p>
        </w:tc>
        <w:tc>
          <w:tcPr>
            <w:tcW w:w="100" w:type="dxa"/>
            <w:vAlign w:val="bottom"/>
            <w:tcBorders>
              <w:bottom w:val="single" w:sz="8" w:color="DD924E"/>
            </w:tcBorders>
          </w:tcPr>
          <w:p>
            <w:pPr>
              <w:spacing w:after="0"/>
              <w:rPr>
                <w:sz w:val="2"/>
                <w:szCs w:val="2"/>
                <w:color w:val="auto"/>
              </w:rPr>
            </w:pPr>
          </w:p>
        </w:tc>
        <w:tc>
          <w:tcPr>
            <w:tcW w:w="780" w:type="dxa"/>
            <w:vAlign w:val="bottom"/>
            <w:tcBorders>
              <w:bottom w:val="single" w:sz="8" w:color="DD924E"/>
            </w:tcBorders>
          </w:tcPr>
          <w:p>
            <w:pPr>
              <w:spacing w:after="0"/>
              <w:rPr>
                <w:sz w:val="2"/>
                <w:szCs w:val="2"/>
                <w:color w:val="auto"/>
              </w:rPr>
            </w:pPr>
          </w:p>
        </w:tc>
        <w:tc>
          <w:tcPr>
            <w:tcW w:w="40" w:type="dxa"/>
            <w:vAlign w:val="bottom"/>
            <w:tcBorders>
              <w:bottom w:val="single" w:sz="8" w:color="DD924E"/>
            </w:tcBorders>
          </w:tcPr>
          <w:p>
            <w:pPr>
              <w:spacing w:after="0"/>
              <w:rPr>
                <w:sz w:val="2"/>
                <w:szCs w:val="2"/>
                <w:color w:val="auto"/>
              </w:rPr>
            </w:pPr>
          </w:p>
        </w:tc>
        <w:tc>
          <w:tcPr>
            <w:tcW w:w="60" w:type="dxa"/>
            <w:vAlign w:val="bottom"/>
            <w:tcBorders>
              <w:bottom w:val="single" w:sz="8" w:color="DD924E"/>
            </w:tcBorders>
          </w:tcPr>
          <w:p>
            <w:pPr>
              <w:spacing w:after="0"/>
              <w:rPr>
                <w:sz w:val="2"/>
                <w:szCs w:val="2"/>
                <w:color w:val="auto"/>
              </w:rPr>
            </w:pPr>
          </w:p>
        </w:tc>
        <w:tc>
          <w:tcPr>
            <w:tcW w:w="760" w:type="dxa"/>
            <w:vAlign w:val="bottom"/>
            <w:tcBorders>
              <w:bottom w:val="single" w:sz="8" w:color="DD924E"/>
            </w:tcBorders>
          </w:tcPr>
          <w:p>
            <w:pPr>
              <w:spacing w:after="0"/>
              <w:rPr>
                <w:sz w:val="2"/>
                <w:szCs w:val="2"/>
                <w:color w:val="auto"/>
              </w:rPr>
            </w:pPr>
          </w:p>
        </w:tc>
        <w:tc>
          <w:tcPr>
            <w:tcW w:w="120" w:type="dxa"/>
            <w:vAlign w:val="bottom"/>
            <w:tcBorders>
              <w:bottom w:val="single" w:sz="8" w:color="DD924E"/>
            </w:tcBorders>
          </w:tcPr>
          <w:p>
            <w:pPr>
              <w:spacing w:after="0"/>
              <w:rPr>
                <w:sz w:val="2"/>
                <w:szCs w:val="2"/>
                <w:color w:val="auto"/>
              </w:rPr>
            </w:pPr>
          </w:p>
        </w:tc>
        <w:tc>
          <w:tcPr>
            <w:tcW w:w="100" w:type="dxa"/>
            <w:vAlign w:val="bottom"/>
            <w:tcBorders>
              <w:bottom w:val="single" w:sz="8" w:color="DD924E"/>
            </w:tcBorders>
          </w:tcPr>
          <w:p>
            <w:pPr>
              <w:spacing w:after="0"/>
              <w:rPr>
                <w:sz w:val="2"/>
                <w:szCs w:val="2"/>
                <w:color w:val="auto"/>
              </w:rPr>
            </w:pPr>
          </w:p>
        </w:tc>
        <w:tc>
          <w:tcPr>
            <w:tcW w:w="780" w:type="dxa"/>
            <w:vAlign w:val="bottom"/>
            <w:tcBorders>
              <w:bottom w:val="single" w:sz="8" w:color="DD924E"/>
              <w:right w:val="single" w:sz="8" w:color="DD924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-2897505</wp:posOffset>
            </wp:positionV>
            <wp:extent cx="47790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79010" cy="825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121920</wp:posOffset>
            </wp:positionV>
            <wp:extent cx="12865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261" w:lineRule="exact"/>
        <w:rPr>
          <w:sz w:val="20"/>
          <w:szCs w:val="20"/>
          <w:color w:val="auto"/>
        </w:rPr>
      </w:pPr>
    </w:p>
    <w:p>
      <w:pPr>
        <w:jc w:val="both"/>
        <w:ind w:left="840" w:right="540" w:hanging="345"/>
        <w:spacing w:after="0" w:line="241" w:lineRule="auto"/>
        <w:tabs>
          <w:tab w:leader="none" w:pos="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These amounts reflect the target and maximum cash incentive bonuses set for 2017. For details of our annual incentive bonus program, see “Compensation Discussion and Analysis – Incentive Bonus” beginning on page 39.</w:t>
      </w:r>
    </w:p>
    <w:p>
      <w:pPr>
        <w:spacing w:after="0" w:line="116" w:lineRule="exact"/>
        <w:rPr>
          <w:rFonts w:ascii="Arial" w:cs="Arial" w:eastAsia="Arial" w:hAnsi="Arial"/>
          <w:sz w:val="17"/>
          <w:szCs w:val="17"/>
          <w:color w:val="auto"/>
        </w:rPr>
      </w:pPr>
    </w:p>
    <w:p>
      <w:pPr>
        <w:ind w:left="840" w:right="560" w:hanging="345"/>
        <w:spacing w:after="0" w:line="247" w:lineRule="auto"/>
        <w:tabs>
          <w:tab w:leader="none" w:pos="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Represents annual awards of Revenue-Linked PRSUs granted under the 2015 Plan, subject to the vesting set forth in footnote 6.</w:t>
      </w:r>
    </w:p>
    <w:p>
      <w:pPr>
        <w:spacing w:after="0" w:line="123" w:lineRule="exact"/>
        <w:rPr>
          <w:rFonts w:ascii="Arial" w:cs="Arial" w:eastAsia="Arial" w:hAnsi="Arial"/>
          <w:sz w:val="17"/>
          <w:szCs w:val="17"/>
          <w:color w:val="auto"/>
        </w:rPr>
      </w:pPr>
    </w:p>
    <w:p>
      <w:pPr>
        <w:ind w:left="840" w:right="560" w:hanging="345"/>
        <w:spacing w:after="0" w:line="247" w:lineRule="auto"/>
        <w:tabs>
          <w:tab w:leader="none" w:pos="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Represents annual awards of Relative TSR-Linked PRSUs granted under the 2015 Plan, subject to the vesting set forth in footnote 6.</w:t>
      </w:r>
    </w:p>
    <w:p>
      <w:pPr>
        <w:spacing w:after="0" w:line="123" w:lineRule="exact"/>
        <w:rPr>
          <w:rFonts w:ascii="Arial" w:cs="Arial" w:eastAsia="Arial" w:hAnsi="Arial"/>
          <w:sz w:val="17"/>
          <w:szCs w:val="17"/>
          <w:color w:val="auto"/>
        </w:rPr>
      </w:pPr>
    </w:p>
    <w:p>
      <w:pPr>
        <w:ind w:left="840" w:right="540" w:hanging="345"/>
        <w:spacing w:after="0" w:line="247" w:lineRule="auto"/>
        <w:tabs>
          <w:tab w:leader="none" w:pos="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Represents annual awards of restricted stock units granted under the 2015 Plan, subject to the vesting set forth in footnote 6.</w:t>
      </w:r>
    </w:p>
    <w:p>
      <w:pPr>
        <w:spacing w:after="0" w:line="110" w:lineRule="exact"/>
        <w:rPr>
          <w:rFonts w:ascii="Arial" w:cs="Arial" w:eastAsia="Arial" w:hAnsi="Arial"/>
          <w:sz w:val="17"/>
          <w:szCs w:val="17"/>
          <w:color w:val="auto"/>
        </w:rPr>
      </w:pPr>
    </w:p>
    <w:p>
      <w:pPr>
        <w:ind w:left="840" w:right="540" w:hanging="345"/>
        <w:spacing w:after="0" w:line="247" w:lineRule="auto"/>
        <w:tabs>
          <w:tab w:leader="none" w:pos="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grant date fair value of the estimated future payouts for the Relative TSR-Linked PRSUs are based on the Monte Carlo value.</w:t>
      </w:r>
    </w:p>
    <w:p>
      <w:pPr>
        <w:sectPr>
          <w:pgSz w:w="11900" w:h="16838" w:orient="portrait"/>
          <w:cols w:equalWidth="0" w:num="1">
            <w:col w:w="9500"/>
          </w:cols>
          <w:pgMar w:left="1440" w:top="1440"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500"/>
          </w:cols>
          <w:pgMar w:left="1440" w:top="1440" w:right="959" w:bottom="1440" w:gutter="0" w:footer="0" w:header="0"/>
          <w:type w:val="continuous"/>
        </w:sectPr>
      </w:pPr>
    </w:p>
    <w:bookmarkStart w:id="53" w:name="page54"/>
    <w:bookmarkEnd w:id="53"/>
    <w:p>
      <w:pPr>
        <w:spacing w:after="0" w:line="58" w:lineRule="exact"/>
        <w:rPr>
          <w:sz w:val="20"/>
          <w:szCs w:val="20"/>
          <w:color w:val="auto"/>
        </w:rPr>
      </w:pPr>
    </w:p>
    <w:p>
      <w:pPr>
        <w:ind w:left="840" w:right="59" w:hanging="345"/>
        <w:spacing w:after="0" w:line="247" w:lineRule="auto"/>
        <w:tabs>
          <w:tab w:leader="none" w:pos="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vesting schedules of the stock grants mentioned in the table are as follows for each named executive officer (subject to continued employment through each applicable vesting date):</w:t>
      </w:r>
    </w:p>
    <w:p>
      <w:pPr>
        <w:spacing w:after="0" w:line="111" w:lineRule="exact"/>
        <w:rPr>
          <w:sz w:val="20"/>
          <w:szCs w:val="20"/>
          <w:color w:val="auto"/>
        </w:rPr>
      </w:pPr>
    </w:p>
    <w:tbl>
      <w:tblPr>
        <w:tblLayout w:type="fixed"/>
        <w:tblInd w:w="830" w:type="dxa"/>
        <w:tblCellMar>
          <w:top w:w="0" w:type="dxa"/>
          <w:left w:w="0" w:type="dxa"/>
          <w:bottom w:w="0" w:type="dxa"/>
          <w:right w:w="0" w:type="dxa"/>
        </w:tblCellMar>
      </w:tblPr>
      <w:tr>
        <w:trPr>
          <w:trHeight w:val="211"/>
        </w:trPr>
        <w:tc>
          <w:tcPr>
            <w:tcW w:w="80" w:type="dxa"/>
            <w:vAlign w:val="bottom"/>
            <w:tcBorders>
              <w:left w:val="single" w:sz="8" w:color="DD924E"/>
              <w:bottom w:val="single" w:sz="8" w:color="DD924E"/>
            </w:tcBorders>
            <w:shd w:val="clear" w:color="auto" w:fill="DD924E"/>
          </w:tcPr>
          <w:p>
            <w:pPr>
              <w:spacing w:after="0"/>
              <w:rPr>
                <w:sz w:val="18"/>
                <w:szCs w:val="18"/>
                <w:color w:val="auto"/>
              </w:rPr>
            </w:pPr>
          </w:p>
        </w:tc>
        <w:tc>
          <w:tcPr>
            <w:tcW w:w="1000" w:type="dxa"/>
            <w:vAlign w:val="bottom"/>
            <w:tcBorders>
              <w:bottom w:val="single" w:sz="8" w:color="auto"/>
            </w:tcBorders>
            <w:shd w:val="clear" w:color="auto" w:fill="DD924E"/>
          </w:tcPr>
          <w:p>
            <w:pPr>
              <w:ind w:left="160"/>
              <w:spacing w:after="0"/>
              <w:rPr>
                <w:sz w:val="20"/>
                <w:szCs w:val="20"/>
                <w:color w:val="auto"/>
              </w:rPr>
            </w:pPr>
            <w:r>
              <w:rPr>
                <w:rFonts w:ascii="Arial" w:cs="Arial" w:eastAsia="Arial" w:hAnsi="Arial"/>
                <w:sz w:val="14"/>
                <w:szCs w:val="14"/>
                <w:b w:val="1"/>
                <w:bCs w:val="1"/>
                <w:color w:val="FFFFFF"/>
              </w:rPr>
              <w:t>Grant Date</w:t>
            </w:r>
          </w:p>
        </w:tc>
        <w:tc>
          <w:tcPr>
            <w:tcW w:w="100" w:type="dxa"/>
            <w:vAlign w:val="bottom"/>
            <w:tcBorders>
              <w:bottom w:val="single" w:sz="8" w:color="DD924E"/>
            </w:tcBorders>
            <w:shd w:val="clear" w:color="auto" w:fill="DD924E"/>
          </w:tcPr>
          <w:p>
            <w:pPr>
              <w:spacing w:after="0"/>
              <w:rPr>
                <w:sz w:val="18"/>
                <w:szCs w:val="18"/>
                <w:color w:val="auto"/>
              </w:rPr>
            </w:pPr>
          </w:p>
        </w:tc>
        <w:tc>
          <w:tcPr>
            <w:tcW w:w="182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6"/>
              </w:rPr>
              <w:t>Vesting Start Date</w:t>
            </w:r>
          </w:p>
        </w:tc>
        <w:tc>
          <w:tcPr>
            <w:tcW w:w="120" w:type="dxa"/>
            <w:vAlign w:val="bottom"/>
            <w:tcBorders>
              <w:bottom w:val="single" w:sz="8" w:color="DD924E"/>
            </w:tcBorders>
            <w:shd w:val="clear" w:color="auto" w:fill="DD924E"/>
          </w:tcPr>
          <w:p>
            <w:pPr>
              <w:spacing w:after="0"/>
              <w:rPr>
                <w:sz w:val="18"/>
                <w:szCs w:val="18"/>
                <w:color w:val="auto"/>
              </w:rPr>
            </w:pPr>
          </w:p>
        </w:tc>
        <w:tc>
          <w:tcPr>
            <w:tcW w:w="4940" w:type="dxa"/>
            <w:vAlign w:val="bottom"/>
            <w:tcBorders>
              <w:bottom w:val="single" w:sz="8" w:color="auto"/>
            </w:tcBorders>
            <w:shd w:val="clear" w:color="auto" w:fill="DD924E"/>
          </w:tcPr>
          <w:p>
            <w:pPr>
              <w:ind w:left="1900"/>
              <w:spacing w:after="0"/>
              <w:rPr>
                <w:sz w:val="20"/>
                <w:szCs w:val="20"/>
                <w:color w:val="auto"/>
              </w:rPr>
            </w:pPr>
            <w:r>
              <w:rPr>
                <w:rFonts w:ascii="Arial" w:cs="Arial" w:eastAsia="Arial" w:hAnsi="Arial"/>
                <w:sz w:val="14"/>
                <w:szCs w:val="14"/>
                <w:b w:val="1"/>
                <w:bCs w:val="1"/>
                <w:color w:val="FFFFFF"/>
              </w:rPr>
              <w:t>Vesting Schedule</w:t>
            </w:r>
          </w:p>
        </w:tc>
        <w:tc>
          <w:tcPr>
            <w:tcW w:w="80" w:type="dxa"/>
            <w:vAlign w:val="bottom"/>
            <w:tcBorders>
              <w:bottom w:val="single" w:sz="8" w:color="DD924E"/>
              <w:right w:val="single" w:sz="8" w:color="DD924E"/>
            </w:tcBorders>
            <w:shd w:val="clear" w:color="auto" w:fill="DD924E"/>
          </w:tcPr>
          <w:p>
            <w:pPr>
              <w:spacing w:after="0"/>
              <w:rPr>
                <w:sz w:val="18"/>
                <w:szCs w:val="18"/>
                <w:color w:val="auto"/>
              </w:rPr>
            </w:pPr>
          </w:p>
        </w:tc>
      </w:tr>
      <w:tr>
        <w:trPr>
          <w:trHeight w:val="231"/>
        </w:trPr>
        <w:tc>
          <w:tcPr>
            <w:tcW w:w="1080" w:type="dxa"/>
            <w:vAlign w:val="bottom"/>
            <w:tcBorders>
              <w:left w:val="single" w:sz="8" w:color="DD924E"/>
            </w:tcBorders>
            <w:gridSpan w:val="2"/>
            <w:shd w:val="clear" w:color="auto" w:fill="FBF4ED"/>
          </w:tcPr>
          <w:p>
            <w:pPr>
              <w:ind w:left="240"/>
              <w:spacing w:after="0"/>
              <w:rPr>
                <w:sz w:val="20"/>
                <w:szCs w:val="20"/>
                <w:color w:val="auto"/>
              </w:rPr>
            </w:pPr>
            <w:r>
              <w:rPr>
                <w:rFonts w:ascii="Arial" w:cs="Arial" w:eastAsia="Arial" w:hAnsi="Arial"/>
                <w:sz w:val="15"/>
                <w:szCs w:val="15"/>
                <w:b w:val="1"/>
                <w:bCs w:val="1"/>
                <w:color w:val="auto"/>
              </w:rPr>
              <w:t>2/23/2017</w:t>
            </w:r>
          </w:p>
        </w:tc>
        <w:tc>
          <w:tcPr>
            <w:tcW w:w="1920" w:type="dxa"/>
            <w:vAlign w:val="bottom"/>
            <w:gridSpan w:val="2"/>
            <w:shd w:val="clear" w:color="auto" w:fill="FBF4ED"/>
          </w:tcPr>
          <w:p>
            <w:pPr>
              <w:jc w:val="center"/>
              <w:ind w:left="43"/>
              <w:spacing w:after="0"/>
              <w:rPr>
                <w:sz w:val="20"/>
                <w:szCs w:val="20"/>
                <w:color w:val="auto"/>
              </w:rPr>
            </w:pPr>
            <w:r>
              <w:rPr>
                <w:rFonts w:ascii="Arial" w:cs="Arial" w:eastAsia="Arial" w:hAnsi="Arial"/>
                <w:sz w:val="15"/>
                <w:szCs w:val="15"/>
                <w:color w:val="auto"/>
              </w:rPr>
              <w:t>2/23/2017</w:t>
            </w:r>
          </w:p>
        </w:tc>
        <w:tc>
          <w:tcPr>
            <w:tcW w:w="120" w:type="dxa"/>
            <w:vAlign w:val="bottom"/>
            <w:shd w:val="clear" w:color="auto" w:fill="FBF4ED"/>
          </w:tcPr>
          <w:p>
            <w:pPr>
              <w:spacing w:after="0"/>
              <w:rPr>
                <w:sz w:val="20"/>
                <w:szCs w:val="20"/>
                <w:color w:val="auto"/>
              </w:rPr>
            </w:pPr>
          </w:p>
        </w:tc>
        <w:tc>
          <w:tcPr>
            <w:tcW w:w="5020" w:type="dxa"/>
            <w:vAlign w:val="bottom"/>
            <w:tcBorders>
              <w:right w:val="single" w:sz="8" w:color="DD924E"/>
            </w:tcBorders>
            <w:gridSpan w:val="2"/>
            <w:shd w:val="clear" w:color="auto" w:fill="FBF4ED"/>
          </w:tcPr>
          <w:p>
            <w:pPr>
              <w:spacing w:after="0"/>
              <w:rPr>
                <w:sz w:val="20"/>
                <w:szCs w:val="20"/>
                <w:color w:val="auto"/>
              </w:rPr>
            </w:pPr>
            <w:r>
              <w:rPr>
                <w:rFonts w:ascii="Arial" w:cs="Arial" w:eastAsia="Arial" w:hAnsi="Arial"/>
                <w:sz w:val="15"/>
                <w:szCs w:val="15"/>
                <w:color w:val="auto"/>
              </w:rPr>
              <w:t>Revenue Linked PRSUs: 100% vesting on 12/31/2019</w:t>
            </w:r>
          </w:p>
        </w:tc>
      </w:tr>
      <w:tr>
        <w:trPr>
          <w:trHeight w:val="222"/>
        </w:trPr>
        <w:tc>
          <w:tcPr>
            <w:tcW w:w="1080" w:type="dxa"/>
            <w:vAlign w:val="bottom"/>
            <w:tcBorders>
              <w:left w:val="single" w:sz="8" w:color="DD924E"/>
            </w:tcBorders>
            <w:gridSpan w:val="2"/>
          </w:tcPr>
          <w:p>
            <w:pPr>
              <w:ind w:left="240"/>
              <w:spacing w:after="0"/>
              <w:rPr>
                <w:sz w:val="20"/>
                <w:szCs w:val="20"/>
                <w:color w:val="auto"/>
              </w:rPr>
            </w:pPr>
            <w:r>
              <w:rPr>
                <w:rFonts w:ascii="Arial" w:cs="Arial" w:eastAsia="Arial" w:hAnsi="Arial"/>
                <w:sz w:val="15"/>
                <w:szCs w:val="15"/>
                <w:b w:val="1"/>
                <w:bCs w:val="1"/>
                <w:color w:val="auto"/>
              </w:rPr>
              <w:t>2/23/2017</w:t>
            </w:r>
          </w:p>
        </w:tc>
        <w:tc>
          <w:tcPr>
            <w:tcW w:w="1920" w:type="dxa"/>
            <w:vAlign w:val="bottom"/>
            <w:gridSpan w:val="2"/>
          </w:tcPr>
          <w:p>
            <w:pPr>
              <w:jc w:val="center"/>
              <w:ind w:left="43"/>
              <w:spacing w:after="0"/>
              <w:rPr>
                <w:sz w:val="20"/>
                <w:szCs w:val="20"/>
                <w:color w:val="auto"/>
              </w:rPr>
            </w:pPr>
            <w:r>
              <w:rPr>
                <w:rFonts w:ascii="Arial" w:cs="Arial" w:eastAsia="Arial" w:hAnsi="Arial"/>
                <w:sz w:val="15"/>
                <w:szCs w:val="15"/>
                <w:color w:val="auto"/>
              </w:rPr>
              <w:t>2/23/2017</w:t>
            </w:r>
          </w:p>
        </w:tc>
        <w:tc>
          <w:tcPr>
            <w:tcW w:w="120" w:type="dxa"/>
            <w:vAlign w:val="bottom"/>
          </w:tcPr>
          <w:p>
            <w:pPr>
              <w:spacing w:after="0"/>
              <w:rPr>
                <w:sz w:val="19"/>
                <w:szCs w:val="19"/>
                <w:color w:val="auto"/>
              </w:rPr>
            </w:pPr>
          </w:p>
        </w:tc>
        <w:tc>
          <w:tcPr>
            <w:tcW w:w="5020" w:type="dxa"/>
            <w:vAlign w:val="bottom"/>
            <w:tcBorders>
              <w:right w:val="single" w:sz="8" w:color="DD924E"/>
            </w:tcBorders>
            <w:gridSpan w:val="2"/>
          </w:tcPr>
          <w:p>
            <w:pPr>
              <w:spacing w:after="0"/>
              <w:rPr>
                <w:sz w:val="20"/>
                <w:szCs w:val="20"/>
                <w:color w:val="auto"/>
              </w:rPr>
            </w:pPr>
            <w:r>
              <w:rPr>
                <w:rFonts w:ascii="Arial" w:cs="Arial" w:eastAsia="Arial" w:hAnsi="Arial"/>
                <w:sz w:val="15"/>
                <w:szCs w:val="15"/>
                <w:color w:val="auto"/>
              </w:rPr>
              <w:t>Relative TSR-Linked PRSUs: 100% vesting on 12/31/2019</w:t>
            </w:r>
          </w:p>
        </w:tc>
      </w:tr>
      <w:tr>
        <w:trPr>
          <w:trHeight w:val="233"/>
        </w:trPr>
        <w:tc>
          <w:tcPr>
            <w:tcW w:w="1080" w:type="dxa"/>
            <w:vAlign w:val="bottom"/>
            <w:tcBorders>
              <w:left w:val="single" w:sz="8" w:color="DD924E"/>
              <w:bottom w:val="single" w:sz="8" w:color="DD924E"/>
            </w:tcBorders>
            <w:gridSpan w:val="2"/>
            <w:shd w:val="clear" w:color="auto" w:fill="FBF4ED"/>
          </w:tcPr>
          <w:p>
            <w:pPr>
              <w:ind w:left="240"/>
              <w:spacing w:after="0"/>
              <w:rPr>
                <w:sz w:val="20"/>
                <w:szCs w:val="20"/>
                <w:color w:val="auto"/>
              </w:rPr>
            </w:pPr>
            <w:r>
              <w:rPr>
                <w:rFonts w:ascii="Arial" w:cs="Arial" w:eastAsia="Arial" w:hAnsi="Arial"/>
                <w:sz w:val="15"/>
                <w:szCs w:val="15"/>
                <w:b w:val="1"/>
                <w:bCs w:val="1"/>
                <w:color w:val="auto"/>
              </w:rPr>
              <w:t>2/23/2017</w:t>
            </w:r>
          </w:p>
        </w:tc>
        <w:tc>
          <w:tcPr>
            <w:tcW w:w="1920" w:type="dxa"/>
            <w:vAlign w:val="bottom"/>
            <w:tcBorders>
              <w:bottom w:val="single" w:sz="8" w:color="DD924E"/>
            </w:tcBorders>
            <w:gridSpan w:val="2"/>
            <w:shd w:val="clear" w:color="auto" w:fill="FBF4ED"/>
          </w:tcPr>
          <w:p>
            <w:pPr>
              <w:jc w:val="center"/>
              <w:ind w:left="43"/>
              <w:spacing w:after="0"/>
              <w:rPr>
                <w:sz w:val="20"/>
                <w:szCs w:val="20"/>
                <w:color w:val="auto"/>
              </w:rPr>
            </w:pPr>
            <w:r>
              <w:rPr>
                <w:rFonts w:ascii="Arial" w:cs="Arial" w:eastAsia="Arial" w:hAnsi="Arial"/>
                <w:sz w:val="15"/>
                <w:szCs w:val="15"/>
                <w:color w:val="auto"/>
              </w:rPr>
              <w:t>2/23/2017</w:t>
            </w:r>
          </w:p>
        </w:tc>
        <w:tc>
          <w:tcPr>
            <w:tcW w:w="120" w:type="dxa"/>
            <w:vAlign w:val="bottom"/>
            <w:tcBorders>
              <w:bottom w:val="single" w:sz="8" w:color="DD924E"/>
            </w:tcBorders>
            <w:shd w:val="clear" w:color="auto" w:fill="FBF4ED"/>
          </w:tcPr>
          <w:p>
            <w:pPr>
              <w:spacing w:after="0"/>
              <w:rPr>
                <w:sz w:val="20"/>
                <w:szCs w:val="20"/>
                <w:color w:val="auto"/>
              </w:rPr>
            </w:pPr>
          </w:p>
        </w:tc>
        <w:tc>
          <w:tcPr>
            <w:tcW w:w="5020" w:type="dxa"/>
            <w:vAlign w:val="bottom"/>
            <w:tcBorders>
              <w:bottom w:val="single" w:sz="8" w:color="DD924E"/>
              <w:right w:val="single" w:sz="8" w:color="DD924E"/>
            </w:tcBorders>
            <w:gridSpan w:val="2"/>
            <w:shd w:val="clear" w:color="auto" w:fill="FBF4ED"/>
          </w:tcPr>
          <w:p>
            <w:pPr>
              <w:spacing w:after="0"/>
              <w:rPr>
                <w:sz w:val="20"/>
                <w:szCs w:val="20"/>
                <w:color w:val="auto"/>
              </w:rPr>
            </w:pPr>
            <w:r>
              <w:rPr>
                <w:rFonts w:ascii="Arial" w:cs="Arial" w:eastAsia="Arial" w:hAnsi="Arial"/>
                <w:sz w:val="15"/>
                <w:szCs w:val="15"/>
                <w:color w:val="auto"/>
              </w:rPr>
              <w:t>Restricted Stock Units: Vesting over 4 years – 25% each year</w:t>
            </w:r>
          </w:p>
        </w:tc>
      </w:tr>
    </w:tbl>
    <w:p>
      <w:pPr>
        <w:spacing w:after="0" w:line="10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Employment Agreements</w:t>
      </w:r>
    </w:p>
    <w:p>
      <w:pPr>
        <w:spacing w:after="0" w:line="162"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In addition to the terms described below, the employment and severance agreements for each of our named executive officers include severance, termination and/or noncompetition provisions which are described below under “Potential Payments upon Termination or Change in Control at Fiscal 2017 Year-End” beginning on page 55.</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Rohit Kapoor</w:t>
      </w:r>
    </w:p>
    <w:p>
      <w:pPr>
        <w:spacing w:after="0" w:line="30"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Mr. Kapoor serves as our Vice Chairman and CEO, and is based at our executive offices in New York, New York. Our engagement of Mr. Kapoor has been under the terms of employment agreements for over twelve years. His fiscal year 2017 compensation was paid under an employment agreement dated April 29, 2015. That employment agreement provided for an initial term from January 1, 2015 until December 31, 2017, and automatically renewed for successive one-year periods unless terminated with 120 days prior notice. As noted above, we entered into an amended and restated employment agreement with Mr. Kapoor in September 2017 that became effective January 1, 2018. The description in this section relates to Mr. Kapoor’s prior employment agreement, as was in effect during the entirety of our 2017 fiscal year.</w:t>
      </w:r>
    </w:p>
    <w:p>
      <w:pPr>
        <w:spacing w:after="0" w:line="114"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b w:val="1"/>
          <w:bCs w:val="1"/>
          <w:i w:val="1"/>
          <w:iCs w:val="1"/>
          <w:color w:val="auto"/>
        </w:rPr>
        <w:t xml:space="preserve">Salary, Bonus and Equity. </w:t>
      </w:r>
      <w:r>
        <w:rPr>
          <w:rFonts w:ascii="Arial" w:cs="Arial" w:eastAsia="Arial" w:hAnsi="Arial"/>
          <w:sz w:val="17"/>
          <w:szCs w:val="17"/>
          <w:color w:val="auto"/>
        </w:rPr>
        <w:t>Mr. Kapoor’s base salary remained at $620,000, effective April 1, 2017. Mr. Kapoor’s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 salary can be increased at our sole discretion and cannot be decreased unless a Company-wide decrease in pay is implemented. Mr. Kapoor can earn an annual cash bonus, with a target of 100% of base salary and a maximum of 200% of base salary, based upon the attainment of performance criteria determined by our Compensation Committee. Mr. Kapoor remains eligible to receive equity-based awards annually during the term, in amounts and forms determined by the Compensation Committee, but with vesting terms no less favorable than ratable vesting over four years from the date of grant.</w:t>
      </w:r>
    </w:p>
    <w:p>
      <w:pPr>
        <w:spacing w:after="0" w:line="132"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Pursuant to the terms of our 2006 Plan, Mr. Kapoor received a Stock Price Performance Award in the second quarter of 2015 that he may earn based on the Company’s average stock price exceeding certain targets during the 60 day period prior to December 31, 2017 and contingent upon his continuous service through that date.</w:t>
      </w:r>
    </w:p>
    <w:p>
      <w:pPr>
        <w:spacing w:after="0" w:line="96" w:lineRule="exact"/>
        <w:rPr>
          <w:sz w:val="20"/>
          <w:szCs w:val="20"/>
          <w:color w:val="auto"/>
        </w:rPr>
      </w:pPr>
    </w:p>
    <w:p>
      <w:pPr>
        <w:jc w:val="both"/>
        <w:ind w:left="160" w:right="59"/>
        <w:spacing w:after="0" w:line="256" w:lineRule="auto"/>
        <w:rPr>
          <w:sz w:val="20"/>
          <w:szCs w:val="20"/>
          <w:color w:val="auto"/>
        </w:rPr>
      </w:pPr>
      <w:r>
        <w:rPr>
          <w:rFonts w:ascii="Arial" w:cs="Arial" w:eastAsia="Arial" w:hAnsi="Arial"/>
          <w:sz w:val="17"/>
          <w:szCs w:val="17"/>
          <w:b w:val="1"/>
          <w:bCs w:val="1"/>
          <w:i w:val="1"/>
          <w:iCs w:val="1"/>
          <w:color w:val="auto"/>
        </w:rPr>
        <w:t xml:space="preserve">Personal Benefits. </w:t>
      </w:r>
      <w:r>
        <w:rPr>
          <w:rFonts w:ascii="Arial" w:cs="Arial" w:eastAsia="Arial" w:hAnsi="Arial"/>
          <w:sz w:val="17"/>
          <w:szCs w:val="17"/>
          <w:color w:val="auto"/>
        </w:rPr>
        <w:t>We provide Mr. Kapoor with certain personal benefits, including certain club memberships, 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life insurance policy (with a face value of $500,000), once-a-year business class airfare between the United States and India for the executive and his family, up to $12,000 for personal tax and estate planning expenses, up to $1,400 per month car allowance, up to $12,000 per year for expenses associated with maintaining an automobile in India (including cost of a driver), personal security for the executive and his family while in India, reimbursement for first-class business travel, and a per diem allowance for certain trips. In addition, his employment agreement entitles him to certain other benefits in the event he is relocated to India, but which are not applicable currently as he maintains a U.S. residency.</w:t>
      </w:r>
    </w:p>
    <w:p>
      <w:pPr>
        <w:spacing w:after="0" w:line="134" w:lineRule="exact"/>
        <w:rPr>
          <w:sz w:val="20"/>
          <w:szCs w:val="20"/>
          <w:color w:val="auto"/>
        </w:rPr>
      </w:pPr>
    </w:p>
    <w:p>
      <w:pPr>
        <w:jc w:val="both"/>
        <w:ind w:left="160" w:right="79"/>
        <w:spacing w:after="0" w:line="257" w:lineRule="auto"/>
        <w:rPr>
          <w:sz w:val="20"/>
          <w:szCs w:val="20"/>
          <w:color w:val="auto"/>
        </w:rPr>
      </w:pPr>
      <w:r>
        <w:rPr>
          <w:rFonts w:ascii="Arial" w:cs="Arial" w:eastAsia="Arial" w:hAnsi="Arial"/>
          <w:sz w:val="17"/>
          <w:szCs w:val="17"/>
          <w:color w:val="auto"/>
        </w:rPr>
        <w:t>Mr. Kapoor’s employment agreement also includes severance, termination and noncompetition provisions which are described below under “Potential Payments upon Termination or Change in Control at Fiscal 2017 Year-End” beginning on page 55.</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4" w:name="page55"/>
    <w:bookmarkEnd w:id="54"/>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Vishal Chhibbar</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Mr. Chhibbar serves as our Executive Vice President and CFO, and was based in India until December 31, 2015.</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We entered into an employment agreement with him, effective January 1, 2016 which will continue throughout Mr.</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Chhibbar’s employment with the Company.</w:t>
      </w:r>
    </w:p>
    <w:p>
      <w:pPr>
        <w:spacing w:after="0" w:line="118"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b w:val="1"/>
          <w:bCs w:val="1"/>
          <w:i w:val="1"/>
          <w:iCs w:val="1"/>
          <w:color w:val="auto"/>
        </w:rPr>
        <w:t xml:space="preserve">Salary, Bonus and Equity. </w:t>
      </w:r>
      <w:r>
        <w:rPr>
          <w:rFonts w:ascii="Arial" w:cs="Arial" w:eastAsia="Arial" w:hAnsi="Arial"/>
          <w:sz w:val="17"/>
          <w:szCs w:val="17"/>
          <w:color w:val="auto"/>
        </w:rPr>
        <w:t>Mr. Chhibbar’s base salary was increased to $400,000, effective January 1, 2016.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Chhibbar’s base salary will be reviewed at least annually and may be increased at the discretion of the Board. In addition, under his agreement, Mr. Chhibbar can earn an annual cash bonus, with a target of 60% of base salary and a maximum of 120% of base salary, based upon the attainment of performance criteria determined by our Compensation Committee. Mr. Chhibbar is also eligible, subject to performance and other conditions, to receive annual equity awards at the discretion of the Compensation Committee. Mr. Chhibbar was entitled to receive $100,000 in connection with his relocation from India to New York, New York in 2016.</w:t>
      </w:r>
    </w:p>
    <w:p>
      <w:pPr>
        <w:spacing w:after="0" w:line="132" w:lineRule="exact"/>
        <w:rPr>
          <w:sz w:val="20"/>
          <w:szCs w:val="20"/>
          <w:color w:val="auto"/>
        </w:rPr>
      </w:pPr>
    </w:p>
    <w:p>
      <w:pPr>
        <w:jc w:val="both"/>
        <w:ind w:left="160" w:right="79"/>
        <w:spacing w:after="0" w:line="257" w:lineRule="auto"/>
        <w:rPr>
          <w:sz w:val="20"/>
          <w:szCs w:val="20"/>
          <w:color w:val="auto"/>
        </w:rPr>
      </w:pPr>
      <w:r>
        <w:rPr>
          <w:rFonts w:ascii="Arial" w:cs="Arial" w:eastAsia="Arial" w:hAnsi="Arial"/>
          <w:sz w:val="17"/>
          <w:szCs w:val="17"/>
          <w:color w:val="auto"/>
        </w:rPr>
        <w:t>Mr. Chhibbar’s employment agreement also includes severance, termination and noncompetition provisions which are described below under “Potential Payments upon Termination or Change in Control at Fiscal 2017 Year-End” beginning on page 55.</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Pavan Bagai</w:t>
      </w:r>
    </w:p>
    <w:p>
      <w:pPr>
        <w:spacing w:after="0" w:line="30" w:lineRule="exact"/>
        <w:rPr>
          <w:sz w:val="20"/>
          <w:szCs w:val="20"/>
          <w:color w:val="auto"/>
        </w:rPr>
      </w:pPr>
    </w:p>
    <w:p>
      <w:pPr>
        <w:jc w:val="both"/>
        <w:ind w:left="160" w:right="79"/>
        <w:spacing w:after="0" w:line="257" w:lineRule="auto"/>
        <w:rPr>
          <w:sz w:val="20"/>
          <w:szCs w:val="20"/>
          <w:color w:val="auto"/>
        </w:rPr>
      </w:pPr>
      <w:r>
        <w:rPr>
          <w:rFonts w:ascii="Arial" w:cs="Arial" w:eastAsia="Arial" w:hAnsi="Arial"/>
          <w:sz w:val="17"/>
          <w:szCs w:val="17"/>
          <w:color w:val="auto"/>
        </w:rPr>
        <w:t>Mr. Bagai serves as our President and Chief Operating Officer, and is based in India. We entered into an employment agreement with him, effective July 31, 2002 and a severance letter, effective March 15, 2011, each of which will continue throughout Mr. Bagai’s employment with the Company.</w:t>
      </w:r>
    </w:p>
    <w:p>
      <w:pPr>
        <w:spacing w:after="0" w:line="96" w:lineRule="exact"/>
        <w:rPr>
          <w:sz w:val="20"/>
          <w:szCs w:val="20"/>
          <w:color w:val="auto"/>
        </w:rPr>
      </w:pPr>
    </w:p>
    <w:p>
      <w:pPr>
        <w:jc w:val="both"/>
        <w:ind w:left="160" w:right="59"/>
        <w:spacing w:after="0" w:line="256" w:lineRule="auto"/>
        <w:rPr>
          <w:sz w:val="20"/>
          <w:szCs w:val="20"/>
          <w:color w:val="auto"/>
        </w:rPr>
      </w:pPr>
      <w:r>
        <w:rPr>
          <w:rFonts w:ascii="Arial" w:cs="Arial" w:eastAsia="Arial" w:hAnsi="Arial"/>
          <w:sz w:val="17"/>
          <w:szCs w:val="17"/>
          <w:b w:val="1"/>
          <w:bCs w:val="1"/>
          <w:i w:val="1"/>
          <w:iCs w:val="1"/>
          <w:color w:val="auto"/>
        </w:rPr>
        <w:t>Salary, Bonus and Equity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Bagai’s annual fixed compensation, measured in his home currency of Indian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rupees, was increased by 0.41% effective April 1, 2017. This difference in Mr. Bagai’s base salary is solely based on exchange rate fluctuations. Mr. Bagai’s annual fixed compensation includes base salary, as well as amounts available as a leave travel allowance, a housing allowance, an automobile allowance, a medical allowance and a cash supplementary allowance. In addition, Mr. Bagai can earn an annual cash bonus, with a target of 75% of annual fixed compensation and a maximum of 150% of annual fixed compensation in 2016, based upon the attainment of performance criteria determined by our Compensation Committee. Mr. Bagai is also eligible, subject to performance and other conditions, to receive annual equity awards at the discretion of the Compensation Committee.</w:t>
      </w:r>
    </w:p>
    <w:p>
      <w:pPr>
        <w:spacing w:after="0" w:line="339"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Mr. Bagai’s agreements also includes severance, termination and noncompetition provisions which are described below under “Potential Payments upon Termination or Change in Control at Fiscal 2017 Year-End” beginning on page 55.</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Nagaraja Srivatsan</w:t>
      </w:r>
    </w:p>
    <w:p>
      <w:pPr>
        <w:spacing w:after="0" w:line="30"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Mr. Srivatsan serves as our Executive Vice President and Chief Growth Officer, and is based at our executive offices in New York, New York. We entered into an employment agreement with him, effective December 10, 2016 which will continue throughout Mr. Srivatsan’s employment with the Company.</w:t>
      </w:r>
    </w:p>
    <w:p>
      <w:pPr>
        <w:spacing w:after="0" w:line="96" w:lineRule="exact"/>
        <w:rPr>
          <w:sz w:val="20"/>
          <w:szCs w:val="20"/>
          <w:color w:val="auto"/>
        </w:rPr>
      </w:pPr>
    </w:p>
    <w:p>
      <w:pPr>
        <w:jc w:val="both"/>
        <w:ind w:left="160" w:right="59"/>
        <w:spacing w:after="0" w:line="256" w:lineRule="auto"/>
        <w:rPr>
          <w:sz w:val="20"/>
          <w:szCs w:val="20"/>
          <w:color w:val="auto"/>
        </w:rPr>
      </w:pPr>
      <w:r>
        <w:rPr>
          <w:rFonts w:ascii="Arial" w:cs="Arial" w:eastAsia="Arial" w:hAnsi="Arial"/>
          <w:sz w:val="17"/>
          <w:szCs w:val="17"/>
          <w:b w:val="1"/>
          <w:bCs w:val="1"/>
          <w:i w:val="1"/>
          <w:iCs w:val="1"/>
          <w:color w:val="auto"/>
        </w:rPr>
        <w:t xml:space="preserve">Salary, Bonus and Equity. </w:t>
      </w:r>
      <w:r>
        <w:rPr>
          <w:rFonts w:ascii="Arial" w:cs="Arial" w:eastAsia="Arial" w:hAnsi="Arial"/>
          <w:sz w:val="17"/>
          <w:szCs w:val="17"/>
          <w:color w:val="auto"/>
        </w:rPr>
        <w:t>Mr. Srivatsan’s base salary remained at $415,000, effective April 1, 2017.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Srivatsan’s base salary will be reviewed at least annually and may be increased at the discretion of the Board. In addition, under his agreement, Mr. Srivatsan can earn an annual cash bonus, with a target of 75% of base salary and a maximum of 150% of base salary, based upon the attainment of performance criteria determined by our Compensation Committee. Mr. Srivatsan is also eligible, subject to performance and other conditions, to receive annual equity awards at the discretion of the Compensation Committee. Mr. Srivatsan’s employment agreement provided for: (i) an initial equity award of 18,000 restricted stock units that will vest according to the schedule described below under “Outstanding Equity Awards at Fiscal 2017 Year-End” beginning on page 53 and (ii) a one-time joining bonus of $200,000.</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5" w:name="page56"/>
    <w:bookmarkEnd w:id="55"/>
    <w:p>
      <w:pPr>
        <w:spacing w:after="0" w:line="58" w:lineRule="exact"/>
        <w:rPr>
          <w:sz w:val="20"/>
          <w:szCs w:val="20"/>
          <w:color w:val="auto"/>
        </w:rPr>
      </w:pPr>
    </w:p>
    <w:p>
      <w:pPr>
        <w:jc w:val="both"/>
        <w:ind w:left="160" w:right="79"/>
        <w:spacing w:after="0" w:line="257" w:lineRule="auto"/>
        <w:rPr>
          <w:sz w:val="20"/>
          <w:szCs w:val="20"/>
          <w:color w:val="auto"/>
        </w:rPr>
      </w:pPr>
      <w:r>
        <w:rPr>
          <w:rFonts w:ascii="Arial" w:cs="Arial" w:eastAsia="Arial" w:hAnsi="Arial"/>
          <w:sz w:val="17"/>
          <w:szCs w:val="17"/>
          <w:color w:val="auto"/>
        </w:rPr>
        <w:t>Mr. Srivatsan’s employment agreement also includes severance, termination and noncompetition provisions which are described below under “Potential Payments upon Termination or Change in Control at Fiscal 2017 Year-End” beginning on page 55.</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Nalin Miglani</w:t>
      </w:r>
    </w:p>
    <w:p>
      <w:pPr>
        <w:spacing w:after="0" w:line="30" w:lineRule="exact"/>
        <w:rPr>
          <w:sz w:val="20"/>
          <w:szCs w:val="20"/>
          <w:color w:val="auto"/>
        </w:rPr>
      </w:pPr>
    </w:p>
    <w:p>
      <w:pPr>
        <w:jc w:val="both"/>
        <w:ind w:left="160" w:right="79"/>
        <w:spacing w:after="0" w:line="257" w:lineRule="auto"/>
        <w:rPr>
          <w:sz w:val="20"/>
          <w:szCs w:val="20"/>
          <w:color w:val="auto"/>
        </w:rPr>
      </w:pPr>
      <w:r>
        <w:rPr>
          <w:rFonts w:ascii="Arial" w:cs="Arial" w:eastAsia="Arial" w:hAnsi="Arial"/>
          <w:sz w:val="17"/>
          <w:szCs w:val="17"/>
          <w:color w:val="auto"/>
        </w:rPr>
        <w:t>Mr. Miglani serves as our Executive Vice President and Chief Human Resources Officer, and is based at our executive offices in New York, New York. We entered into an employment agreement with him, effective December 1, 2014, which will continue throughout Mr. Miglani’s employment with the Company.</w:t>
      </w:r>
    </w:p>
    <w:p>
      <w:pPr>
        <w:spacing w:after="0" w:line="108" w:lineRule="exact"/>
        <w:rPr>
          <w:sz w:val="20"/>
          <w:szCs w:val="20"/>
          <w:color w:val="auto"/>
        </w:rPr>
      </w:pPr>
    </w:p>
    <w:p>
      <w:pPr>
        <w:jc w:val="both"/>
        <w:ind w:left="160" w:right="59"/>
        <w:spacing w:after="0" w:line="255" w:lineRule="auto"/>
        <w:rPr>
          <w:sz w:val="20"/>
          <w:szCs w:val="20"/>
          <w:color w:val="auto"/>
        </w:rPr>
      </w:pPr>
      <w:r>
        <w:rPr>
          <w:rFonts w:ascii="Arial" w:cs="Arial" w:eastAsia="Arial" w:hAnsi="Arial"/>
          <w:sz w:val="17"/>
          <w:szCs w:val="17"/>
          <w:b w:val="1"/>
          <w:bCs w:val="1"/>
          <w:i w:val="1"/>
          <w:iCs w:val="1"/>
          <w:color w:val="auto"/>
        </w:rPr>
        <w:t xml:space="preserve">Salary, Bonus and Equity. </w:t>
      </w:r>
      <w:r>
        <w:rPr>
          <w:rFonts w:ascii="Arial" w:cs="Arial" w:eastAsia="Arial" w:hAnsi="Arial"/>
          <w:sz w:val="17"/>
          <w:szCs w:val="17"/>
          <w:color w:val="auto"/>
        </w:rPr>
        <w:t>Mr. Miglani’s base salary remained at $410,000, effective April 1, 2017 and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further increased from time to time by our Board. While employed, Mr. Miglani can earn an annual cash bonus, with a target of 60% of base salary and a maximum of 120% of base salary, based upon attainment of performance criteria determined by our Compensation Committee. Mr. Miglani is also eligible, subject to performance and other conditions, to receive annual equity awards at the discretion of the Compensation Committee. Mr. Miglani’s employment agreement provided for: (i) an initial equity award of 20,000 restricted stock units that will vest according to the schedule described below under “Outstanding Equity Awards at Fiscal 2017 Year-End” beginning on page 53 and (ii) a one-time joining bonus of $200,000 half of which was paid on the commencement of his employment and the other half paid in March 2015, based on his continued service with the Company. Mr. Miglani received $100,000 in connection with his relocation from Amsterdam to New York in 2014.</w:t>
      </w:r>
    </w:p>
    <w:p>
      <w:pPr>
        <w:spacing w:after="0" w:line="135"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Mr. Miglani’s employment agreement also includes severance, termination and noncompetition provisions which are described below under “Potential Payments upon Termination or Change in Control at Fiscal 2017 Year-End” beginning on page 55.</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6" w:name="page57"/>
    <w:bookmarkEnd w:id="56"/>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Outstanding Equity Awards at Fiscal 2017 Year-End</w:t>
      </w:r>
    </w:p>
    <w:p>
      <w:pPr>
        <w:spacing w:after="0" w:line="85" w:lineRule="exact"/>
        <w:rPr>
          <w:sz w:val="20"/>
          <w:szCs w:val="20"/>
          <w:color w:val="auto"/>
        </w:rPr>
      </w:pPr>
    </w:p>
    <w:p>
      <w:pPr>
        <w:ind w:left="160" w:right="880"/>
        <w:spacing w:after="0" w:line="263" w:lineRule="auto"/>
        <w:rPr>
          <w:sz w:val="20"/>
          <w:szCs w:val="20"/>
          <w:color w:val="auto"/>
        </w:rPr>
      </w:pPr>
      <w:r>
        <w:rPr>
          <w:rFonts w:ascii="Arial" w:cs="Arial" w:eastAsia="Arial" w:hAnsi="Arial"/>
          <w:sz w:val="17"/>
          <w:szCs w:val="17"/>
          <w:color w:val="auto"/>
        </w:rPr>
        <w:t>The following table sets forth the equity awards we have made to our named executive officers that were outstanding as of December 31, 2017:</w:t>
      </w:r>
    </w:p>
    <w:p>
      <w:pPr>
        <w:spacing w:after="0" w:line="124" w:lineRule="exact"/>
        <w:rPr>
          <w:sz w:val="20"/>
          <w:szCs w:val="20"/>
          <w:color w:val="auto"/>
        </w:rPr>
      </w:pPr>
    </w:p>
    <w:tbl>
      <w:tblPr>
        <w:tblLayout w:type="fixed"/>
        <w:tblInd w:w="170" w:type="dxa"/>
        <w:tblCellMar>
          <w:top w:w="0" w:type="dxa"/>
          <w:left w:w="0" w:type="dxa"/>
          <w:bottom w:w="0" w:type="dxa"/>
          <w:right w:w="0" w:type="dxa"/>
        </w:tblCellMar>
      </w:tblPr>
      <w:tr>
        <w:trPr>
          <w:trHeight w:val="192"/>
        </w:trPr>
        <w:tc>
          <w:tcPr>
            <w:tcW w:w="60" w:type="dxa"/>
            <w:vAlign w:val="bottom"/>
            <w:tcBorders>
              <w:left w:val="single" w:sz="8" w:color="DD924E"/>
              <w:bottom w:val="single" w:sz="8" w:color="DD924E"/>
            </w:tcBorders>
            <w:shd w:val="clear" w:color="auto" w:fill="DD924E"/>
          </w:tcPr>
          <w:p>
            <w:pPr>
              <w:spacing w:after="0"/>
              <w:rPr>
                <w:sz w:val="16"/>
                <w:szCs w:val="16"/>
                <w:color w:val="auto"/>
              </w:rPr>
            </w:pPr>
          </w:p>
        </w:tc>
        <w:tc>
          <w:tcPr>
            <w:tcW w:w="740" w:type="dxa"/>
            <w:vAlign w:val="bottom"/>
            <w:tcBorders>
              <w:bottom w:val="single" w:sz="8" w:color="DD924E"/>
            </w:tcBorders>
            <w:shd w:val="clear" w:color="auto" w:fill="DD924E"/>
          </w:tcPr>
          <w:p>
            <w:pPr>
              <w:spacing w:after="0"/>
              <w:rPr>
                <w:sz w:val="16"/>
                <w:szCs w:val="16"/>
                <w:color w:val="auto"/>
              </w:rPr>
            </w:pPr>
          </w:p>
        </w:tc>
        <w:tc>
          <w:tcPr>
            <w:tcW w:w="60" w:type="dxa"/>
            <w:vAlign w:val="bottom"/>
            <w:tcBorders>
              <w:bottom w:val="single" w:sz="8" w:color="DD924E"/>
            </w:tcBorders>
            <w:shd w:val="clear" w:color="auto" w:fill="DD924E"/>
          </w:tcPr>
          <w:p>
            <w:pPr>
              <w:spacing w:after="0"/>
              <w:rPr>
                <w:sz w:val="16"/>
                <w:szCs w:val="16"/>
                <w:color w:val="auto"/>
              </w:rPr>
            </w:pPr>
          </w:p>
        </w:tc>
        <w:tc>
          <w:tcPr>
            <w:tcW w:w="60" w:type="dxa"/>
            <w:vAlign w:val="bottom"/>
            <w:tcBorders>
              <w:bottom w:val="single" w:sz="8" w:color="DD924E"/>
            </w:tcBorders>
            <w:shd w:val="clear" w:color="auto" w:fill="DD924E"/>
          </w:tcPr>
          <w:p>
            <w:pPr>
              <w:spacing w:after="0"/>
              <w:rPr>
                <w:sz w:val="16"/>
                <w:szCs w:val="16"/>
                <w:color w:val="auto"/>
              </w:rPr>
            </w:pPr>
          </w:p>
        </w:tc>
        <w:tc>
          <w:tcPr>
            <w:tcW w:w="820" w:type="dxa"/>
            <w:vAlign w:val="bottom"/>
            <w:tcBorders>
              <w:bottom w:val="single" w:sz="8" w:color="auto"/>
            </w:tcBorders>
            <w:shd w:val="clear" w:color="auto" w:fill="DD924E"/>
          </w:tcPr>
          <w:p>
            <w:pPr>
              <w:spacing w:after="0"/>
              <w:rPr>
                <w:sz w:val="16"/>
                <w:szCs w:val="16"/>
                <w:color w:val="auto"/>
              </w:rPr>
            </w:pPr>
          </w:p>
        </w:tc>
        <w:tc>
          <w:tcPr>
            <w:tcW w:w="100" w:type="dxa"/>
            <w:vAlign w:val="bottom"/>
            <w:tcBorders>
              <w:bottom w:val="single" w:sz="8" w:color="auto"/>
            </w:tcBorders>
            <w:shd w:val="clear" w:color="auto" w:fill="DD924E"/>
          </w:tcPr>
          <w:p>
            <w:pPr>
              <w:spacing w:after="0"/>
              <w:rPr>
                <w:sz w:val="16"/>
                <w:szCs w:val="16"/>
                <w:color w:val="auto"/>
              </w:rPr>
            </w:pPr>
          </w:p>
        </w:tc>
        <w:tc>
          <w:tcPr>
            <w:tcW w:w="1200" w:type="dxa"/>
            <w:vAlign w:val="bottom"/>
            <w:tcBorders>
              <w:bottom w:val="single" w:sz="8" w:color="auto"/>
            </w:tcBorders>
            <w:gridSpan w:val="3"/>
            <w:shd w:val="clear" w:color="auto" w:fill="DD924E"/>
          </w:tcPr>
          <w:p>
            <w:pPr>
              <w:ind w:left="200"/>
              <w:spacing w:after="0"/>
              <w:rPr>
                <w:sz w:val="20"/>
                <w:szCs w:val="20"/>
                <w:color w:val="auto"/>
              </w:rPr>
            </w:pPr>
            <w:r>
              <w:rPr>
                <w:rFonts w:ascii="Arial" w:cs="Arial" w:eastAsia="Arial" w:hAnsi="Arial"/>
                <w:sz w:val="14"/>
                <w:szCs w:val="14"/>
                <w:b w:val="1"/>
                <w:bCs w:val="1"/>
                <w:color w:val="FFFFFF"/>
                <w:w w:val="98"/>
              </w:rPr>
              <w:t>Option Awards</w:t>
            </w:r>
          </w:p>
        </w:tc>
        <w:tc>
          <w:tcPr>
            <w:tcW w:w="1060" w:type="dxa"/>
            <w:vAlign w:val="bottom"/>
            <w:tcBorders>
              <w:bottom w:val="single" w:sz="8" w:color="auto"/>
            </w:tcBorders>
            <w:shd w:val="clear" w:color="auto" w:fill="DD924E"/>
          </w:tcPr>
          <w:p>
            <w:pPr>
              <w:spacing w:after="0"/>
              <w:rPr>
                <w:sz w:val="16"/>
                <w:szCs w:val="16"/>
                <w:color w:val="auto"/>
              </w:rPr>
            </w:pPr>
          </w:p>
        </w:tc>
        <w:tc>
          <w:tcPr>
            <w:tcW w:w="40" w:type="dxa"/>
            <w:vAlign w:val="bottom"/>
            <w:tcBorders>
              <w:bottom w:val="single" w:sz="8" w:color="auto"/>
            </w:tcBorders>
            <w:shd w:val="clear" w:color="auto" w:fill="DD924E"/>
          </w:tcPr>
          <w:p>
            <w:pPr>
              <w:spacing w:after="0"/>
              <w:rPr>
                <w:sz w:val="16"/>
                <w:szCs w:val="16"/>
                <w:color w:val="auto"/>
              </w:rPr>
            </w:pPr>
          </w:p>
        </w:tc>
        <w:tc>
          <w:tcPr>
            <w:tcW w:w="60" w:type="dxa"/>
            <w:vAlign w:val="bottom"/>
            <w:tcBorders>
              <w:bottom w:val="single" w:sz="8" w:color="DD924E"/>
            </w:tcBorders>
            <w:shd w:val="clear" w:color="auto" w:fill="DD924E"/>
          </w:tcPr>
          <w:p>
            <w:pPr>
              <w:spacing w:after="0"/>
              <w:rPr>
                <w:sz w:val="16"/>
                <w:szCs w:val="16"/>
                <w:color w:val="auto"/>
              </w:rPr>
            </w:pPr>
          </w:p>
        </w:tc>
        <w:tc>
          <w:tcPr>
            <w:tcW w:w="40" w:type="dxa"/>
            <w:vAlign w:val="bottom"/>
            <w:tcBorders>
              <w:bottom w:val="single" w:sz="8" w:color="DD924E"/>
            </w:tcBorders>
            <w:shd w:val="clear" w:color="auto" w:fill="DD924E"/>
          </w:tcPr>
          <w:p>
            <w:pPr>
              <w:spacing w:after="0"/>
              <w:rPr>
                <w:sz w:val="16"/>
                <w:szCs w:val="16"/>
                <w:color w:val="auto"/>
              </w:rPr>
            </w:pPr>
          </w:p>
        </w:tc>
        <w:tc>
          <w:tcPr>
            <w:tcW w:w="660" w:type="dxa"/>
            <w:vAlign w:val="bottom"/>
            <w:tcBorders>
              <w:bottom w:val="single" w:sz="8" w:color="auto"/>
            </w:tcBorders>
            <w:shd w:val="clear" w:color="auto" w:fill="DD924E"/>
          </w:tcPr>
          <w:p>
            <w:pPr>
              <w:spacing w:after="0"/>
              <w:rPr>
                <w:sz w:val="16"/>
                <w:szCs w:val="16"/>
                <w:color w:val="auto"/>
              </w:rPr>
            </w:pPr>
          </w:p>
        </w:tc>
        <w:tc>
          <w:tcPr>
            <w:tcW w:w="100" w:type="dxa"/>
            <w:vAlign w:val="bottom"/>
            <w:tcBorders>
              <w:bottom w:val="single" w:sz="8" w:color="auto"/>
            </w:tcBorders>
            <w:shd w:val="clear" w:color="auto" w:fill="DD924E"/>
          </w:tcPr>
          <w:p>
            <w:pPr>
              <w:spacing w:after="0"/>
              <w:rPr>
                <w:sz w:val="16"/>
                <w:szCs w:val="16"/>
                <w:color w:val="auto"/>
              </w:rPr>
            </w:pPr>
          </w:p>
        </w:tc>
        <w:tc>
          <w:tcPr>
            <w:tcW w:w="740" w:type="dxa"/>
            <w:vAlign w:val="bottom"/>
            <w:tcBorders>
              <w:bottom w:val="single" w:sz="8" w:color="auto"/>
            </w:tcBorders>
            <w:shd w:val="clear" w:color="auto" w:fill="DD924E"/>
          </w:tcPr>
          <w:p>
            <w:pPr>
              <w:spacing w:after="0"/>
              <w:rPr>
                <w:sz w:val="16"/>
                <w:szCs w:val="16"/>
                <w:color w:val="auto"/>
              </w:rPr>
            </w:pPr>
          </w:p>
        </w:tc>
        <w:tc>
          <w:tcPr>
            <w:tcW w:w="100" w:type="dxa"/>
            <w:vAlign w:val="bottom"/>
            <w:tcBorders>
              <w:bottom w:val="single" w:sz="8" w:color="auto"/>
            </w:tcBorders>
            <w:shd w:val="clear" w:color="auto" w:fill="DD924E"/>
          </w:tcPr>
          <w:p>
            <w:pPr>
              <w:spacing w:after="0"/>
              <w:rPr>
                <w:sz w:val="16"/>
                <w:szCs w:val="16"/>
                <w:color w:val="auto"/>
              </w:rPr>
            </w:pPr>
          </w:p>
        </w:tc>
        <w:tc>
          <w:tcPr>
            <w:tcW w:w="1620" w:type="dxa"/>
            <w:vAlign w:val="bottom"/>
            <w:tcBorders>
              <w:bottom w:val="single" w:sz="8" w:color="auto"/>
            </w:tcBorders>
            <w:gridSpan w:val="4"/>
            <w:shd w:val="clear" w:color="auto" w:fill="DD924E"/>
          </w:tcPr>
          <w:p>
            <w:pPr>
              <w:ind w:left="640"/>
              <w:spacing w:after="0"/>
              <w:rPr>
                <w:sz w:val="20"/>
                <w:szCs w:val="20"/>
                <w:color w:val="auto"/>
              </w:rPr>
            </w:pPr>
            <w:r>
              <w:rPr>
                <w:rFonts w:ascii="Arial" w:cs="Arial" w:eastAsia="Arial" w:hAnsi="Arial"/>
                <w:sz w:val="14"/>
                <w:szCs w:val="14"/>
                <w:b w:val="1"/>
                <w:bCs w:val="1"/>
                <w:color w:val="FFFFFF"/>
              </w:rPr>
              <w:t>Stock Awards</w:t>
            </w:r>
          </w:p>
        </w:tc>
        <w:tc>
          <w:tcPr>
            <w:tcW w:w="960" w:type="dxa"/>
            <w:vAlign w:val="bottom"/>
            <w:tcBorders>
              <w:bottom w:val="single" w:sz="8" w:color="auto"/>
            </w:tcBorders>
            <w:shd w:val="clear" w:color="auto" w:fill="DD924E"/>
          </w:tcPr>
          <w:p>
            <w:pPr>
              <w:spacing w:after="0"/>
              <w:rPr>
                <w:sz w:val="16"/>
                <w:szCs w:val="16"/>
                <w:color w:val="auto"/>
              </w:rPr>
            </w:pPr>
          </w:p>
        </w:tc>
        <w:tc>
          <w:tcPr>
            <w:tcW w:w="100" w:type="dxa"/>
            <w:vAlign w:val="bottom"/>
            <w:tcBorders>
              <w:bottom w:val="single" w:sz="8" w:color="auto"/>
            </w:tcBorders>
            <w:shd w:val="clear" w:color="auto" w:fill="DD924E"/>
          </w:tcPr>
          <w:p>
            <w:pPr>
              <w:spacing w:after="0"/>
              <w:rPr>
                <w:sz w:val="16"/>
                <w:szCs w:val="16"/>
                <w:color w:val="auto"/>
              </w:rPr>
            </w:pPr>
          </w:p>
        </w:tc>
        <w:tc>
          <w:tcPr>
            <w:tcW w:w="1160" w:type="dxa"/>
            <w:vAlign w:val="bottom"/>
            <w:tcBorders>
              <w:bottom w:val="single" w:sz="8" w:color="auto"/>
              <w:right w:val="single" w:sz="8" w:color="DD924E"/>
            </w:tcBorders>
            <w:shd w:val="clear" w:color="auto" w:fill="DD924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Borders>
              <w:left w:val="single" w:sz="8" w:color="DD924E"/>
            </w:tcBorders>
            <w:shd w:val="clear" w:color="auto" w:fill="DD924E"/>
          </w:tcPr>
          <w:p>
            <w:pPr>
              <w:spacing w:after="0"/>
              <w:rPr>
                <w:sz w:val="16"/>
                <w:szCs w:val="16"/>
                <w:color w:val="auto"/>
              </w:rPr>
            </w:pPr>
          </w:p>
        </w:tc>
        <w:tc>
          <w:tcPr>
            <w:tcW w:w="740" w:type="dxa"/>
            <w:vAlign w:val="bottom"/>
            <w:shd w:val="clear" w:color="auto" w:fill="DD924E"/>
          </w:tcPr>
          <w:p>
            <w:pPr>
              <w:spacing w:after="0"/>
              <w:rPr>
                <w:sz w:val="16"/>
                <w:szCs w:val="16"/>
                <w:color w:val="auto"/>
              </w:rPr>
            </w:pPr>
          </w:p>
        </w:tc>
        <w:tc>
          <w:tcPr>
            <w:tcW w:w="60" w:type="dxa"/>
            <w:vAlign w:val="bottom"/>
            <w:shd w:val="clear" w:color="auto" w:fill="DD924E"/>
          </w:tcPr>
          <w:p>
            <w:pPr>
              <w:spacing w:after="0"/>
              <w:rPr>
                <w:sz w:val="16"/>
                <w:szCs w:val="16"/>
                <w:color w:val="auto"/>
              </w:rPr>
            </w:pPr>
          </w:p>
        </w:tc>
        <w:tc>
          <w:tcPr>
            <w:tcW w:w="60" w:type="dxa"/>
            <w:vAlign w:val="bottom"/>
            <w:shd w:val="clear" w:color="auto" w:fill="DD924E"/>
          </w:tcPr>
          <w:p>
            <w:pPr>
              <w:spacing w:after="0"/>
              <w:rPr>
                <w:sz w:val="16"/>
                <w:szCs w:val="16"/>
                <w:color w:val="auto"/>
              </w:rPr>
            </w:pPr>
          </w:p>
        </w:tc>
        <w:tc>
          <w:tcPr>
            <w:tcW w:w="820" w:type="dxa"/>
            <w:vAlign w:val="bottom"/>
            <w:shd w:val="clear" w:color="auto" w:fill="DD924E"/>
          </w:tcPr>
          <w:p>
            <w:pPr>
              <w:spacing w:after="0"/>
              <w:rPr>
                <w:sz w:val="16"/>
                <w:szCs w:val="16"/>
                <w:color w:val="auto"/>
              </w:rPr>
            </w:pPr>
          </w:p>
        </w:tc>
        <w:tc>
          <w:tcPr>
            <w:tcW w:w="100" w:type="dxa"/>
            <w:vAlign w:val="bottom"/>
            <w:shd w:val="clear" w:color="auto" w:fill="DD924E"/>
          </w:tcPr>
          <w:p>
            <w:pPr>
              <w:spacing w:after="0"/>
              <w:rPr>
                <w:sz w:val="16"/>
                <w:szCs w:val="16"/>
                <w:color w:val="auto"/>
              </w:rPr>
            </w:pPr>
          </w:p>
        </w:tc>
        <w:tc>
          <w:tcPr>
            <w:tcW w:w="1060" w:type="dxa"/>
            <w:vAlign w:val="bottom"/>
            <w:shd w:val="clear" w:color="auto" w:fill="DD924E"/>
          </w:tcPr>
          <w:p>
            <w:pPr>
              <w:spacing w:after="0"/>
              <w:rPr>
                <w:sz w:val="16"/>
                <w:szCs w:val="16"/>
                <w:color w:val="auto"/>
              </w:rPr>
            </w:pPr>
          </w:p>
        </w:tc>
        <w:tc>
          <w:tcPr>
            <w:tcW w:w="100" w:type="dxa"/>
            <w:vAlign w:val="bottom"/>
            <w:shd w:val="clear" w:color="auto" w:fill="DD924E"/>
          </w:tcPr>
          <w:p>
            <w:pPr>
              <w:spacing w:after="0"/>
              <w:rPr>
                <w:sz w:val="16"/>
                <w:szCs w:val="16"/>
                <w:color w:val="auto"/>
              </w:rPr>
            </w:pPr>
          </w:p>
        </w:tc>
        <w:tc>
          <w:tcPr>
            <w:tcW w:w="40" w:type="dxa"/>
            <w:vAlign w:val="bottom"/>
            <w:shd w:val="clear" w:color="auto" w:fill="DD924E"/>
          </w:tcPr>
          <w:p>
            <w:pPr>
              <w:spacing w:after="0"/>
              <w:rPr>
                <w:sz w:val="16"/>
                <w:szCs w:val="16"/>
                <w:color w:val="auto"/>
              </w:rPr>
            </w:pPr>
          </w:p>
        </w:tc>
        <w:tc>
          <w:tcPr>
            <w:tcW w:w="1060" w:type="dxa"/>
            <w:vAlign w:val="bottom"/>
            <w:shd w:val="clear" w:color="auto" w:fill="DD924E"/>
          </w:tcPr>
          <w:p>
            <w:pPr>
              <w:spacing w:after="0"/>
              <w:rPr>
                <w:sz w:val="16"/>
                <w:szCs w:val="16"/>
                <w:color w:val="auto"/>
              </w:rPr>
            </w:pPr>
          </w:p>
        </w:tc>
        <w:tc>
          <w:tcPr>
            <w:tcW w:w="40" w:type="dxa"/>
            <w:vAlign w:val="bottom"/>
            <w:shd w:val="clear" w:color="auto" w:fill="DD924E"/>
          </w:tcPr>
          <w:p>
            <w:pPr>
              <w:spacing w:after="0"/>
              <w:rPr>
                <w:sz w:val="16"/>
                <w:szCs w:val="16"/>
                <w:color w:val="auto"/>
              </w:rPr>
            </w:pPr>
          </w:p>
        </w:tc>
        <w:tc>
          <w:tcPr>
            <w:tcW w:w="60" w:type="dxa"/>
            <w:vAlign w:val="bottom"/>
            <w:shd w:val="clear" w:color="auto" w:fill="DD924E"/>
          </w:tcPr>
          <w:p>
            <w:pPr>
              <w:spacing w:after="0"/>
              <w:rPr>
                <w:sz w:val="16"/>
                <w:szCs w:val="16"/>
                <w:color w:val="auto"/>
              </w:rPr>
            </w:pPr>
          </w:p>
        </w:tc>
        <w:tc>
          <w:tcPr>
            <w:tcW w:w="40" w:type="dxa"/>
            <w:vAlign w:val="bottom"/>
            <w:shd w:val="clear" w:color="auto" w:fill="DD924E"/>
          </w:tcPr>
          <w:p>
            <w:pPr>
              <w:spacing w:after="0"/>
              <w:rPr>
                <w:sz w:val="16"/>
                <w:szCs w:val="16"/>
                <w:color w:val="auto"/>
              </w:rPr>
            </w:pPr>
          </w:p>
        </w:tc>
        <w:tc>
          <w:tcPr>
            <w:tcW w:w="660" w:type="dxa"/>
            <w:vAlign w:val="bottom"/>
            <w:shd w:val="clear" w:color="auto" w:fill="DD924E"/>
          </w:tcPr>
          <w:p>
            <w:pPr>
              <w:spacing w:after="0"/>
              <w:rPr>
                <w:sz w:val="16"/>
                <w:szCs w:val="16"/>
                <w:color w:val="auto"/>
              </w:rPr>
            </w:pPr>
          </w:p>
        </w:tc>
        <w:tc>
          <w:tcPr>
            <w:tcW w:w="100" w:type="dxa"/>
            <w:vAlign w:val="bottom"/>
            <w:shd w:val="clear" w:color="auto" w:fill="DD924E"/>
          </w:tcPr>
          <w:p>
            <w:pPr>
              <w:spacing w:after="0"/>
              <w:rPr>
                <w:sz w:val="16"/>
                <w:szCs w:val="16"/>
                <w:color w:val="auto"/>
              </w:rPr>
            </w:pPr>
          </w:p>
        </w:tc>
        <w:tc>
          <w:tcPr>
            <w:tcW w:w="740" w:type="dxa"/>
            <w:vAlign w:val="bottom"/>
            <w:shd w:val="clear" w:color="auto" w:fill="DD924E"/>
          </w:tcPr>
          <w:p>
            <w:pPr>
              <w:spacing w:after="0"/>
              <w:rPr>
                <w:sz w:val="16"/>
                <w:szCs w:val="16"/>
                <w:color w:val="auto"/>
              </w:rPr>
            </w:pPr>
          </w:p>
        </w:tc>
        <w:tc>
          <w:tcPr>
            <w:tcW w:w="100" w:type="dxa"/>
            <w:vAlign w:val="bottom"/>
            <w:shd w:val="clear" w:color="auto" w:fill="DD924E"/>
          </w:tcPr>
          <w:p>
            <w:pPr>
              <w:spacing w:after="0"/>
              <w:rPr>
                <w:sz w:val="16"/>
                <w:szCs w:val="16"/>
                <w:color w:val="auto"/>
              </w:rPr>
            </w:pPr>
          </w:p>
        </w:tc>
        <w:tc>
          <w:tcPr>
            <w:tcW w:w="660" w:type="dxa"/>
            <w:vAlign w:val="bottom"/>
            <w:shd w:val="clear" w:color="auto" w:fill="DD924E"/>
          </w:tcPr>
          <w:p>
            <w:pPr>
              <w:spacing w:after="0"/>
              <w:rPr>
                <w:sz w:val="16"/>
                <w:szCs w:val="16"/>
                <w:color w:val="auto"/>
              </w:rPr>
            </w:pPr>
          </w:p>
        </w:tc>
        <w:tc>
          <w:tcPr>
            <w:tcW w:w="100" w:type="dxa"/>
            <w:vAlign w:val="bottom"/>
            <w:shd w:val="clear" w:color="auto" w:fill="DD924E"/>
          </w:tcPr>
          <w:p>
            <w:pPr>
              <w:spacing w:after="0"/>
              <w:rPr>
                <w:sz w:val="16"/>
                <w:szCs w:val="16"/>
                <w:color w:val="auto"/>
              </w:rPr>
            </w:pPr>
          </w:p>
        </w:tc>
        <w:tc>
          <w:tcPr>
            <w:tcW w:w="760" w:type="dxa"/>
            <w:vAlign w:val="bottom"/>
            <w:shd w:val="clear" w:color="auto" w:fill="DD924E"/>
          </w:tcPr>
          <w:p>
            <w:pPr>
              <w:spacing w:after="0"/>
              <w:rPr>
                <w:sz w:val="16"/>
                <w:szCs w:val="16"/>
                <w:color w:val="auto"/>
              </w:rPr>
            </w:pPr>
          </w:p>
        </w:tc>
        <w:tc>
          <w:tcPr>
            <w:tcW w:w="100" w:type="dxa"/>
            <w:vAlign w:val="bottom"/>
            <w:shd w:val="clear" w:color="auto" w:fill="DD924E"/>
          </w:tcPr>
          <w:p>
            <w:pPr>
              <w:spacing w:after="0"/>
              <w:rPr>
                <w:sz w:val="16"/>
                <w:szCs w:val="16"/>
                <w:color w:val="auto"/>
              </w:rPr>
            </w:pPr>
          </w:p>
        </w:tc>
        <w:tc>
          <w:tcPr>
            <w:tcW w:w="96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100" w:type="dxa"/>
            <w:vAlign w:val="bottom"/>
            <w:shd w:val="clear" w:color="auto" w:fill="DD924E"/>
          </w:tcPr>
          <w:p>
            <w:pPr>
              <w:spacing w:after="0"/>
              <w:rPr>
                <w:sz w:val="16"/>
                <w:szCs w:val="16"/>
                <w:color w:val="auto"/>
              </w:rPr>
            </w:pPr>
          </w:p>
        </w:tc>
        <w:tc>
          <w:tcPr>
            <w:tcW w:w="1160" w:type="dxa"/>
            <w:vAlign w:val="bottom"/>
            <w:tcBorders>
              <w:right w:val="single" w:sz="8" w:color="DD924E"/>
            </w:tcBorders>
            <w:shd w:val="clear" w:color="auto" w:fill="DD924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8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10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106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6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7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9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Incentive Plan</w:t>
            </w:r>
          </w:p>
        </w:tc>
        <w:tc>
          <w:tcPr>
            <w:tcW w:w="100" w:type="dxa"/>
            <w:vAlign w:val="bottom"/>
            <w:shd w:val="clear" w:color="auto" w:fill="DD924E"/>
          </w:tcPr>
          <w:p>
            <w:pPr>
              <w:spacing w:after="0"/>
              <w:rPr>
                <w:sz w:val="13"/>
                <w:szCs w:val="13"/>
                <w:color w:val="auto"/>
              </w:rPr>
            </w:pPr>
          </w:p>
        </w:tc>
        <w:tc>
          <w:tcPr>
            <w:tcW w:w="1160" w:type="dxa"/>
            <w:vAlign w:val="bottom"/>
            <w:tcBorders>
              <w:right w:val="single" w:sz="8" w:color="DD924E"/>
            </w:tcBorders>
            <w:shd w:val="clear" w:color="auto" w:fill="DD924E"/>
          </w:tcPr>
          <w:p>
            <w:pPr>
              <w:jc w:val="center"/>
              <w:ind w:right="14"/>
              <w:spacing w:after="0" w:line="154" w:lineRule="exact"/>
              <w:rPr>
                <w:sz w:val="20"/>
                <w:szCs w:val="20"/>
                <w:color w:val="auto"/>
              </w:rPr>
            </w:pPr>
            <w:r>
              <w:rPr>
                <w:rFonts w:ascii="Arial" w:cs="Arial" w:eastAsia="Arial" w:hAnsi="Arial"/>
                <w:sz w:val="14"/>
                <w:szCs w:val="14"/>
                <w:b w:val="1"/>
                <w:bCs w:val="1"/>
                <w:color w:val="FFFFFF"/>
                <w:w w:val="96"/>
              </w:rPr>
              <w:t>Equity Incentive</w:t>
            </w:r>
          </w:p>
        </w:tc>
        <w:tc>
          <w:tcPr>
            <w:tcW w:w="0" w:type="dxa"/>
            <w:vAlign w:val="bottom"/>
          </w:tcPr>
          <w:p>
            <w:pPr>
              <w:spacing w:after="0"/>
              <w:rPr>
                <w:sz w:val="1"/>
                <w:szCs w:val="1"/>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8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10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106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6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4"/>
              </w:rPr>
              <w:t>Number</w:t>
            </w:r>
          </w:p>
        </w:tc>
        <w:tc>
          <w:tcPr>
            <w:tcW w:w="100" w:type="dxa"/>
            <w:vAlign w:val="bottom"/>
            <w:shd w:val="clear" w:color="auto" w:fill="DD924E"/>
          </w:tcPr>
          <w:p>
            <w:pPr>
              <w:spacing w:after="0"/>
              <w:rPr>
                <w:sz w:val="13"/>
                <w:szCs w:val="13"/>
                <w:color w:val="auto"/>
              </w:rPr>
            </w:pPr>
          </w:p>
        </w:tc>
        <w:tc>
          <w:tcPr>
            <w:tcW w:w="7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9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Awards:</w:t>
            </w:r>
          </w:p>
        </w:tc>
        <w:tc>
          <w:tcPr>
            <w:tcW w:w="100" w:type="dxa"/>
            <w:vAlign w:val="bottom"/>
            <w:shd w:val="clear" w:color="auto" w:fill="DD924E"/>
          </w:tcPr>
          <w:p>
            <w:pPr>
              <w:spacing w:after="0"/>
              <w:rPr>
                <w:sz w:val="13"/>
                <w:szCs w:val="13"/>
                <w:color w:val="auto"/>
              </w:rPr>
            </w:pPr>
          </w:p>
        </w:tc>
        <w:tc>
          <w:tcPr>
            <w:tcW w:w="1160" w:type="dxa"/>
            <w:vAlign w:val="bottom"/>
            <w:tcBorders>
              <w:right w:val="single" w:sz="8" w:color="DD924E"/>
            </w:tcBorders>
            <w:shd w:val="clear" w:color="auto" w:fill="DD924E"/>
          </w:tcPr>
          <w:p>
            <w:pPr>
              <w:jc w:val="center"/>
              <w:ind w:right="14"/>
              <w:spacing w:after="0" w:line="154" w:lineRule="exact"/>
              <w:rPr>
                <w:sz w:val="20"/>
                <w:szCs w:val="20"/>
                <w:color w:val="auto"/>
              </w:rPr>
            </w:pPr>
            <w:r>
              <w:rPr>
                <w:rFonts w:ascii="Arial" w:cs="Arial" w:eastAsia="Arial" w:hAnsi="Arial"/>
                <w:sz w:val="14"/>
                <w:szCs w:val="14"/>
                <w:b w:val="1"/>
                <w:bCs w:val="1"/>
                <w:color w:val="FFFFFF"/>
                <w:w w:val="99"/>
              </w:rPr>
              <w:t>Plan Awards:</w:t>
            </w:r>
          </w:p>
        </w:tc>
        <w:tc>
          <w:tcPr>
            <w:tcW w:w="0" w:type="dxa"/>
            <w:vAlign w:val="bottom"/>
          </w:tcPr>
          <w:p>
            <w:pPr>
              <w:spacing w:after="0"/>
              <w:rPr>
                <w:sz w:val="1"/>
                <w:szCs w:val="1"/>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8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10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106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6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rPr>
              <w:t>of</w:t>
            </w:r>
          </w:p>
        </w:tc>
        <w:tc>
          <w:tcPr>
            <w:tcW w:w="100" w:type="dxa"/>
            <w:vAlign w:val="bottom"/>
            <w:shd w:val="clear" w:color="auto" w:fill="DD924E"/>
          </w:tcPr>
          <w:p>
            <w:pPr>
              <w:spacing w:after="0"/>
              <w:rPr>
                <w:sz w:val="13"/>
                <w:szCs w:val="13"/>
                <w:color w:val="auto"/>
              </w:rPr>
            </w:pPr>
          </w:p>
        </w:tc>
        <w:tc>
          <w:tcPr>
            <w:tcW w:w="860" w:type="dxa"/>
            <w:vAlign w:val="bottom"/>
            <w:gridSpan w:val="2"/>
            <w:shd w:val="clear" w:color="auto" w:fill="DD924E"/>
          </w:tcPr>
          <w:p>
            <w:pPr>
              <w:jc w:val="center"/>
              <w:ind w:right="100"/>
              <w:spacing w:after="0" w:line="154" w:lineRule="exact"/>
              <w:rPr>
                <w:sz w:val="20"/>
                <w:szCs w:val="20"/>
                <w:color w:val="auto"/>
              </w:rPr>
            </w:pPr>
            <w:r>
              <w:rPr>
                <w:rFonts w:ascii="Arial" w:cs="Arial" w:eastAsia="Arial" w:hAnsi="Arial"/>
                <w:sz w:val="14"/>
                <w:szCs w:val="14"/>
                <w:b w:val="1"/>
                <w:bCs w:val="1"/>
                <w:color w:val="FFFFFF"/>
                <w:w w:val="97"/>
              </w:rPr>
              <w:t>Market</w:t>
            </w:r>
          </w:p>
        </w:tc>
        <w:tc>
          <w:tcPr>
            <w:tcW w:w="9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Number of</w:t>
            </w:r>
          </w:p>
        </w:tc>
        <w:tc>
          <w:tcPr>
            <w:tcW w:w="100" w:type="dxa"/>
            <w:vAlign w:val="bottom"/>
            <w:shd w:val="clear" w:color="auto" w:fill="DD924E"/>
          </w:tcPr>
          <w:p>
            <w:pPr>
              <w:spacing w:after="0"/>
              <w:rPr>
                <w:sz w:val="13"/>
                <w:szCs w:val="13"/>
                <w:color w:val="auto"/>
              </w:rPr>
            </w:pPr>
          </w:p>
        </w:tc>
        <w:tc>
          <w:tcPr>
            <w:tcW w:w="1160" w:type="dxa"/>
            <w:vAlign w:val="bottom"/>
            <w:tcBorders>
              <w:right w:val="single" w:sz="8" w:color="DD924E"/>
            </w:tcBorders>
            <w:shd w:val="clear" w:color="auto" w:fill="DD924E"/>
          </w:tcPr>
          <w:p>
            <w:pPr>
              <w:jc w:val="center"/>
              <w:ind w:right="14"/>
              <w:spacing w:after="0" w:line="154" w:lineRule="exact"/>
              <w:rPr>
                <w:sz w:val="20"/>
                <w:szCs w:val="20"/>
                <w:color w:val="auto"/>
              </w:rPr>
            </w:pPr>
            <w:r>
              <w:rPr>
                <w:rFonts w:ascii="Arial" w:cs="Arial" w:eastAsia="Arial" w:hAnsi="Arial"/>
                <w:sz w:val="14"/>
                <w:szCs w:val="14"/>
                <w:b w:val="1"/>
                <w:bCs w:val="1"/>
                <w:color w:val="FFFFFF"/>
                <w:w w:val="95"/>
              </w:rPr>
              <w:t>Market or</w:t>
            </w:r>
          </w:p>
        </w:tc>
        <w:tc>
          <w:tcPr>
            <w:tcW w:w="0" w:type="dxa"/>
            <w:vAlign w:val="bottom"/>
          </w:tcPr>
          <w:p>
            <w:pPr>
              <w:spacing w:after="0"/>
              <w:rPr>
                <w:sz w:val="1"/>
                <w:szCs w:val="1"/>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8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10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106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6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5"/>
              </w:rPr>
              <w:t>Shares or</w:t>
            </w:r>
          </w:p>
        </w:tc>
        <w:tc>
          <w:tcPr>
            <w:tcW w:w="100" w:type="dxa"/>
            <w:vAlign w:val="bottom"/>
            <w:shd w:val="clear" w:color="auto" w:fill="DD924E"/>
          </w:tcPr>
          <w:p>
            <w:pPr>
              <w:spacing w:after="0"/>
              <w:rPr>
                <w:sz w:val="13"/>
                <w:szCs w:val="13"/>
                <w:color w:val="auto"/>
              </w:rPr>
            </w:pPr>
          </w:p>
        </w:tc>
        <w:tc>
          <w:tcPr>
            <w:tcW w:w="860" w:type="dxa"/>
            <w:vAlign w:val="bottom"/>
            <w:gridSpan w:val="2"/>
            <w:shd w:val="clear" w:color="auto" w:fill="DD924E"/>
          </w:tcPr>
          <w:p>
            <w:pPr>
              <w:jc w:val="center"/>
              <w:ind w:right="100"/>
              <w:spacing w:after="0" w:line="154" w:lineRule="exact"/>
              <w:rPr>
                <w:sz w:val="20"/>
                <w:szCs w:val="20"/>
                <w:color w:val="auto"/>
              </w:rPr>
            </w:pPr>
            <w:r>
              <w:rPr>
                <w:rFonts w:ascii="Arial" w:cs="Arial" w:eastAsia="Arial" w:hAnsi="Arial"/>
                <w:sz w:val="14"/>
                <w:szCs w:val="14"/>
                <w:b w:val="1"/>
                <w:bCs w:val="1"/>
                <w:color w:val="FFFFFF"/>
                <w:w w:val="95"/>
              </w:rPr>
              <w:t>Value of</w:t>
            </w:r>
          </w:p>
        </w:tc>
        <w:tc>
          <w:tcPr>
            <w:tcW w:w="9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5"/>
              </w:rPr>
              <w:t>Unearned</w:t>
            </w:r>
          </w:p>
        </w:tc>
        <w:tc>
          <w:tcPr>
            <w:tcW w:w="100" w:type="dxa"/>
            <w:vAlign w:val="bottom"/>
            <w:shd w:val="clear" w:color="auto" w:fill="DD924E"/>
          </w:tcPr>
          <w:p>
            <w:pPr>
              <w:spacing w:after="0"/>
              <w:rPr>
                <w:sz w:val="13"/>
                <w:szCs w:val="13"/>
                <w:color w:val="auto"/>
              </w:rPr>
            </w:pPr>
          </w:p>
        </w:tc>
        <w:tc>
          <w:tcPr>
            <w:tcW w:w="1160" w:type="dxa"/>
            <w:vAlign w:val="bottom"/>
            <w:tcBorders>
              <w:right w:val="single" w:sz="8" w:color="DD924E"/>
            </w:tcBorders>
            <w:shd w:val="clear" w:color="auto" w:fill="DD924E"/>
          </w:tcPr>
          <w:p>
            <w:pPr>
              <w:jc w:val="center"/>
              <w:ind w:right="14"/>
              <w:spacing w:after="0" w:line="154" w:lineRule="exact"/>
              <w:rPr>
                <w:sz w:val="20"/>
                <w:szCs w:val="20"/>
                <w:color w:val="auto"/>
              </w:rPr>
            </w:pPr>
            <w:r>
              <w:rPr>
                <w:rFonts w:ascii="Arial" w:cs="Arial" w:eastAsia="Arial" w:hAnsi="Arial"/>
                <w:sz w:val="14"/>
                <w:szCs w:val="14"/>
                <w:b w:val="1"/>
                <w:bCs w:val="1"/>
                <w:color w:val="FFFFFF"/>
                <w:w w:val="95"/>
              </w:rPr>
              <w:t>Payout Value of</w:t>
            </w:r>
          </w:p>
        </w:tc>
        <w:tc>
          <w:tcPr>
            <w:tcW w:w="0" w:type="dxa"/>
            <w:vAlign w:val="bottom"/>
          </w:tcPr>
          <w:p>
            <w:pPr>
              <w:spacing w:after="0"/>
              <w:rPr>
                <w:sz w:val="1"/>
                <w:szCs w:val="1"/>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8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1200" w:type="dxa"/>
            <w:vAlign w:val="bottom"/>
            <w:gridSpan w:val="3"/>
            <w:shd w:val="clear" w:color="auto" w:fill="DD924E"/>
          </w:tcPr>
          <w:p>
            <w:pPr>
              <w:jc w:val="center"/>
              <w:ind w:right="160"/>
              <w:spacing w:after="0" w:line="154" w:lineRule="exact"/>
              <w:rPr>
                <w:sz w:val="20"/>
                <w:szCs w:val="20"/>
                <w:color w:val="auto"/>
              </w:rPr>
            </w:pPr>
            <w:r>
              <w:rPr>
                <w:rFonts w:ascii="Arial" w:cs="Arial" w:eastAsia="Arial" w:hAnsi="Arial"/>
                <w:sz w:val="14"/>
                <w:szCs w:val="14"/>
                <w:b w:val="1"/>
                <w:bCs w:val="1"/>
                <w:color w:val="FFFFFF"/>
                <w:w w:val="97"/>
              </w:rPr>
              <w:t>Number of</w:t>
            </w:r>
          </w:p>
        </w:tc>
        <w:tc>
          <w:tcPr>
            <w:tcW w:w="1100" w:type="dxa"/>
            <w:vAlign w:val="bottom"/>
            <w:gridSpan w:val="2"/>
            <w:shd w:val="clear" w:color="auto" w:fill="DD924E"/>
          </w:tcPr>
          <w:p>
            <w:pPr>
              <w:jc w:val="center"/>
              <w:ind w:right="100"/>
              <w:spacing w:after="0" w:line="154" w:lineRule="exact"/>
              <w:rPr>
                <w:sz w:val="20"/>
                <w:szCs w:val="20"/>
                <w:color w:val="auto"/>
              </w:rPr>
            </w:pPr>
            <w:r>
              <w:rPr>
                <w:rFonts w:ascii="Arial" w:cs="Arial" w:eastAsia="Arial" w:hAnsi="Arial"/>
                <w:sz w:val="14"/>
                <w:szCs w:val="14"/>
                <w:b w:val="1"/>
                <w:bCs w:val="1"/>
                <w:color w:val="FFFFFF"/>
                <w:w w:val="97"/>
              </w:rPr>
              <w:t>Number of</w:t>
            </w:r>
          </w:p>
        </w:tc>
        <w:tc>
          <w:tcPr>
            <w:tcW w:w="6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6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Units</w:t>
            </w:r>
          </w:p>
        </w:tc>
        <w:tc>
          <w:tcPr>
            <w:tcW w:w="100" w:type="dxa"/>
            <w:vAlign w:val="bottom"/>
            <w:shd w:val="clear" w:color="auto" w:fill="DD924E"/>
          </w:tcPr>
          <w:p>
            <w:pPr>
              <w:spacing w:after="0"/>
              <w:rPr>
                <w:sz w:val="13"/>
                <w:szCs w:val="13"/>
                <w:color w:val="auto"/>
              </w:rPr>
            </w:pPr>
          </w:p>
        </w:tc>
        <w:tc>
          <w:tcPr>
            <w:tcW w:w="860" w:type="dxa"/>
            <w:vAlign w:val="bottom"/>
            <w:gridSpan w:val="2"/>
            <w:shd w:val="clear" w:color="auto" w:fill="DD924E"/>
          </w:tcPr>
          <w:p>
            <w:pPr>
              <w:jc w:val="center"/>
              <w:ind w:right="100"/>
              <w:spacing w:after="0" w:line="154" w:lineRule="exact"/>
              <w:rPr>
                <w:sz w:val="20"/>
                <w:szCs w:val="20"/>
                <w:color w:val="auto"/>
              </w:rPr>
            </w:pPr>
            <w:r>
              <w:rPr>
                <w:rFonts w:ascii="Arial" w:cs="Arial" w:eastAsia="Arial" w:hAnsi="Arial"/>
                <w:sz w:val="14"/>
                <w:szCs w:val="14"/>
                <w:b w:val="1"/>
                <w:bCs w:val="1"/>
                <w:color w:val="FFFFFF"/>
                <w:w w:val="99"/>
              </w:rPr>
              <w:t>Shares or</w:t>
            </w:r>
          </w:p>
        </w:tc>
        <w:tc>
          <w:tcPr>
            <w:tcW w:w="9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Shares, Units</w:t>
            </w:r>
          </w:p>
        </w:tc>
        <w:tc>
          <w:tcPr>
            <w:tcW w:w="100" w:type="dxa"/>
            <w:vAlign w:val="bottom"/>
            <w:shd w:val="clear" w:color="auto" w:fill="DD924E"/>
          </w:tcPr>
          <w:p>
            <w:pPr>
              <w:spacing w:after="0"/>
              <w:rPr>
                <w:sz w:val="13"/>
                <w:szCs w:val="13"/>
                <w:color w:val="auto"/>
              </w:rPr>
            </w:pPr>
          </w:p>
        </w:tc>
        <w:tc>
          <w:tcPr>
            <w:tcW w:w="1160" w:type="dxa"/>
            <w:vAlign w:val="bottom"/>
            <w:tcBorders>
              <w:right w:val="single" w:sz="8" w:color="DD924E"/>
            </w:tcBorders>
            <w:shd w:val="clear" w:color="auto" w:fill="DD924E"/>
          </w:tcPr>
          <w:p>
            <w:pPr>
              <w:jc w:val="center"/>
              <w:ind w:right="14"/>
              <w:spacing w:after="0" w:line="154" w:lineRule="exact"/>
              <w:rPr>
                <w:sz w:val="20"/>
                <w:szCs w:val="20"/>
                <w:color w:val="auto"/>
              </w:rPr>
            </w:pPr>
            <w:r>
              <w:rPr>
                <w:rFonts w:ascii="Arial" w:cs="Arial" w:eastAsia="Arial" w:hAnsi="Arial"/>
                <w:sz w:val="14"/>
                <w:szCs w:val="14"/>
                <w:b w:val="1"/>
                <w:bCs w:val="1"/>
                <w:color w:val="FFFFFF"/>
                <w:w w:val="99"/>
              </w:rPr>
              <w:t>Unearned</w:t>
            </w:r>
          </w:p>
        </w:tc>
        <w:tc>
          <w:tcPr>
            <w:tcW w:w="0" w:type="dxa"/>
            <w:vAlign w:val="bottom"/>
          </w:tcPr>
          <w:p>
            <w:pPr>
              <w:spacing w:after="0"/>
              <w:rPr>
                <w:sz w:val="1"/>
                <w:szCs w:val="1"/>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8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1200" w:type="dxa"/>
            <w:vAlign w:val="bottom"/>
            <w:gridSpan w:val="3"/>
            <w:shd w:val="clear" w:color="auto" w:fill="DD924E"/>
          </w:tcPr>
          <w:p>
            <w:pPr>
              <w:jc w:val="center"/>
              <w:ind w:right="140"/>
              <w:spacing w:after="0" w:line="154" w:lineRule="exact"/>
              <w:rPr>
                <w:sz w:val="20"/>
                <w:szCs w:val="20"/>
                <w:color w:val="auto"/>
              </w:rPr>
            </w:pPr>
            <w:r>
              <w:rPr>
                <w:rFonts w:ascii="Arial" w:cs="Arial" w:eastAsia="Arial" w:hAnsi="Arial"/>
                <w:sz w:val="14"/>
                <w:szCs w:val="14"/>
                <w:b w:val="1"/>
                <w:bCs w:val="1"/>
                <w:color w:val="FFFFFF"/>
                <w:w w:val="98"/>
              </w:rPr>
              <w:t>Securities</w:t>
            </w:r>
          </w:p>
        </w:tc>
        <w:tc>
          <w:tcPr>
            <w:tcW w:w="1100" w:type="dxa"/>
            <w:vAlign w:val="bottom"/>
            <w:gridSpan w:val="2"/>
            <w:shd w:val="clear" w:color="auto" w:fill="DD924E"/>
          </w:tcPr>
          <w:p>
            <w:pPr>
              <w:jc w:val="center"/>
              <w:ind w:right="100"/>
              <w:spacing w:after="0" w:line="154" w:lineRule="exact"/>
              <w:rPr>
                <w:sz w:val="20"/>
                <w:szCs w:val="20"/>
                <w:color w:val="auto"/>
              </w:rPr>
            </w:pPr>
            <w:r>
              <w:rPr>
                <w:rFonts w:ascii="Arial" w:cs="Arial" w:eastAsia="Arial" w:hAnsi="Arial"/>
                <w:sz w:val="14"/>
                <w:szCs w:val="14"/>
                <w:b w:val="1"/>
                <w:bCs w:val="1"/>
                <w:color w:val="FFFFFF"/>
                <w:w w:val="95"/>
              </w:rPr>
              <w:t>Securities</w:t>
            </w:r>
          </w:p>
        </w:tc>
        <w:tc>
          <w:tcPr>
            <w:tcW w:w="6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6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of Stock</w:t>
            </w:r>
          </w:p>
        </w:tc>
        <w:tc>
          <w:tcPr>
            <w:tcW w:w="100" w:type="dxa"/>
            <w:vAlign w:val="bottom"/>
            <w:shd w:val="clear" w:color="auto" w:fill="DD924E"/>
          </w:tcPr>
          <w:p>
            <w:pPr>
              <w:spacing w:after="0"/>
              <w:rPr>
                <w:sz w:val="13"/>
                <w:szCs w:val="13"/>
                <w:color w:val="auto"/>
              </w:rPr>
            </w:pPr>
          </w:p>
        </w:tc>
        <w:tc>
          <w:tcPr>
            <w:tcW w:w="860" w:type="dxa"/>
            <w:vAlign w:val="bottom"/>
            <w:gridSpan w:val="2"/>
            <w:shd w:val="clear" w:color="auto" w:fill="DD924E"/>
          </w:tcPr>
          <w:p>
            <w:pPr>
              <w:jc w:val="center"/>
              <w:ind w:right="100"/>
              <w:spacing w:after="0" w:line="154" w:lineRule="exact"/>
              <w:rPr>
                <w:sz w:val="20"/>
                <w:szCs w:val="20"/>
                <w:color w:val="auto"/>
              </w:rPr>
            </w:pPr>
            <w:r>
              <w:rPr>
                <w:rFonts w:ascii="Arial" w:cs="Arial" w:eastAsia="Arial" w:hAnsi="Arial"/>
                <w:sz w:val="14"/>
                <w:szCs w:val="14"/>
                <w:b w:val="1"/>
                <w:bCs w:val="1"/>
                <w:color w:val="FFFFFF"/>
                <w:w w:val="99"/>
              </w:rPr>
              <w:t>Units of</w:t>
            </w:r>
          </w:p>
        </w:tc>
        <w:tc>
          <w:tcPr>
            <w:tcW w:w="9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or Other</w:t>
            </w:r>
          </w:p>
        </w:tc>
        <w:tc>
          <w:tcPr>
            <w:tcW w:w="100" w:type="dxa"/>
            <w:vAlign w:val="bottom"/>
            <w:shd w:val="clear" w:color="auto" w:fill="DD924E"/>
          </w:tcPr>
          <w:p>
            <w:pPr>
              <w:spacing w:after="0"/>
              <w:rPr>
                <w:sz w:val="13"/>
                <w:szCs w:val="13"/>
                <w:color w:val="auto"/>
              </w:rPr>
            </w:pPr>
          </w:p>
        </w:tc>
        <w:tc>
          <w:tcPr>
            <w:tcW w:w="1160" w:type="dxa"/>
            <w:vAlign w:val="bottom"/>
            <w:tcBorders>
              <w:right w:val="single" w:sz="8" w:color="DD924E"/>
            </w:tcBorders>
            <w:shd w:val="clear" w:color="auto" w:fill="DD924E"/>
          </w:tcPr>
          <w:p>
            <w:pPr>
              <w:jc w:val="center"/>
              <w:ind w:right="14"/>
              <w:spacing w:after="0" w:line="154" w:lineRule="exact"/>
              <w:rPr>
                <w:sz w:val="20"/>
                <w:szCs w:val="20"/>
                <w:color w:val="auto"/>
              </w:rPr>
            </w:pPr>
            <w:r>
              <w:rPr>
                <w:rFonts w:ascii="Arial" w:cs="Arial" w:eastAsia="Arial" w:hAnsi="Arial"/>
                <w:sz w:val="14"/>
                <w:szCs w:val="14"/>
                <w:b w:val="1"/>
                <w:bCs w:val="1"/>
                <w:color w:val="FFFFFF"/>
                <w:w w:val="96"/>
              </w:rPr>
              <w:t>Shares, Units or</w:t>
            </w:r>
          </w:p>
        </w:tc>
        <w:tc>
          <w:tcPr>
            <w:tcW w:w="0" w:type="dxa"/>
            <w:vAlign w:val="bottom"/>
          </w:tcPr>
          <w:p>
            <w:pPr>
              <w:spacing w:after="0"/>
              <w:rPr>
                <w:sz w:val="1"/>
                <w:szCs w:val="1"/>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8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1200" w:type="dxa"/>
            <w:vAlign w:val="bottom"/>
            <w:gridSpan w:val="3"/>
            <w:shd w:val="clear" w:color="auto" w:fill="DD924E"/>
          </w:tcPr>
          <w:p>
            <w:pPr>
              <w:jc w:val="center"/>
              <w:ind w:right="140"/>
              <w:spacing w:after="0" w:line="154" w:lineRule="exact"/>
              <w:rPr>
                <w:sz w:val="20"/>
                <w:szCs w:val="20"/>
                <w:color w:val="auto"/>
              </w:rPr>
            </w:pPr>
            <w:r>
              <w:rPr>
                <w:rFonts w:ascii="Arial" w:cs="Arial" w:eastAsia="Arial" w:hAnsi="Arial"/>
                <w:sz w:val="14"/>
                <w:szCs w:val="14"/>
                <w:b w:val="1"/>
                <w:bCs w:val="1"/>
                <w:color w:val="FFFFFF"/>
                <w:w w:val="95"/>
              </w:rPr>
              <w:t>Underlying</w:t>
            </w:r>
          </w:p>
        </w:tc>
        <w:tc>
          <w:tcPr>
            <w:tcW w:w="1100" w:type="dxa"/>
            <w:vAlign w:val="bottom"/>
            <w:gridSpan w:val="2"/>
            <w:shd w:val="clear" w:color="auto" w:fill="DD924E"/>
          </w:tcPr>
          <w:p>
            <w:pPr>
              <w:jc w:val="center"/>
              <w:ind w:right="100"/>
              <w:spacing w:after="0" w:line="154" w:lineRule="exact"/>
              <w:rPr>
                <w:sz w:val="20"/>
                <w:szCs w:val="20"/>
                <w:color w:val="auto"/>
              </w:rPr>
            </w:pPr>
            <w:r>
              <w:rPr>
                <w:rFonts w:ascii="Arial" w:cs="Arial" w:eastAsia="Arial" w:hAnsi="Arial"/>
                <w:sz w:val="14"/>
                <w:szCs w:val="14"/>
                <w:b w:val="1"/>
                <w:bCs w:val="1"/>
                <w:color w:val="FFFFFF"/>
                <w:w w:val="98"/>
              </w:rPr>
              <w:t>Underlying</w:t>
            </w:r>
          </w:p>
        </w:tc>
        <w:tc>
          <w:tcPr>
            <w:tcW w:w="6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6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6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rPr>
              <w:t>That</w:t>
            </w:r>
          </w:p>
        </w:tc>
        <w:tc>
          <w:tcPr>
            <w:tcW w:w="100" w:type="dxa"/>
            <w:vAlign w:val="bottom"/>
            <w:shd w:val="clear" w:color="auto" w:fill="DD924E"/>
          </w:tcPr>
          <w:p>
            <w:pPr>
              <w:spacing w:after="0"/>
              <w:rPr>
                <w:sz w:val="13"/>
                <w:szCs w:val="13"/>
                <w:color w:val="auto"/>
              </w:rPr>
            </w:pPr>
          </w:p>
        </w:tc>
        <w:tc>
          <w:tcPr>
            <w:tcW w:w="860" w:type="dxa"/>
            <w:vAlign w:val="bottom"/>
            <w:gridSpan w:val="2"/>
            <w:shd w:val="clear" w:color="auto" w:fill="DD924E"/>
          </w:tcPr>
          <w:p>
            <w:pPr>
              <w:jc w:val="center"/>
              <w:ind w:right="120"/>
              <w:spacing w:after="0" w:line="154" w:lineRule="exact"/>
              <w:rPr>
                <w:sz w:val="20"/>
                <w:szCs w:val="20"/>
                <w:color w:val="auto"/>
              </w:rPr>
            </w:pPr>
            <w:r>
              <w:rPr>
                <w:rFonts w:ascii="Arial" w:cs="Arial" w:eastAsia="Arial" w:hAnsi="Arial"/>
                <w:sz w:val="14"/>
                <w:szCs w:val="14"/>
                <w:b w:val="1"/>
                <w:bCs w:val="1"/>
                <w:color w:val="FFFFFF"/>
                <w:w w:val="97"/>
              </w:rPr>
              <w:t>Stock That</w:t>
            </w:r>
          </w:p>
        </w:tc>
        <w:tc>
          <w:tcPr>
            <w:tcW w:w="9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Rights That</w:t>
            </w:r>
          </w:p>
        </w:tc>
        <w:tc>
          <w:tcPr>
            <w:tcW w:w="100" w:type="dxa"/>
            <w:vAlign w:val="bottom"/>
            <w:shd w:val="clear" w:color="auto" w:fill="DD924E"/>
          </w:tcPr>
          <w:p>
            <w:pPr>
              <w:spacing w:after="0"/>
              <w:rPr>
                <w:sz w:val="13"/>
                <w:szCs w:val="13"/>
                <w:color w:val="auto"/>
              </w:rPr>
            </w:pPr>
          </w:p>
        </w:tc>
        <w:tc>
          <w:tcPr>
            <w:tcW w:w="1160" w:type="dxa"/>
            <w:vAlign w:val="bottom"/>
            <w:tcBorders>
              <w:right w:val="single" w:sz="8" w:color="DD924E"/>
            </w:tcBorders>
            <w:shd w:val="clear" w:color="auto" w:fill="DD924E"/>
          </w:tcPr>
          <w:p>
            <w:pPr>
              <w:jc w:val="center"/>
              <w:ind w:right="14"/>
              <w:spacing w:after="0" w:line="154" w:lineRule="exact"/>
              <w:rPr>
                <w:sz w:val="20"/>
                <w:szCs w:val="20"/>
                <w:color w:val="auto"/>
              </w:rPr>
            </w:pPr>
            <w:r>
              <w:rPr>
                <w:rFonts w:ascii="Arial" w:cs="Arial" w:eastAsia="Arial" w:hAnsi="Arial"/>
                <w:sz w:val="14"/>
                <w:szCs w:val="14"/>
                <w:b w:val="1"/>
                <w:bCs w:val="1"/>
                <w:color w:val="FFFFFF"/>
                <w:w w:val="99"/>
              </w:rPr>
              <w:t>Other Rights</w:t>
            </w:r>
          </w:p>
        </w:tc>
        <w:tc>
          <w:tcPr>
            <w:tcW w:w="0" w:type="dxa"/>
            <w:vAlign w:val="bottom"/>
          </w:tcPr>
          <w:p>
            <w:pPr>
              <w:spacing w:after="0"/>
              <w:rPr>
                <w:sz w:val="1"/>
                <w:szCs w:val="1"/>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74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82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8"/>
              </w:rPr>
              <w:t>Option /</w:t>
            </w:r>
          </w:p>
        </w:tc>
        <w:tc>
          <w:tcPr>
            <w:tcW w:w="100" w:type="dxa"/>
            <w:vAlign w:val="bottom"/>
            <w:shd w:val="clear" w:color="auto" w:fill="DD924E"/>
          </w:tcPr>
          <w:p>
            <w:pPr>
              <w:spacing w:after="0"/>
              <w:rPr>
                <w:sz w:val="13"/>
                <w:szCs w:val="13"/>
                <w:color w:val="auto"/>
              </w:rPr>
            </w:pPr>
          </w:p>
        </w:tc>
        <w:tc>
          <w:tcPr>
            <w:tcW w:w="1200" w:type="dxa"/>
            <w:vAlign w:val="bottom"/>
            <w:gridSpan w:val="3"/>
            <w:shd w:val="clear" w:color="auto" w:fill="DD924E"/>
          </w:tcPr>
          <w:p>
            <w:pPr>
              <w:jc w:val="center"/>
              <w:ind w:right="140"/>
              <w:spacing w:after="0" w:line="154" w:lineRule="exact"/>
              <w:rPr>
                <w:sz w:val="20"/>
                <w:szCs w:val="20"/>
                <w:color w:val="auto"/>
              </w:rPr>
            </w:pPr>
            <w:r>
              <w:rPr>
                <w:rFonts w:ascii="Arial" w:cs="Arial" w:eastAsia="Arial" w:hAnsi="Arial"/>
                <w:sz w:val="14"/>
                <w:szCs w:val="14"/>
                <w:b w:val="1"/>
                <w:bCs w:val="1"/>
                <w:color w:val="FFFFFF"/>
                <w:w w:val="98"/>
              </w:rPr>
              <w:t>Unexercised</w:t>
            </w:r>
          </w:p>
        </w:tc>
        <w:tc>
          <w:tcPr>
            <w:tcW w:w="1100" w:type="dxa"/>
            <w:vAlign w:val="bottom"/>
            <w:gridSpan w:val="2"/>
            <w:shd w:val="clear" w:color="auto" w:fill="DD924E"/>
          </w:tcPr>
          <w:p>
            <w:pPr>
              <w:jc w:val="center"/>
              <w:ind w:right="100"/>
              <w:spacing w:after="0" w:line="154" w:lineRule="exact"/>
              <w:rPr>
                <w:sz w:val="20"/>
                <w:szCs w:val="20"/>
                <w:color w:val="auto"/>
              </w:rPr>
            </w:pPr>
            <w:r>
              <w:rPr>
                <w:rFonts w:ascii="Arial" w:cs="Arial" w:eastAsia="Arial" w:hAnsi="Arial"/>
                <w:sz w:val="14"/>
                <w:szCs w:val="14"/>
                <w:b w:val="1"/>
                <w:bCs w:val="1"/>
                <w:color w:val="FFFFFF"/>
                <w:w w:val="96"/>
              </w:rPr>
              <w:t>Unexercised</w:t>
            </w:r>
          </w:p>
        </w:tc>
        <w:tc>
          <w:tcPr>
            <w:tcW w:w="60" w:type="dxa"/>
            <w:vAlign w:val="bottom"/>
            <w:shd w:val="clear" w:color="auto" w:fill="DD924E"/>
          </w:tcPr>
          <w:p>
            <w:pPr>
              <w:spacing w:after="0"/>
              <w:rPr>
                <w:sz w:val="13"/>
                <w:szCs w:val="13"/>
                <w:color w:val="auto"/>
              </w:rPr>
            </w:pPr>
          </w:p>
        </w:tc>
        <w:tc>
          <w:tcPr>
            <w:tcW w:w="40" w:type="dxa"/>
            <w:vAlign w:val="bottom"/>
            <w:shd w:val="clear" w:color="auto" w:fill="DD924E"/>
          </w:tcPr>
          <w:p>
            <w:pPr>
              <w:spacing w:after="0"/>
              <w:rPr>
                <w:sz w:val="13"/>
                <w:szCs w:val="13"/>
                <w:color w:val="auto"/>
              </w:rPr>
            </w:pPr>
          </w:p>
        </w:tc>
        <w:tc>
          <w:tcPr>
            <w:tcW w:w="6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Option</w:t>
            </w:r>
          </w:p>
        </w:tc>
        <w:tc>
          <w:tcPr>
            <w:tcW w:w="100" w:type="dxa"/>
            <w:vAlign w:val="bottom"/>
            <w:shd w:val="clear" w:color="auto" w:fill="DD924E"/>
          </w:tcPr>
          <w:p>
            <w:pPr>
              <w:spacing w:after="0"/>
              <w:rPr>
                <w:sz w:val="13"/>
                <w:szCs w:val="13"/>
                <w:color w:val="auto"/>
              </w:rPr>
            </w:pPr>
          </w:p>
        </w:tc>
        <w:tc>
          <w:tcPr>
            <w:tcW w:w="74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Option</w:t>
            </w:r>
          </w:p>
        </w:tc>
        <w:tc>
          <w:tcPr>
            <w:tcW w:w="100" w:type="dxa"/>
            <w:vAlign w:val="bottom"/>
            <w:shd w:val="clear" w:color="auto" w:fill="DD924E"/>
          </w:tcPr>
          <w:p>
            <w:pPr>
              <w:spacing w:after="0"/>
              <w:rPr>
                <w:sz w:val="13"/>
                <w:szCs w:val="13"/>
                <w:color w:val="auto"/>
              </w:rPr>
            </w:pPr>
          </w:p>
        </w:tc>
        <w:tc>
          <w:tcPr>
            <w:tcW w:w="6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5"/>
              </w:rPr>
              <w:t>Have Not</w:t>
            </w:r>
          </w:p>
        </w:tc>
        <w:tc>
          <w:tcPr>
            <w:tcW w:w="100" w:type="dxa"/>
            <w:vAlign w:val="bottom"/>
            <w:shd w:val="clear" w:color="auto" w:fill="DD924E"/>
          </w:tcPr>
          <w:p>
            <w:pPr>
              <w:spacing w:after="0"/>
              <w:rPr>
                <w:sz w:val="13"/>
                <w:szCs w:val="13"/>
                <w:color w:val="auto"/>
              </w:rPr>
            </w:pPr>
          </w:p>
        </w:tc>
        <w:tc>
          <w:tcPr>
            <w:tcW w:w="860" w:type="dxa"/>
            <w:vAlign w:val="bottom"/>
            <w:gridSpan w:val="2"/>
            <w:shd w:val="clear" w:color="auto" w:fill="DD924E"/>
          </w:tcPr>
          <w:p>
            <w:pPr>
              <w:jc w:val="center"/>
              <w:ind w:right="100"/>
              <w:spacing w:after="0" w:line="154" w:lineRule="exact"/>
              <w:rPr>
                <w:sz w:val="20"/>
                <w:szCs w:val="20"/>
                <w:color w:val="auto"/>
              </w:rPr>
            </w:pPr>
            <w:r>
              <w:rPr>
                <w:rFonts w:ascii="Arial" w:cs="Arial" w:eastAsia="Arial" w:hAnsi="Arial"/>
                <w:sz w:val="14"/>
                <w:szCs w:val="14"/>
                <w:b w:val="1"/>
                <w:bCs w:val="1"/>
                <w:color w:val="FFFFFF"/>
                <w:w w:val="98"/>
              </w:rPr>
              <w:t>Have Not</w:t>
            </w:r>
          </w:p>
        </w:tc>
        <w:tc>
          <w:tcPr>
            <w:tcW w:w="9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5"/>
              </w:rPr>
              <w:t>Have Not</w:t>
            </w:r>
          </w:p>
        </w:tc>
        <w:tc>
          <w:tcPr>
            <w:tcW w:w="100" w:type="dxa"/>
            <w:vAlign w:val="bottom"/>
            <w:shd w:val="clear" w:color="auto" w:fill="DD924E"/>
          </w:tcPr>
          <w:p>
            <w:pPr>
              <w:spacing w:after="0"/>
              <w:rPr>
                <w:sz w:val="13"/>
                <w:szCs w:val="13"/>
                <w:color w:val="auto"/>
              </w:rPr>
            </w:pPr>
          </w:p>
        </w:tc>
        <w:tc>
          <w:tcPr>
            <w:tcW w:w="1160" w:type="dxa"/>
            <w:vAlign w:val="bottom"/>
            <w:tcBorders>
              <w:right w:val="single" w:sz="8" w:color="DD924E"/>
            </w:tcBorders>
            <w:shd w:val="clear" w:color="auto" w:fill="DD924E"/>
          </w:tcPr>
          <w:p>
            <w:pPr>
              <w:jc w:val="center"/>
              <w:ind w:right="14"/>
              <w:spacing w:after="0" w:line="154" w:lineRule="exact"/>
              <w:rPr>
                <w:sz w:val="20"/>
                <w:szCs w:val="20"/>
                <w:color w:val="auto"/>
              </w:rPr>
            </w:pPr>
            <w:r>
              <w:rPr>
                <w:rFonts w:ascii="Arial" w:cs="Arial" w:eastAsia="Arial" w:hAnsi="Arial"/>
                <w:sz w:val="14"/>
                <w:szCs w:val="14"/>
                <w:b w:val="1"/>
                <w:bCs w:val="1"/>
                <w:color w:val="FFFFFF"/>
                <w:w w:val="97"/>
              </w:rPr>
              <w:t>That Have Not</w:t>
            </w:r>
          </w:p>
        </w:tc>
        <w:tc>
          <w:tcPr>
            <w:tcW w:w="0" w:type="dxa"/>
            <w:vAlign w:val="bottom"/>
          </w:tcPr>
          <w:p>
            <w:pPr>
              <w:spacing w:after="0"/>
              <w:rPr>
                <w:sz w:val="1"/>
                <w:szCs w:val="1"/>
                <w:color w:val="auto"/>
              </w:rPr>
            </w:pPr>
          </w:p>
        </w:tc>
      </w:tr>
      <w:tr>
        <w:trPr>
          <w:trHeight w:val="140"/>
        </w:trPr>
        <w:tc>
          <w:tcPr>
            <w:tcW w:w="60" w:type="dxa"/>
            <w:vAlign w:val="bottom"/>
            <w:tcBorders>
              <w:left w:val="single" w:sz="8" w:color="DD924E"/>
            </w:tcBorders>
            <w:shd w:val="clear" w:color="auto" w:fill="DD924E"/>
          </w:tcPr>
          <w:p>
            <w:pPr>
              <w:spacing w:after="0"/>
              <w:rPr>
                <w:sz w:val="12"/>
                <w:szCs w:val="12"/>
                <w:color w:val="auto"/>
              </w:rPr>
            </w:pPr>
          </w:p>
        </w:tc>
        <w:tc>
          <w:tcPr>
            <w:tcW w:w="740" w:type="dxa"/>
            <w:vAlign w:val="bottom"/>
            <w:shd w:val="clear" w:color="auto" w:fill="DD924E"/>
          </w:tcPr>
          <w:p>
            <w:pPr>
              <w:spacing w:after="0"/>
              <w:rPr>
                <w:sz w:val="12"/>
                <w:szCs w:val="12"/>
                <w:color w:val="auto"/>
              </w:rPr>
            </w:pPr>
          </w:p>
        </w:tc>
        <w:tc>
          <w:tcPr>
            <w:tcW w:w="60" w:type="dxa"/>
            <w:vAlign w:val="bottom"/>
            <w:shd w:val="clear" w:color="auto" w:fill="DD924E"/>
          </w:tcPr>
          <w:p>
            <w:pPr>
              <w:spacing w:after="0"/>
              <w:rPr>
                <w:sz w:val="12"/>
                <w:szCs w:val="12"/>
                <w:color w:val="auto"/>
              </w:rPr>
            </w:pPr>
          </w:p>
        </w:tc>
        <w:tc>
          <w:tcPr>
            <w:tcW w:w="880" w:type="dxa"/>
            <w:vAlign w:val="bottom"/>
            <w:gridSpan w:val="2"/>
            <w:shd w:val="clear" w:color="auto" w:fill="DD924E"/>
          </w:tcPr>
          <w:p>
            <w:pPr>
              <w:jc w:val="center"/>
              <w:spacing w:after="0" w:line="140" w:lineRule="exact"/>
              <w:rPr>
                <w:sz w:val="20"/>
                <w:szCs w:val="20"/>
                <w:color w:val="auto"/>
              </w:rPr>
            </w:pPr>
            <w:r>
              <w:rPr>
                <w:rFonts w:ascii="Arial" w:cs="Arial" w:eastAsia="Arial" w:hAnsi="Arial"/>
                <w:sz w:val="14"/>
                <w:szCs w:val="14"/>
                <w:b w:val="1"/>
                <w:bCs w:val="1"/>
                <w:color w:val="FFFFFF"/>
                <w:w w:val="96"/>
              </w:rPr>
              <w:t>Stock Award</w:t>
            </w:r>
          </w:p>
        </w:tc>
        <w:tc>
          <w:tcPr>
            <w:tcW w:w="100" w:type="dxa"/>
            <w:vAlign w:val="bottom"/>
            <w:shd w:val="clear" w:color="auto" w:fill="DD924E"/>
          </w:tcPr>
          <w:p>
            <w:pPr>
              <w:spacing w:after="0"/>
              <w:rPr>
                <w:sz w:val="12"/>
                <w:szCs w:val="12"/>
                <w:color w:val="auto"/>
              </w:rPr>
            </w:pPr>
          </w:p>
        </w:tc>
        <w:tc>
          <w:tcPr>
            <w:tcW w:w="1200" w:type="dxa"/>
            <w:vAlign w:val="bottom"/>
            <w:gridSpan w:val="3"/>
            <w:shd w:val="clear" w:color="auto" w:fill="DD924E"/>
          </w:tcPr>
          <w:p>
            <w:pPr>
              <w:jc w:val="center"/>
              <w:ind w:right="160"/>
              <w:spacing w:after="0" w:line="140" w:lineRule="exact"/>
              <w:rPr>
                <w:sz w:val="20"/>
                <w:szCs w:val="20"/>
                <w:color w:val="auto"/>
              </w:rPr>
            </w:pPr>
            <w:r>
              <w:rPr>
                <w:rFonts w:ascii="Arial" w:cs="Arial" w:eastAsia="Arial" w:hAnsi="Arial"/>
                <w:sz w:val="14"/>
                <w:szCs w:val="14"/>
                <w:b w:val="1"/>
                <w:bCs w:val="1"/>
                <w:color w:val="FFFFFF"/>
                <w:w w:val="97"/>
              </w:rPr>
              <w:t>Options (#)</w:t>
            </w:r>
          </w:p>
        </w:tc>
        <w:tc>
          <w:tcPr>
            <w:tcW w:w="1100" w:type="dxa"/>
            <w:vAlign w:val="bottom"/>
            <w:gridSpan w:val="2"/>
            <w:shd w:val="clear" w:color="auto" w:fill="DD924E"/>
          </w:tcPr>
          <w:p>
            <w:pPr>
              <w:jc w:val="center"/>
              <w:ind w:right="100"/>
              <w:spacing w:after="0" w:line="140" w:lineRule="exact"/>
              <w:rPr>
                <w:sz w:val="20"/>
                <w:szCs w:val="20"/>
                <w:color w:val="auto"/>
              </w:rPr>
            </w:pPr>
            <w:r>
              <w:rPr>
                <w:rFonts w:ascii="Arial" w:cs="Arial" w:eastAsia="Arial" w:hAnsi="Arial"/>
                <w:sz w:val="14"/>
                <w:szCs w:val="14"/>
                <w:b w:val="1"/>
                <w:bCs w:val="1"/>
                <w:color w:val="FFFFFF"/>
                <w:w w:val="97"/>
              </w:rPr>
              <w:t>Options (#)</w:t>
            </w:r>
          </w:p>
        </w:tc>
        <w:tc>
          <w:tcPr>
            <w:tcW w:w="60" w:type="dxa"/>
            <w:vAlign w:val="bottom"/>
            <w:shd w:val="clear" w:color="auto" w:fill="DD924E"/>
          </w:tcPr>
          <w:p>
            <w:pPr>
              <w:spacing w:after="0"/>
              <w:rPr>
                <w:sz w:val="12"/>
                <w:szCs w:val="12"/>
                <w:color w:val="auto"/>
              </w:rPr>
            </w:pPr>
          </w:p>
        </w:tc>
        <w:tc>
          <w:tcPr>
            <w:tcW w:w="40" w:type="dxa"/>
            <w:vAlign w:val="bottom"/>
            <w:shd w:val="clear" w:color="auto" w:fill="DD924E"/>
          </w:tcPr>
          <w:p>
            <w:pPr>
              <w:spacing w:after="0"/>
              <w:rPr>
                <w:sz w:val="12"/>
                <w:szCs w:val="12"/>
                <w:color w:val="auto"/>
              </w:rPr>
            </w:pPr>
          </w:p>
        </w:tc>
        <w:tc>
          <w:tcPr>
            <w:tcW w:w="660" w:type="dxa"/>
            <w:vAlign w:val="bottom"/>
            <w:shd w:val="clear" w:color="auto" w:fill="DD924E"/>
          </w:tcPr>
          <w:p>
            <w:pPr>
              <w:jc w:val="center"/>
              <w:spacing w:after="0" w:line="140" w:lineRule="exact"/>
              <w:rPr>
                <w:sz w:val="20"/>
                <w:szCs w:val="20"/>
                <w:color w:val="auto"/>
              </w:rPr>
            </w:pPr>
            <w:r>
              <w:rPr>
                <w:rFonts w:ascii="Arial" w:cs="Arial" w:eastAsia="Arial" w:hAnsi="Arial"/>
                <w:sz w:val="14"/>
                <w:szCs w:val="14"/>
                <w:b w:val="1"/>
                <w:bCs w:val="1"/>
                <w:color w:val="FFFFFF"/>
                <w:w w:val="97"/>
              </w:rPr>
              <w:t>Exercise</w:t>
            </w:r>
          </w:p>
        </w:tc>
        <w:tc>
          <w:tcPr>
            <w:tcW w:w="100" w:type="dxa"/>
            <w:vAlign w:val="bottom"/>
            <w:shd w:val="clear" w:color="auto" w:fill="DD924E"/>
          </w:tcPr>
          <w:p>
            <w:pPr>
              <w:spacing w:after="0"/>
              <w:rPr>
                <w:sz w:val="12"/>
                <w:szCs w:val="12"/>
                <w:color w:val="auto"/>
              </w:rPr>
            </w:pPr>
          </w:p>
        </w:tc>
        <w:tc>
          <w:tcPr>
            <w:tcW w:w="740" w:type="dxa"/>
            <w:vAlign w:val="bottom"/>
            <w:shd w:val="clear" w:color="auto" w:fill="DD924E"/>
          </w:tcPr>
          <w:p>
            <w:pPr>
              <w:jc w:val="center"/>
              <w:spacing w:after="0" w:line="140" w:lineRule="exact"/>
              <w:rPr>
                <w:sz w:val="20"/>
                <w:szCs w:val="20"/>
                <w:color w:val="auto"/>
              </w:rPr>
            </w:pPr>
            <w:r>
              <w:rPr>
                <w:rFonts w:ascii="Arial" w:cs="Arial" w:eastAsia="Arial" w:hAnsi="Arial"/>
                <w:sz w:val="14"/>
                <w:szCs w:val="14"/>
                <w:b w:val="1"/>
                <w:bCs w:val="1"/>
                <w:color w:val="FFFFFF"/>
                <w:w w:val="96"/>
              </w:rPr>
              <w:t>Expiration</w:t>
            </w:r>
          </w:p>
        </w:tc>
        <w:tc>
          <w:tcPr>
            <w:tcW w:w="100" w:type="dxa"/>
            <w:vAlign w:val="bottom"/>
            <w:shd w:val="clear" w:color="auto" w:fill="DD924E"/>
          </w:tcPr>
          <w:p>
            <w:pPr>
              <w:spacing w:after="0"/>
              <w:rPr>
                <w:sz w:val="12"/>
                <w:szCs w:val="12"/>
                <w:color w:val="auto"/>
              </w:rPr>
            </w:pPr>
          </w:p>
        </w:tc>
        <w:tc>
          <w:tcPr>
            <w:tcW w:w="660" w:type="dxa"/>
            <w:vAlign w:val="bottom"/>
            <w:shd w:val="clear" w:color="auto" w:fill="DD924E"/>
          </w:tcPr>
          <w:p>
            <w:pPr>
              <w:jc w:val="right"/>
              <w:ind w:right="53"/>
              <w:spacing w:after="0" w:line="140" w:lineRule="exact"/>
              <w:rPr>
                <w:sz w:val="20"/>
                <w:szCs w:val="20"/>
                <w:color w:val="auto"/>
              </w:rPr>
            </w:pPr>
            <w:r>
              <w:rPr>
                <w:rFonts w:ascii="Arial" w:cs="Arial" w:eastAsia="Arial" w:hAnsi="Arial"/>
                <w:sz w:val="14"/>
                <w:szCs w:val="14"/>
                <w:b w:val="1"/>
                <w:bCs w:val="1"/>
                <w:color w:val="FFFFFF"/>
              </w:rPr>
              <w:t>Vested</w:t>
            </w:r>
          </w:p>
        </w:tc>
        <w:tc>
          <w:tcPr>
            <w:tcW w:w="100" w:type="dxa"/>
            <w:vAlign w:val="bottom"/>
            <w:shd w:val="clear" w:color="auto" w:fill="DD924E"/>
          </w:tcPr>
          <w:p>
            <w:pPr>
              <w:spacing w:after="0"/>
              <w:rPr>
                <w:sz w:val="12"/>
                <w:szCs w:val="12"/>
                <w:color w:val="auto"/>
              </w:rPr>
            </w:pPr>
          </w:p>
        </w:tc>
        <w:tc>
          <w:tcPr>
            <w:tcW w:w="860" w:type="dxa"/>
            <w:vAlign w:val="bottom"/>
            <w:gridSpan w:val="2"/>
            <w:shd w:val="clear" w:color="auto" w:fill="DD924E"/>
          </w:tcPr>
          <w:p>
            <w:pPr>
              <w:jc w:val="center"/>
              <w:ind w:right="100"/>
              <w:spacing w:after="0" w:line="140" w:lineRule="exact"/>
              <w:rPr>
                <w:sz w:val="20"/>
                <w:szCs w:val="20"/>
                <w:color w:val="auto"/>
              </w:rPr>
            </w:pPr>
            <w:r>
              <w:rPr>
                <w:rFonts w:ascii="Arial" w:cs="Arial" w:eastAsia="Arial" w:hAnsi="Arial"/>
                <w:sz w:val="14"/>
                <w:szCs w:val="14"/>
                <w:b w:val="1"/>
                <w:bCs w:val="1"/>
                <w:color w:val="FFFFFF"/>
                <w:w w:val="95"/>
              </w:rPr>
              <w:t>Vested</w:t>
            </w:r>
          </w:p>
        </w:tc>
        <w:tc>
          <w:tcPr>
            <w:tcW w:w="960" w:type="dxa"/>
            <w:vAlign w:val="bottom"/>
            <w:shd w:val="clear" w:color="auto" w:fill="DD924E"/>
          </w:tcPr>
          <w:p>
            <w:pPr>
              <w:jc w:val="center"/>
              <w:spacing w:after="0" w:line="140" w:lineRule="exact"/>
              <w:rPr>
                <w:sz w:val="20"/>
                <w:szCs w:val="20"/>
                <w:color w:val="auto"/>
              </w:rPr>
            </w:pPr>
            <w:r>
              <w:rPr>
                <w:rFonts w:ascii="Arial" w:cs="Arial" w:eastAsia="Arial" w:hAnsi="Arial"/>
                <w:sz w:val="14"/>
                <w:szCs w:val="14"/>
                <w:b w:val="1"/>
                <w:bCs w:val="1"/>
                <w:color w:val="FFFFFF"/>
                <w:w w:val="95"/>
              </w:rPr>
              <w:t>Vested</w:t>
            </w:r>
          </w:p>
        </w:tc>
        <w:tc>
          <w:tcPr>
            <w:tcW w:w="100" w:type="dxa"/>
            <w:vAlign w:val="bottom"/>
            <w:shd w:val="clear" w:color="auto" w:fill="DD924E"/>
          </w:tcPr>
          <w:p>
            <w:pPr>
              <w:spacing w:after="0"/>
              <w:rPr>
                <w:sz w:val="12"/>
                <w:szCs w:val="12"/>
                <w:color w:val="auto"/>
              </w:rPr>
            </w:pPr>
          </w:p>
        </w:tc>
        <w:tc>
          <w:tcPr>
            <w:tcW w:w="1160" w:type="dxa"/>
            <w:vAlign w:val="bottom"/>
            <w:tcBorders>
              <w:right w:val="single" w:sz="8" w:color="DD924E"/>
            </w:tcBorders>
            <w:shd w:val="clear" w:color="auto" w:fill="DD924E"/>
          </w:tcPr>
          <w:p>
            <w:pPr>
              <w:jc w:val="center"/>
              <w:ind w:right="14"/>
              <w:spacing w:after="0" w:line="140" w:lineRule="exact"/>
              <w:rPr>
                <w:sz w:val="20"/>
                <w:szCs w:val="20"/>
                <w:color w:val="auto"/>
              </w:rPr>
            </w:pPr>
            <w:r>
              <w:rPr>
                <w:rFonts w:ascii="Arial" w:cs="Arial" w:eastAsia="Arial" w:hAnsi="Arial"/>
                <w:sz w:val="14"/>
                <w:szCs w:val="14"/>
                <w:b w:val="1"/>
                <w:bCs w:val="1"/>
                <w:color w:val="FFFFFF"/>
                <w:w w:val="95"/>
              </w:rPr>
              <w:t>Vested</w:t>
            </w:r>
          </w:p>
        </w:tc>
        <w:tc>
          <w:tcPr>
            <w:tcW w:w="0" w:type="dxa"/>
            <w:vAlign w:val="bottom"/>
          </w:tcPr>
          <w:p>
            <w:pPr>
              <w:spacing w:after="0"/>
              <w:rPr>
                <w:sz w:val="1"/>
                <w:szCs w:val="1"/>
                <w:color w:val="auto"/>
              </w:rPr>
            </w:pPr>
          </w:p>
        </w:tc>
      </w:tr>
      <w:tr>
        <w:trPr>
          <w:trHeight w:val="198"/>
        </w:trPr>
        <w:tc>
          <w:tcPr>
            <w:tcW w:w="60" w:type="dxa"/>
            <w:vAlign w:val="bottom"/>
            <w:tcBorders>
              <w:left w:val="single" w:sz="8" w:color="DD924E"/>
              <w:bottom w:val="single" w:sz="8" w:color="DD924E"/>
            </w:tcBorders>
            <w:shd w:val="clear" w:color="auto" w:fill="DD924E"/>
          </w:tcPr>
          <w:p>
            <w:pPr>
              <w:spacing w:after="0"/>
              <w:rPr>
                <w:sz w:val="17"/>
                <w:szCs w:val="17"/>
                <w:color w:val="auto"/>
              </w:rPr>
            </w:pPr>
          </w:p>
        </w:tc>
        <w:tc>
          <w:tcPr>
            <w:tcW w:w="740" w:type="dxa"/>
            <w:vAlign w:val="bottom"/>
            <w:tcBorders>
              <w:bottom w:val="single" w:sz="8" w:color="auto"/>
            </w:tcBorders>
            <w:shd w:val="clear" w:color="auto" w:fill="DD924E"/>
          </w:tcPr>
          <w:p>
            <w:pPr>
              <w:ind w:left="180"/>
              <w:spacing w:after="0"/>
              <w:rPr>
                <w:sz w:val="20"/>
                <w:szCs w:val="20"/>
                <w:color w:val="auto"/>
              </w:rPr>
            </w:pPr>
            <w:r>
              <w:rPr>
                <w:rFonts w:ascii="Arial" w:cs="Arial" w:eastAsia="Arial" w:hAnsi="Arial"/>
                <w:sz w:val="14"/>
                <w:szCs w:val="14"/>
                <w:b w:val="1"/>
                <w:bCs w:val="1"/>
                <w:color w:val="FFFFFF"/>
              </w:rPr>
              <w:t>Name</w:t>
            </w:r>
          </w:p>
        </w:tc>
        <w:tc>
          <w:tcPr>
            <w:tcW w:w="60" w:type="dxa"/>
            <w:vAlign w:val="bottom"/>
            <w:tcBorders>
              <w:bottom w:val="single" w:sz="8" w:color="DD924E"/>
            </w:tcBorders>
            <w:shd w:val="clear" w:color="auto" w:fill="DD924E"/>
          </w:tcPr>
          <w:p>
            <w:pPr>
              <w:spacing w:after="0"/>
              <w:rPr>
                <w:sz w:val="17"/>
                <w:szCs w:val="17"/>
                <w:color w:val="auto"/>
              </w:rPr>
            </w:pPr>
          </w:p>
        </w:tc>
        <w:tc>
          <w:tcPr>
            <w:tcW w:w="60" w:type="dxa"/>
            <w:vAlign w:val="bottom"/>
            <w:tcBorders>
              <w:bottom w:val="single" w:sz="8" w:color="DD924E"/>
            </w:tcBorders>
            <w:shd w:val="clear" w:color="auto" w:fill="DD924E"/>
          </w:tcPr>
          <w:p>
            <w:pPr>
              <w:spacing w:after="0"/>
              <w:rPr>
                <w:sz w:val="17"/>
                <w:szCs w:val="17"/>
                <w:color w:val="auto"/>
              </w:rPr>
            </w:pPr>
          </w:p>
        </w:tc>
        <w:tc>
          <w:tcPr>
            <w:tcW w:w="82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Grant Date</w:t>
            </w:r>
          </w:p>
        </w:tc>
        <w:tc>
          <w:tcPr>
            <w:tcW w:w="100" w:type="dxa"/>
            <w:vAlign w:val="bottom"/>
            <w:tcBorders>
              <w:bottom w:val="single" w:sz="8" w:color="DD924E"/>
            </w:tcBorders>
            <w:shd w:val="clear" w:color="auto" w:fill="DD924E"/>
          </w:tcPr>
          <w:p>
            <w:pPr>
              <w:spacing w:after="0"/>
              <w:rPr>
                <w:sz w:val="17"/>
                <w:szCs w:val="17"/>
                <w:color w:val="auto"/>
              </w:rPr>
            </w:pPr>
          </w:p>
        </w:tc>
        <w:tc>
          <w:tcPr>
            <w:tcW w:w="1060" w:type="dxa"/>
            <w:vAlign w:val="bottom"/>
            <w:tcBorders>
              <w:bottom w:val="single" w:sz="8" w:color="auto"/>
            </w:tcBorders>
            <w:shd w:val="clear" w:color="auto" w:fill="DD924E"/>
          </w:tcPr>
          <w:p>
            <w:pPr>
              <w:jc w:val="center"/>
              <w:spacing w:after="0" w:line="180" w:lineRule="exact"/>
              <w:rPr>
                <w:sz w:val="20"/>
                <w:szCs w:val="20"/>
                <w:color w:val="auto"/>
              </w:rPr>
            </w:pPr>
            <w:r>
              <w:rPr>
                <w:rFonts w:ascii="Arial" w:cs="Arial" w:eastAsia="Arial" w:hAnsi="Arial"/>
                <w:sz w:val="14"/>
                <w:szCs w:val="14"/>
                <w:b w:val="1"/>
                <w:bCs w:val="1"/>
                <w:color w:val="FFFFFF"/>
                <w:w w:val="95"/>
              </w:rPr>
              <w:t>Exercisable</w:t>
            </w:r>
            <w:r>
              <w:rPr>
                <w:rFonts w:ascii="Arial" w:cs="Arial" w:eastAsia="Arial" w:hAnsi="Arial"/>
                <w:sz w:val="20"/>
                <w:szCs w:val="20"/>
                <w:b w:val="1"/>
                <w:bCs w:val="1"/>
                <w:color w:val="FFFFFF"/>
                <w:w w:val="95"/>
                <w:vertAlign w:val="superscript"/>
              </w:rPr>
              <w:t>(1)</w:t>
            </w:r>
          </w:p>
        </w:tc>
        <w:tc>
          <w:tcPr>
            <w:tcW w:w="100" w:type="dxa"/>
            <w:vAlign w:val="bottom"/>
            <w:tcBorders>
              <w:bottom w:val="single" w:sz="8" w:color="DD924E"/>
            </w:tcBorders>
            <w:shd w:val="clear" w:color="auto" w:fill="DD924E"/>
          </w:tcPr>
          <w:p>
            <w:pPr>
              <w:spacing w:after="0"/>
              <w:rPr>
                <w:sz w:val="17"/>
                <w:szCs w:val="17"/>
                <w:color w:val="auto"/>
              </w:rPr>
            </w:pPr>
          </w:p>
        </w:tc>
        <w:tc>
          <w:tcPr>
            <w:tcW w:w="40" w:type="dxa"/>
            <w:vAlign w:val="bottom"/>
            <w:tcBorders>
              <w:bottom w:val="single" w:sz="8" w:color="auto"/>
            </w:tcBorders>
            <w:shd w:val="clear" w:color="auto" w:fill="DD924E"/>
          </w:tcPr>
          <w:p>
            <w:pPr>
              <w:spacing w:after="0"/>
              <w:rPr>
                <w:sz w:val="17"/>
                <w:szCs w:val="17"/>
                <w:color w:val="auto"/>
              </w:rPr>
            </w:pPr>
          </w:p>
        </w:tc>
        <w:tc>
          <w:tcPr>
            <w:tcW w:w="106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6"/>
              </w:rPr>
              <w:t>Unexercisable</w:t>
            </w:r>
          </w:p>
        </w:tc>
        <w:tc>
          <w:tcPr>
            <w:tcW w:w="40" w:type="dxa"/>
            <w:vAlign w:val="bottom"/>
            <w:tcBorders>
              <w:bottom w:val="single" w:sz="8" w:color="DD924E"/>
            </w:tcBorders>
            <w:shd w:val="clear" w:color="auto" w:fill="DD924E"/>
          </w:tcPr>
          <w:p>
            <w:pPr>
              <w:spacing w:after="0"/>
              <w:rPr>
                <w:sz w:val="17"/>
                <w:szCs w:val="17"/>
                <w:color w:val="auto"/>
              </w:rPr>
            </w:pPr>
          </w:p>
        </w:tc>
        <w:tc>
          <w:tcPr>
            <w:tcW w:w="60" w:type="dxa"/>
            <w:vAlign w:val="bottom"/>
            <w:tcBorders>
              <w:bottom w:val="single" w:sz="8" w:color="DD924E"/>
            </w:tcBorders>
            <w:shd w:val="clear" w:color="auto" w:fill="DD924E"/>
          </w:tcPr>
          <w:p>
            <w:pPr>
              <w:spacing w:after="0"/>
              <w:rPr>
                <w:sz w:val="17"/>
                <w:szCs w:val="17"/>
                <w:color w:val="auto"/>
              </w:rPr>
            </w:pPr>
          </w:p>
        </w:tc>
        <w:tc>
          <w:tcPr>
            <w:tcW w:w="40" w:type="dxa"/>
            <w:vAlign w:val="bottom"/>
            <w:tcBorders>
              <w:bottom w:val="single" w:sz="8" w:color="auto"/>
            </w:tcBorders>
            <w:shd w:val="clear" w:color="auto" w:fill="DD924E"/>
          </w:tcPr>
          <w:p>
            <w:pPr>
              <w:spacing w:after="0"/>
              <w:rPr>
                <w:sz w:val="17"/>
                <w:szCs w:val="17"/>
                <w:color w:val="auto"/>
              </w:rPr>
            </w:pPr>
          </w:p>
        </w:tc>
        <w:tc>
          <w:tcPr>
            <w:tcW w:w="66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Price ($)</w:t>
            </w:r>
          </w:p>
        </w:tc>
        <w:tc>
          <w:tcPr>
            <w:tcW w:w="100" w:type="dxa"/>
            <w:vAlign w:val="bottom"/>
            <w:tcBorders>
              <w:bottom w:val="single" w:sz="8" w:color="DD924E"/>
            </w:tcBorders>
            <w:shd w:val="clear" w:color="auto" w:fill="DD924E"/>
          </w:tcPr>
          <w:p>
            <w:pPr>
              <w:spacing w:after="0"/>
              <w:rPr>
                <w:sz w:val="17"/>
                <w:szCs w:val="17"/>
                <w:color w:val="auto"/>
              </w:rPr>
            </w:pPr>
          </w:p>
        </w:tc>
        <w:tc>
          <w:tcPr>
            <w:tcW w:w="740" w:type="dxa"/>
            <w:vAlign w:val="bottom"/>
            <w:tcBorders>
              <w:bottom w:val="single" w:sz="8" w:color="auto"/>
            </w:tcBorders>
            <w:shd w:val="clear" w:color="auto" w:fill="DD924E"/>
          </w:tcPr>
          <w:p>
            <w:pPr>
              <w:ind w:left="220"/>
              <w:spacing w:after="0"/>
              <w:rPr>
                <w:sz w:val="20"/>
                <w:szCs w:val="20"/>
                <w:color w:val="auto"/>
              </w:rPr>
            </w:pPr>
            <w:r>
              <w:rPr>
                <w:rFonts w:ascii="Arial" w:cs="Arial" w:eastAsia="Arial" w:hAnsi="Arial"/>
                <w:sz w:val="14"/>
                <w:szCs w:val="14"/>
                <w:b w:val="1"/>
                <w:bCs w:val="1"/>
                <w:color w:val="FFFFFF"/>
              </w:rPr>
              <w:t>Date</w:t>
            </w:r>
          </w:p>
        </w:tc>
        <w:tc>
          <w:tcPr>
            <w:tcW w:w="100" w:type="dxa"/>
            <w:vAlign w:val="bottom"/>
            <w:tcBorders>
              <w:bottom w:val="single" w:sz="8" w:color="DD924E"/>
            </w:tcBorders>
            <w:shd w:val="clear" w:color="auto" w:fill="DD924E"/>
          </w:tcPr>
          <w:p>
            <w:pPr>
              <w:spacing w:after="0"/>
              <w:rPr>
                <w:sz w:val="17"/>
                <w:szCs w:val="17"/>
                <w:color w:val="auto"/>
              </w:rPr>
            </w:pPr>
          </w:p>
        </w:tc>
        <w:tc>
          <w:tcPr>
            <w:tcW w:w="660" w:type="dxa"/>
            <w:vAlign w:val="bottom"/>
            <w:tcBorders>
              <w:bottom w:val="single" w:sz="8" w:color="auto"/>
            </w:tcBorders>
            <w:shd w:val="clear" w:color="auto" w:fill="DD924E"/>
          </w:tcPr>
          <w:p>
            <w:pPr>
              <w:jc w:val="center"/>
              <w:spacing w:after="0" w:line="180"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9"/>
                <w:szCs w:val="9"/>
                <w:b w:val="1"/>
                <w:bCs w:val="1"/>
                <w:color w:val="FFFFFF"/>
              </w:rPr>
              <w:t>(2)</w:t>
            </w:r>
          </w:p>
        </w:tc>
        <w:tc>
          <w:tcPr>
            <w:tcW w:w="100" w:type="dxa"/>
            <w:vAlign w:val="bottom"/>
            <w:tcBorders>
              <w:bottom w:val="single" w:sz="8" w:color="DD924E"/>
            </w:tcBorders>
            <w:shd w:val="clear" w:color="auto" w:fill="DD924E"/>
          </w:tcPr>
          <w:p>
            <w:pPr>
              <w:spacing w:after="0"/>
              <w:rPr>
                <w:sz w:val="17"/>
                <w:szCs w:val="17"/>
                <w:color w:val="auto"/>
              </w:rPr>
            </w:pPr>
          </w:p>
        </w:tc>
        <w:tc>
          <w:tcPr>
            <w:tcW w:w="760" w:type="dxa"/>
            <w:vAlign w:val="bottom"/>
            <w:tcBorders>
              <w:bottom w:val="single" w:sz="8" w:color="auto"/>
            </w:tcBorders>
            <w:shd w:val="clear" w:color="auto" w:fill="DD924E"/>
          </w:tcPr>
          <w:p>
            <w:pPr>
              <w:jc w:val="center"/>
              <w:spacing w:after="0" w:line="180"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9"/>
                <w:szCs w:val="9"/>
                <w:b w:val="1"/>
                <w:bCs w:val="1"/>
                <w:color w:val="FFFFFF"/>
              </w:rPr>
              <w:t>(4)</w:t>
            </w:r>
          </w:p>
        </w:tc>
        <w:tc>
          <w:tcPr>
            <w:tcW w:w="100" w:type="dxa"/>
            <w:vAlign w:val="bottom"/>
            <w:tcBorders>
              <w:bottom w:val="single" w:sz="8" w:color="DD924E"/>
            </w:tcBorders>
            <w:shd w:val="clear" w:color="auto" w:fill="DD924E"/>
          </w:tcPr>
          <w:p>
            <w:pPr>
              <w:spacing w:after="0"/>
              <w:rPr>
                <w:sz w:val="17"/>
                <w:szCs w:val="17"/>
                <w:color w:val="auto"/>
              </w:rPr>
            </w:pPr>
          </w:p>
        </w:tc>
        <w:tc>
          <w:tcPr>
            <w:tcW w:w="960" w:type="dxa"/>
            <w:vAlign w:val="bottom"/>
            <w:tcBorders>
              <w:bottom w:val="single" w:sz="8" w:color="auto"/>
            </w:tcBorders>
            <w:shd w:val="clear" w:color="auto" w:fill="DD924E"/>
          </w:tcPr>
          <w:p>
            <w:pPr>
              <w:jc w:val="center"/>
              <w:spacing w:after="0" w:line="180"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9"/>
                <w:szCs w:val="9"/>
                <w:b w:val="1"/>
                <w:bCs w:val="1"/>
                <w:color w:val="FFFFFF"/>
              </w:rPr>
              <w:t>(3)</w:t>
            </w:r>
          </w:p>
        </w:tc>
        <w:tc>
          <w:tcPr>
            <w:tcW w:w="100" w:type="dxa"/>
            <w:vAlign w:val="bottom"/>
            <w:tcBorders>
              <w:bottom w:val="single" w:sz="8" w:color="DD924E"/>
            </w:tcBorders>
            <w:shd w:val="clear" w:color="auto" w:fill="DD924E"/>
          </w:tcPr>
          <w:p>
            <w:pPr>
              <w:spacing w:after="0"/>
              <w:rPr>
                <w:sz w:val="17"/>
                <w:szCs w:val="17"/>
                <w:color w:val="auto"/>
              </w:rPr>
            </w:pPr>
          </w:p>
        </w:tc>
        <w:tc>
          <w:tcPr>
            <w:tcW w:w="1160" w:type="dxa"/>
            <w:vAlign w:val="bottom"/>
            <w:tcBorders>
              <w:bottom w:val="single" w:sz="8" w:color="auto"/>
              <w:right w:val="single" w:sz="8" w:color="DD924E"/>
            </w:tcBorders>
            <w:shd w:val="clear" w:color="auto" w:fill="DD924E"/>
          </w:tcPr>
          <w:p>
            <w:pPr>
              <w:jc w:val="center"/>
              <w:ind w:right="14"/>
              <w:spacing w:after="0" w:line="180"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9"/>
                <w:szCs w:val="9"/>
                <w:b w:val="1"/>
                <w:bCs w:val="1"/>
                <w:color w:val="FFFFFF"/>
              </w:rPr>
              <w:t>(4)</w:t>
            </w:r>
          </w:p>
        </w:tc>
        <w:tc>
          <w:tcPr>
            <w:tcW w:w="0" w:type="dxa"/>
            <w:vAlign w:val="bottom"/>
          </w:tcPr>
          <w:p>
            <w:pPr>
              <w:spacing w:after="0"/>
              <w:rPr>
                <w:sz w:val="1"/>
                <w:szCs w:val="1"/>
                <w:color w:val="auto"/>
              </w:rPr>
            </w:pPr>
          </w:p>
        </w:tc>
      </w:tr>
      <w:tr>
        <w:trPr>
          <w:trHeight w:val="179"/>
        </w:trPr>
        <w:tc>
          <w:tcPr>
            <w:tcW w:w="860" w:type="dxa"/>
            <w:vAlign w:val="bottom"/>
            <w:tcBorders>
              <w:left w:val="single" w:sz="8" w:color="DD924E"/>
            </w:tcBorders>
            <w:gridSpan w:val="3"/>
            <w:shd w:val="clear" w:color="auto" w:fill="FBF4ED"/>
          </w:tcPr>
          <w:p>
            <w:pPr>
              <w:ind w:left="60"/>
              <w:spacing w:after="0"/>
              <w:rPr>
                <w:sz w:val="20"/>
                <w:szCs w:val="20"/>
                <w:color w:val="auto"/>
              </w:rPr>
            </w:pPr>
            <w:r>
              <w:rPr>
                <w:rFonts w:ascii="Arial" w:cs="Arial" w:eastAsia="Arial" w:hAnsi="Arial"/>
                <w:sz w:val="14"/>
                <w:szCs w:val="14"/>
                <w:color w:val="auto"/>
              </w:rPr>
              <w:t>Rohit</w:t>
            </w: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2/7/2012</w:t>
            </w:r>
          </w:p>
        </w:tc>
        <w:tc>
          <w:tcPr>
            <w:tcW w:w="11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47,500</w:t>
            </w:r>
          </w:p>
        </w:tc>
        <w:tc>
          <w:tcPr>
            <w:tcW w:w="100" w:type="dxa"/>
            <w:vAlign w:val="bottom"/>
            <w:shd w:val="clear" w:color="auto" w:fill="FBF4ED"/>
          </w:tcPr>
          <w:p>
            <w:pPr>
              <w:spacing w:after="0"/>
              <w:rPr>
                <w:sz w:val="15"/>
                <w:szCs w:val="15"/>
                <w:color w:val="auto"/>
              </w:rPr>
            </w:pPr>
          </w:p>
        </w:tc>
        <w:tc>
          <w:tcPr>
            <w:tcW w:w="40" w:type="dxa"/>
            <w:vAlign w:val="bottom"/>
            <w:shd w:val="clear" w:color="auto" w:fill="FBF4ED"/>
          </w:tcPr>
          <w:p>
            <w:pPr>
              <w:spacing w:after="0"/>
              <w:rPr>
                <w:sz w:val="15"/>
                <w:szCs w:val="15"/>
                <w:color w:val="auto"/>
              </w:rPr>
            </w:pPr>
          </w:p>
        </w:tc>
        <w:tc>
          <w:tcPr>
            <w:tcW w:w="1100" w:type="dxa"/>
            <w:vAlign w:val="bottom"/>
            <w:gridSpan w:val="2"/>
            <w:shd w:val="clear" w:color="auto" w:fill="FBF4ED"/>
          </w:tcPr>
          <w:p>
            <w:pPr>
              <w:ind w:left="900"/>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FBF4ED"/>
          </w:tcPr>
          <w:p>
            <w:pPr>
              <w:jc w:val="right"/>
              <w:spacing w:after="0"/>
              <w:rPr>
                <w:sz w:val="20"/>
                <w:szCs w:val="20"/>
                <w:color w:val="auto"/>
              </w:rPr>
            </w:pPr>
            <w:r>
              <w:rPr>
                <w:rFonts w:ascii="Arial" w:cs="Arial" w:eastAsia="Arial" w:hAnsi="Arial"/>
                <w:sz w:val="14"/>
                <w:szCs w:val="14"/>
                <w:color w:val="auto"/>
              </w:rPr>
              <w:t>24.77</w:t>
            </w:r>
          </w:p>
        </w:tc>
        <w:tc>
          <w:tcPr>
            <w:tcW w:w="840" w:type="dxa"/>
            <w:vAlign w:val="bottom"/>
            <w:gridSpan w:val="2"/>
            <w:shd w:val="clear" w:color="auto" w:fill="FBF4ED"/>
          </w:tcPr>
          <w:p>
            <w:pPr>
              <w:ind w:left="300"/>
              <w:spacing w:after="0"/>
              <w:rPr>
                <w:sz w:val="20"/>
                <w:szCs w:val="20"/>
                <w:color w:val="auto"/>
              </w:rPr>
            </w:pPr>
            <w:r>
              <w:rPr>
                <w:rFonts w:ascii="Arial" w:cs="Arial" w:eastAsia="Arial" w:hAnsi="Arial"/>
                <w:sz w:val="14"/>
                <w:szCs w:val="14"/>
                <w:color w:val="auto"/>
                <w:w w:val="95"/>
              </w:rPr>
              <w:t>2/7/2022</w:t>
            </w:r>
          </w:p>
        </w:tc>
        <w:tc>
          <w:tcPr>
            <w:tcW w:w="100" w:type="dxa"/>
            <w:vAlign w:val="bottom"/>
            <w:shd w:val="clear" w:color="auto" w:fill="FBF4ED"/>
          </w:tcPr>
          <w:p>
            <w:pPr>
              <w:spacing w:after="0"/>
              <w:rPr>
                <w:sz w:val="15"/>
                <w:szCs w:val="15"/>
                <w:color w:val="auto"/>
              </w:rPr>
            </w:pPr>
          </w:p>
        </w:tc>
        <w:tc>
          <w:tcPr>
            <w:tcW w:w="660" w:type="dxa"/>
            <w:vAlign w:val="bottom"/>
            <w:vMerge w:val="restart"/>
            <w:shd w:val="clear" w:color="auto" w:fill="FBF4ED"/>
          </w:tcPr>
          <w:p>
            <w:pPr>
              <w:jc w:val="right"/>
              <w:spacing w:after="0"/>
              <w:rPr>
                <w:sz w:val="20"/>
                <w:szCs w:val="20"/>
                <w:color w:val="auto"/>
              </w:rPr>
            </w:pPr>
            <w:r>
              <w:rPr>
                <w:rFonts w:ascii="Arial" w:cs="Arial" w:eastAsia="Arial" w:hAnsi="Arial"/>
                <w:sz w:val="14"/>
                <w:szCs w:val="14"/>
                <w:color w:val="auto"/>
              </w:rPr>
              <w:t>9,375</w:t>
            </w:r>
            <w:r>
              <w:rPr>
                <w:rFonts w:ascii="Arial" w:cs="Arial" w:eastAsia="Arial" w:hAnsi="Arial"/>
                <w:sz w:val="20"/>
                <w:szCs w:val="20"/>
                <w:b w:val="1"/>
                <w:bCs w:val="1"/>
                <w:color w:val="auto"/>
                <w:vertAlign w:val="superscript"/>
              </w:rPr>
              <w:t>(a)</w:t>
            </w:r>
          </w:p>
        </w:tc>
        <w:tc>
          <w:tcPr>
            <w:tcW w:w="100" w:type="dxa"/>
            <w:vAlign w:val="bottom"/>
            <w:shd w:val="clear" w:color="auto" w:fill="FBF4ED"/>
          </w:tcPr>
          <w:p>
            <w:pPr>
              <w:spacing w:after="0"/>
              <w:rPr>
                <w:sz w:val="15"/>
                <w:szCs w:val="15"/>
                <w:color w:val="auto"/>
              </w:rPr>
            </w:pPr>
          </w:p>
        </w:tc>
        <w:tc>
          <w:tcPr>
            <w:tcW w:w="760" w:type="dxa"/>
            <w:vAlign w:val="bottom"/>
            <w:shd w:val="clear" w:color="auto" w:fill="FBF4ED"/>
          </w:tcPr>
          <w:p>
            <w:pPr>
              <w:spacing w:after="0"/>
              <w:rPr>
                <w:sz w:val="15"/>
                <w:szCs w:val="15"/>
                <w:color w:val="auto"/>
              </w:rPr>
            </w:pPr>
          </w:p>
        </w:tc>
        <w:tc>
          <w:tcPr>
            <w:tcW w:w="100" w:type="dxa"/>
            <w:vAlign w:val="bottom"/>
            <w:shd w:val="clear" w:color="auto" w:fill="FBF4ED"/>
          </w:tcPr>
          <w:p>
            <w:pPr>
              <w:spacing w:after="0"/>
              <w:rPr>
                <w:sz w:val="15"/>
                <w:szCs w:val="15"/>
                <w:color w:val="auto"/>
              </w:rPr>
            </w:pPr>
          </w:p>
        </w:tc>
        <w:tc>
          <w:tcPr>
            <w:tcW w:w="960" w:type="dxa"/>
            <w:vAlign w:val="bottom"/>
            <w:shd w:val="clear" w:color="auto" w:fill="FBF4ED"/>
          </w:tcPr>
          <w:p>
            <w:pPr>
              <w:spacing w:after="0"/>
              <w:rPr>
                <w:sz w:val="15"/>
                <w:szCs w:val="15"/>
                <w:color w:val="auto"/>
              </w:rPr>
            </w:pPr>
          </w:p>
        </w:tc>
        <w:tc>
          <w:tcPr>
            <w:tcW w:w="100" w:type="dxa"/>
            <w:vAlign w:val="bottom"/>
            <w:shd w:val="clear" w:color="auto" w:fill="FBF4ED"/>
          </w:tcPr>
          <w:p>
            <w:pPr>
              <w:spacing w:after="0"/>
              <w:rPr>
                <w:sz w:val="15"/>
                <w:szCs w:val="15"/>
                <w:color w:val="auto"/>
              </w:rPr>
            </w:pPr>
          </w:p>
        </w:tc>
        <w:tc>
          <w:tcPr>
            <w:tcW w:w="1160" w:type="dxa"/>
            <w:vAlign w:val="bottom"/>
            <w:tcBorders>
              <w:right w:val="single" w:sz="8" w:color="DD924E"/>
            </w:tcBorders>
            <w:shd w:val="clear" w:color="auto" w:fill="FBF4ED"/>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60" w:type="dxa"/>
            <w:vAlign w:val="bottom"/>
            <w:tcBorders>
              <w:left w:val="single" w:sz="8" w:color="DD924E"/>
            </w:tcBorders>
            <w:gridSpan w:val="3"/>
            <w:shd w:val="clear" w:color="auto" w:fill="FBF4ED"/>
          </w:tcPr>
          <w:p>
            <w:pPr>
              <w:ind w:left="60"/>
              <w:spacing w:after="0"/>
              <w:rPr>
                <w:sz w:val="20"/>
                <w:szCs w:val="20"/>
                <w:color w:val="auto"/>
              </w:rPr>
            </w:pPr>
            <w:r>
              <w:rPr>
                <w:rFonts w:ascii="Arial" w:cs="Arial" w:eastAsia="Arial" w:hAnsi="Arial"/>
                <w:sz w:val="14"/>
                <w:szCs w:val="14"/>
                <w:color w:val="auto"/>
              </w:rPr>
              <w:t>Kapoor</w:t>
            </w: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2/13/2014</w:t>
            </w:r>
          </w:p>
        </w:tc>
        <w:tc>
          <w:tcPr>
            <w:tcW w:w="10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660" w:type="dxa"/>
            <w:vAlign w:val="bottom"/>
            <w:vMerge w:val="continue"/>
            <w:shd w:val="clear" w:color="auto" w:fill="FBF4ED"/>
          </w:tcPr>
          <w:p>
            <w:pPr>
              <w:spacing w:after="0"/>
              <w:rPr>
                <w:sz w:val="16"/>
                <w:szCs w:val="16"/>
                <w:color w:val="auto"/>
              </w:rPr>
            </w:pPr>
          </w:p>
        </w:tc>
        <w:tc>
          <w:tcPr>
            <w:tcW w:w="8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565,781</w:t>
            </w:r>
          </w:p>
        </w:tc>
        <w:tc>
          <w:tcPr>
            <w:tcW w:w="100" w:type="dxa"/>
            <w:vAlign w:val="bottom"/>
            <w:shd w:val="clear" w:color="auto" w:fill="FBF4ED"/>
          </w:tcPr>
          <w:p>
            <w:pPr>
              <w:spacing w:after="0"/>
              <w:rPr>
                <w:sz w:val="16"/>
                <w:szCs w:val="16"/>
                <w:color w:val="auto"/>
              </w:rPr>
            </w:pPr>
          </w:p>
        </w:tc>
        <w:tc>
          <w:tcPr>
            <w:tcW w:w="9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1160" w:type="dxa"/>
            <w:vAlign w:val="bottom"/>
            <w:tcBorders>
              <w:right w:val="single" w:sz="8" w:color="DD924E"/>
            </w:tcBorders>
            <w:shd w:val="clear" w:color="auto" w:fill="FBF4ED"/>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60" w:type="dxa"/>
            <w:vAlign w:val="bottom"/>
            <w:shd w:val="clear" w:color="auto" w:fill="FBF4ED"/>
          </w:tcPr>
          <w:p>
            <w:pPr>
              <w:spacing w:after="0"/>
              <w:rPr>
                <w:sz w:val="17"/>
                <w:szCs w:val="17"/>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FBF4ED"/>
          </w:tcPr>
          <w:p>
            <w:pPr>
              <w:spacing w:after="0"/>
              <w:rPr>
                <w:sz w:val="17"/>
                <w:szCs w:val="17"/>
                <w:color w:val="auto"/>
              </w:rPr>
            </w:pPr>
          </w:p>
        </w:tc>
        <w:tc>
          <w:tcPr>
            <w:tcW w:w="10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106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6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6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660" w:type="dxa"/>
            <w:vAlign w:val="bottom"/>
            <w:shd w:val="clear" w:color="auto" w:fill="FBF4ED"/>
          </w:tcPr>
          <w:p>
            <w:pPr>
              <w:jc w:val="right"/>
              <w:spacing w:after="0" w:line="206" w:lineRule="exact"/>
              <w:rPr>
                <w:sz w:val="20"/>
                <w:szCs w:val="20"/>
                <w:color w:val="auto"/>
              </w:rPr>
            </w:pPr>
            <w:r>
              <w:rPr>
                <w:rFonts w:ascii="Arial" w:cs="Arial" w:eastAsia="Arial" w:hAnsi="Arial"/>
                <w:sz w:val="14"/>
                <w:szCs w:val="14"/>
                <w:color w:val="auto"/>
              </w:rPr>
              <w:t>18,750</w:t>
            </w:r>
            <w:r>
              <w:rPr>
                <w:rFonts w:ascii="Arial" w:cs="Arial" w:eastAsia="Arial" w:hAnsi="Arial"/>
                <w:sz w:val="20"/>
                <w:szCs w:val="20"/>
                <w:b w:val="1"/>
                <w:bCs w:val="1"/>
                <w:color w:val="auto"/>
                <w:vertAlign w:val="superscript"/>
              </w:rPr>
              <w:t>(a)</w:t>
            </w:r>
          </w:p>
        </w:tc>
        <w:tc>
          <w:tcPr>
            <w:tcW w:w="8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1,131,563</w:t>
            </w:r>
          </w:p>
        </w:tc>
        <w:tc>
          <w:tcPr>
            <w:tcW w:w="100" w:type="dxa"/>
            <w:vAlign w:val="bottom"/>
            <w:shd w:val="clear" w:color="auto" w:fill="FBF4ED"/>
          </w:tcPr>
          <w:p>
            <w:pPr>
              <w:spacing w:after="0"/>
              <w:rPr>
                <w:sz w:val="17"/>
                <w:szCs w:val="17"/>
                <w:color w:val="auto"/>
              </w:rPr>
            </w:pPr>
          </w:p>
        </w:tc>
        <w:tc>
          <w:tcPr>
            <w:tcW w:w="9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1160" w:type="dxa"/>
            <w:vAlign w:val="bottom"/>
            <w:tcBorders>
              <w:right w:val="single" w:sz="8" w:color="DD924E"/>
            </w:tcBorders>
            <w:shd w:val="clear" w:color="auto" w:fill="FBF4ED"/>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tcBorders>
              <w:left w:val="single" w:sz="8" w:color="DD924E"/>
            </w:tcBorders>
            <w:shd w:val="clear" w:color="auto" w:fill="FBF4ED"/>
          </w:tcPr>
          <w:p>
            <w:pPr>
              <w:spacing w:after="0"/>
              <w:rPr>
                <w:sz w:val="19"/>
                <w:szCs w:val="19"/>
                <w:color w:val="auto"/>
              </w:rPr>
            </w:pPr>
          </w:p>
        </w:tc>
        <w:tc>
          <w:tcPr>
            <w:tcW w:w="74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2/24/2016</w:t>
            </w:r>
          </w:p>
        </w:tc>
        <w:tc>
          <w:tcPr>
            <w:tcW w:w="100" w:type="dxa"/>
            <w:vAlign w:val="bottom"/>
            <w:shd w:val="clear" w:color="auto" w:fill="FBF4ED"/>
          </w:tcPr>
          <w:p>
            <w:pPr>
              <w:spacing w:after="0"/>
              <w:rPr>
                <w:sz w:val="19"/>
                <w:szCs w:val="19"/>
                <w:color w:val="auto"/>
              </w:rPr>
            </w:pPr>
          </w:p>
        </w:tc>
        <w:tc>
          <w:tcPr>
            <w:tcW w:w="10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106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6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74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660" w:type="dxa"/>
            <w:vAlign w:val="bottom"/>
            <w:shd w:val="clear" w:color="auto" w:fill="FBF4ED"/>
          </w:tcPr>
          <w:p>
            <w:pPr>
              <w:jc w:val="right"/>
              <w:spacing w:after="0" w:line="220" w:lineRule="exact"/>
              <w:rPr>
                <w:sz w:val="20"/>
                <w:szCs w:val="20"/>
                <w:color w:val="auto"/>
              </w:rPr>
            </w:pPr>
            <w:r>
              <w:rPr>
                <w:rFonts w:ascii="Arial" w:cs="Arial" w:eastAsia="Arial" w:hAnsi="Arial"/>
                <w:sz w:val="14"/>
                <w:szCs w:val="14"/>
                <w:color w:val="auto"/>
              </w:rPr>
              <w:t>28,125</w:t>
            </w:r>
            <w:r>
              <w:rPr>
                <w:rFonts w:ascii="Arial" w:cs="Arial" w:eastAsia="Arial" w:hAnsi="Arial"/>
                <w:sz w:val="20"/>
                <w:szCs w:val="20"/>
                <w:b w:val="1"/>
                <w:bCs w:val="1"/>
                <w:color w:val="auto"/>
                <w:vertAlign w:val="superscript"/>
              </w:rPr>
              <w:t>(a)</w:t>
            </w:r>
          </w:p>
        </w:tc>
        <w:tc>
          <w:tcPr>
            <w:tcW w:w="8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1,697,344</w:t>
            </w:r>
          </w:p>
        </w:tc>
        <w:tc>
          <w:tcPr>
            <w:tcW w:w="100" w:type="dxa"/>
            <w:vAlign w:val="bottom"/>
            <w:shd w:val="clear" w:color="auto" w:fill="FBF4ED"/>
          </w:tcPr>
          <w:p>
            <w:pPr>
              <w:spacing w:after="0"/>
              <w:rPr>
                <w:sz w:val="19"/>
                <w:szCs w:val="19"/>
                <w:color w:val="auto"/>
              </w:rPr>
            </w:pPr>
          </w:p>
        </w:tc>
        <w:tc>
          <w:tcPr>
            <w:tcW w:w="960" w:type="dxa"/>
            <w:vAlign w:val="bottom"/>
            <w:vMerge w:val="restart"/>
            <w:shd w:val="clear" w:color="auto" w:fill="FBF4ED"/>
          </w:tcPr>
          <w:p>
            <w:pPr>
              <w:jc w:val="right"/>
              <w:spacing w:after="0"/>
              <w:rPr>
                <w:sz w:val="20"/>
                <w:szCs w:val="20"/>
                <w:color w:val="auto"/>
              </w:rPr>
            </w:pPr>
            <w:r>
              <w:rPr>
                <w:rFonts w:ascii="Arial" w:cs="Arial" w:eastAsia="Arial" w:hAnsi="Arial"/>
                <w:sz w:val="14"/>
                <w:szCs w:val="14"/>
                <w:color w:val="auto"/>
              </w:rPr>
              <w:t>37,500</w:t>
            </w:r>
            <w:r>
              <w:rPr>
                <w:rFonts w:ascii="Arial" w:cs="Arial" w:eastAsia="Arial" w:hAnsi="Arial"/>
                <w:sz w:val="20"/>
                <w:szCs w:val="20"/>
                <w:b w:val="1"/>
                <w:bCs w:val="1"/>
                <w:color w:val="auto"/>
                <w:vertAlign w:val="superscript"/>
              </w:rPr>
              <w:t>(c)</w:t>
            </w:r>
          </w:p>
        </w:tc>
        <w:tc>
          <w:tcPr>
            <w:tcW w:w="100" w:type="dxa"/>
            <w:vAlign w:val="bottom"/>
            <w:shd w:val="clear" w:color="auto" w:fill="FBF4ED"/>
          </w:tcPr>
          <w:p>
            <w:pPr>
              <w:spacing w:after="0"/>
              <w:rPr>
                <w:sz w:val="19"/>
                <w:szCs w:val="19"/>
                <w:color w:val="auto"/>
              </w:rPr>
            </w:pPr>
          </w:p>
        </w:tc>
        <w:tc>
          <w:tcPr>
            <w:tcW w:w="1160" w:type="dxa"/>
            <w:vAlign w:val="bottom"/>
            <w:tcBorders>
              <w:right w:val="single" w:sz="8" w:color="DD924E"/>
            </w:tcBorders>
            <w:shd w:val="clear" w:color="auto" w:fill="FBF4ED"/>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0" w:type="dxa"/>
            <w:vAlign w:val="bottom"/>
            <w:tcBorders>
              <w:left w:val="single" w:sz="8" w:color="DD924E"/>
            </w:tcBorders>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2/24/2016</w:t>
            </w:r>
          </w:p>
        </w:tc>
        <w:tc>
          <w:tcPr>
            <w:tcW w:w="10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6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960" w:type="dxa"/>
            <w:vAlign w:val="bottom"/>
            <w:vMerge w:val="continue"/>
            <w:shd w:val="clear" w:color="auto" w:fill="FBF4ED"/>
          </w:tcPr>
          <w:p>
            <w:pPr>
              <w:spacing w:after="0"/>
              <w:rPr>
                <w:sz w:val="16"/>
                <w:szCs w:val="16"/>
                <w:color w:val="auto"/>
              </w:rPr>
            </w:pPr>
          </w:p>
        </w:tc>
        <w:tc>
          <w:tcPr>
            <w:tcW w:w="1260" w:type="dxa"/>
            <w:vAlign w:val="bottom"/>
            <w:tcBorders>
              <w:right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2,263,125</w:t>
            </w:r>
          </w:p>
        </w:tc>
        <w:tc>
          <w:tcPr>
            <w:tcW w:w="0" w:type="dxa"/>
            <w:vAlign w:val="bottom"/>
          </w:tcPr>
          <w:p>
            <w:pPr>
              <w:spacing w:after="0"/>
              <w:rPr>
                <w:sz w:val="1"/>
                <w:szCs w:val="1"/>
                <w:color w:val="auto"/>
              </w:rPr>
            </w:pPr>
          </w:p>
        </w:tc>
      </w:tr>
      <w:tr>
        <w:trPr>
          <w:trHeight w:val="220"/>
        </w:trPr>
        <w:tc>
          <w:tcPr>
            <w:tcW w:w="60" w:type="dxa"/>
            <w:vAlign w:val="bottom"/>
            <w:tcBorders>
              <w:left w:val="single" w:sz="8" w:color="DD924E"/>
            </w:tcBorders>
            <w:shd w:val="clear" w:color="auto" w:fill="FBF4ED"/>
          </w:tcPr>
          <w:p>
            <w:pPr>
              <w:spacing w:after="0"/>
              <w:rPr>
                <w:sz w:val="19"/>
                <w:szCs w:val="19"/>
                <w:color w:val="auto"/>
              </w:rPr>
            </w:pPr>
          </w:p>
        </w:tc>
        <w:tc>
          <w:tcPr>
            <w:tcW w:w="74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2/24/2016</w:t>
            </w:r>
          </w:p>
        </w:tc>
        <w:tc>
          <w:tcPr>
            <w:tcW w:w="100" w:type="dxa"/>
            <w:vAlign w:val="bottom"/>
            <w:shd w:val="clear" w:color="auto" w:fill="FBF4ED"/>
          </w:tcPr>
          <w:p>
            <w:pPr>
              <w:spacing w:after="0"/>
              <w:rPr>
                <w:sz w:val="19"/>
                <w:szCs w:val="19"/>
                <w:color w:val="auto"/>
              </w:rPr>
            </w:pPr>
          </w:p>
        </w:tc>
        <w:tc>
          <w:tcPr>
            <w:tcW w:w="10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106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6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74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660" w:type="dxa"/>
            <w:vAlign w:val="bottom"/>
            <w:vMerge w:val="restart"/>
            <w:shd w:val="clear" w:color="auto" w:fill="FBF4ED"/>
          </w:tcPr>
          <w:p>
            <w:pPr>
              <w:jc w:val="right"/>
              <w:spacing w:after="0"/>
              <w:rPr>
                <w:sz w:val="20"/>
                <w:szCs w:val="20"/>
                <w:color w:val="auto"/>
              </w:rPr>
            </w:pPr>
            <w:r>
              <w:rPr>
                <w:rFonts w:ascii="Arial" w:cs="Arial" w:eastAsia="Arial" w:hAnsi="Arial"/>
                <w:sz w:val="14"/>
                <w:szCs w:val="14"/>
                <w:color w:val="auto"/>
              </w:rPr>
              <w:t>31,889</w:t>
            </w:r>
            <w:r>
              <w:rPr>
                <w:rFonts w:ascii="Arial" w:cs="Arial" w:eastAsia="Arial" w:hAnsi="Arial"/>
                <w:sz w:val="20"/>
                <w:szCs w:val="20"/>
                <w:b w:val="1"/>
                <w:bCs w:val="1"/>
                <w:color w:val="auto"/>
                <w:vertAlign w:val="superscript"/>
              </w:rPr>
              <w:t>(a)</w:t>
            </w:r>
          </w:p>
        </w:tc>
        <w:tc>
          <w:tcPr>
            <w:tcW w:w="100" w:type="dxa"/>
            <w:vAlign w:val="bottom"/>
            <w:shd w:val="clear" w:color="auto" w:fill="FBF4ED"/>
          </w:tcPr>
          <w:p>
            <w:pPr>
              <w:spacing w:after="0"/>
              <w:rPr>
                <w:sz w:val="19"/>
                <w:szCs w:val="19"/>
                <w:color w:val="auto"/>
              </w:rPr>
            </w:pPr>
          </w:p>
        </w:tc>
        <w:tc>
          <w:tcPr>
            <w:tcW w:w="7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960" w:type="dxa"/>
            <w:vAlign w:val="bottom"/>
            <w:shd w:val="clear" w:color="auto" w:fill="FBF4ED"/>
          </w:tcPr>
          <w:p>
            <w:pPr>
              <w:jc w:val="right"/>
              <w:spacing w:after="0" w:line="220" w:lineRule="exact"/>
              <w:rPr>
                <w:sz w:val="20"/>
                <w:szCs w:val="20"/>
                <w:color w:val="auto"/>
              </w:rPr>
            </w:pPr>
            <w:r>
              <w:rPr>
                <w:rFonts w:ascii="Arial" w:cs="Arial" w:eastAsia="Arial" w:hAnsi="Arial"/>
                <w:sz w:val="14"/>
                <w:szCs w:val="14"/>
                <w:color w:val="auto"/>
              </w:rPr>
              <w:t>37,500</w:t>
            </w:r>
            <w:r>
              <w:rPr>
                <w:rFonts w:ascii="Arial" w:cs="Arial" w:eastAsia="Arial" w:hAnsi="Arial"/>
                <w:sz w:val="20"/>
                <w:szCs w:val="20"/>
                <w:b w:val="1"/>
                <w:bCs w:val="1"/>
                <w:color w:val="auto"/>
                <w:vertAlign w:val="superscript"/>
              </w:rPr>
              <w:t>(d)</w:t>
            </w:r>
          </w:p>
        </w:tc>
        <w:tc>
          <w:tcPr>
            <w:tcW w:w="1260" w:type="dxa"/>
            <w:vAlign w:val="bottom"/>
            <w:tcBorders>
              <w:right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2,263,125</w:t>
            </w: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60" w:type="dxa"/>
            <w:vAlign w:val="bottom"/>
            <w:shd w:val="clear" w:color="auto" w:fill="FBF4ED"/>
          </w:tcPr>
          <w:p>
            <w:pPr>
              <w:spacing w:after="0"/>
              <w:rPr>
                <w:sz w:val="17"/>
                <w:szCs w:val="17"/>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shd w:val="clear" w:color="auto" w:fill="FBF4ED"/>
          </w:tcPr>
          <w:p>
            <w:pPr>
              <w:spacing w:after="0"/>
              <w:rPr>
                <w:sz w:val="17"/>
                <w:szCs w:val="17"/>
                <w:color w:val="auto"/>
              </w:rPr>
            </w:pPr>
          </w:p>
        </w:tc>
        <w:tc>
          <w:tcPr>
            <w:tcW w:w="10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106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6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6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660" w:type="dxa"/>
            <w:vAlign w:val="bottom"/>
            <w:vMerge w:val="continue"/>
            <w:shd w:val="clear" w:color="auto" w:fill="FBF4ED"/>
          </w:tcPr>
          <w:p>
            <w:pPr>
              <w:spacing w:after="0"/>
              <w:rPr>
                <w:sz w:val="17"/>
                <w:szCs w:val="17"/>
                <w:color w:val="auto"/>
              </w:rPr>
            </w:pPr>
          </w:p>
        </w:tc>
        <w:tc>
          <w:tcPr>
            <w:tcW w:w="8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1,924,501</w:t>
            </w:r>
          </w:p>
        </w:tc>
        <w:tc>
          <w:tcPr>
            <w:tcW w:w="100" w:type="dxa"/>
            <w:vAlign w:val="bottom"/>
            <w:shd w:val="clear" w:color="auto" w:fill="FBF4ED"/>
          </w:tcPr>
          <w:p>
            <w:pPr>
              <w:spacing w:after="0"/>
              <w:rPr>
                <w:sz w:val="17"/>
                <w:szCs w:val="17"/>
                <w:color w:val="auto"/>
              </w:rPr>
            </w:pPr>
          </w:p>
        </w:tc>
        <w:tc>
          <w:tcPr>
            <w:tcW w:w="960" w:type="dxa"/>
            <w:vAlign w:val="bottom"/>
            <w:vMerge w:val="restart"/>
            <w:shd w:val="clear" w:color="auto" w:fill="FBF4ED"/>
          </w:tcPr>
          <w:p>
            <w:pPr>
              <w:jc w:val="right"/>
              <w:spacing w:after="0"/>
              <w:rPr>
                <w:sz w:val="20"/>
                <w:szCs w:val="20"/>
                <w:color w:val="auto"/>
              </w:rPr>
            </w:pPr>
            <w:r>
              <w:rPr>
                <w:rFonts w:ascii="Arial" w:cs="Arial" w:eastAsia="Arial" w:hAnsi="Arial"/>
                <w:sz w:val="14"/>
                <w:szCs w:val="14"/>
                <w:color w:val="auto"/>
              </w:rPr>
              <w:t>15,945</w:t>
            </w:r>
            <w:r>
              <w:rPr>
                <w:rFonts w:ascii="Arial" w:cs="Arial" w:eastAsia="Arial" w:hAnsi="Arial"/>
                <w:sz w:val="20"/>
                <w:szCs w:val="20"/>
                <w:b w:val="1"/>
                <w:bCs w:val="1"/>
                <w:color w:val="auto"/>
                <w:vertAlign w:val="superscript"/>
              </w:rPr>
              <w:t>(e)</w:t>
            </w:r>
          </w:p>
        </w:tc>
        <w:tc>
          <w:tcPr>
            <w:tcW w:w="100" w:type="dxa"/>
            <w:vAlign w:val="bottom"/>
            <w:shd w:val="clear" w:color="auto" w:fill="FBF4ED"/>
          </w:tcPr>
          <w:p>
            <w:pPr>
              <w:spacing w:after="0"/>
              <w:rPr>
                <w:sz w:val="17"/>
                <w:szCs w:val="17"/>
                <w:color w:val="auto"/>
              </w:rPr>
            </w:pPr>
          </w:p>
        </w:tc>
        <w:tc>
          <w:tcPr>
            <w:tcW w:w="1160" w:type="dxa"/>
            <w:vAlign w:val="bottom"/>
            <w:tcBorders>
              <w:right w:val="single" w:sz="8" w:color="DD924E"/>
            </w:tcBorders>
            <w:shd w:val="clear" w:color="auto" w:fill="FBF4ED"/>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0" w:type="dxa"/>
            <w:vAlign w:val="bottom"/>
            <w:tcBorders>
              <w:left w:val="single" w:sz="8" w:color="DD924E"/>
            </w:tcBorders>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6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960" w:type="dxa"/>
            <w:vAlign w:val="bottom"/>
            <w:vMerge w:val="continue"/>
            <w:shd w:val="clear" w:color="auto" w:fill="FBF4ED"/>
          </w:tcPr>
          <w:p>
            <w:pPr>
              <w:spacing w:after="0"/>
              <w:rPr>
                <w:sz w:val="16"/>
                <w:szCs w:val="16"/>
                <w:color w:val="auto"/>
              </w:rPr>
            </w:pPr>
          </w:p>
        </w:tc>
        <w:tc>
          <w:tcPr>
            <w:tcW w:w="1260" w:type="dxa"/>
            <w:vAlign w:val="bottom"/>
            <w:tcBorders>
              <w:right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962,281</w:t>
            </w:r>
          </w:p>
        </w:tc>
        <w:tc>
          <w:tcPr>
            <w:tcW w:w="0" w:type="dxa"/>
            <w:vAlign w:val="bottom"/>
          </w:tcPr>
          <w:p>
            <w:pPr>
              <w:spacing w:after="0"/>
              <w:rPr>
                <w:sz w:val="1"/>
                <w:szCs w:val="1"/>
                <w:color w:val="auto"/>
              </w:rPr>
            </w:pPr>
          </w:p>
        </w:tc>
      </w:tr>
      <w:tr>
        <w:trPr>
          <w:trHeight w:val="220"/>
        </w:trPr>
        <w:tc>
          <w:tcPr>
            <w:tcW w:w="60" w:type="dxa"/>
            <w:vAlign w:val="bottom"/>
            <w:tcBorders>
              <w:left w:val="single" w:sz="8" w:color="DD924E"/>
            </w:tcBorders>
            <w:shd w:val="clear" w:color="auto" w:fill="FBF4ED"/>
          </w:tcPr>
          <w:p>
            <w:pPr>
              <w:spacing w:after="0"/>
              <w:rPr>
                <w:sz w:val="19"/>
                <w:szCs w:val="19"/>
                <w:color w:val="auto"/>
              </w:rPr>
            </w:pPr>
          </w:p>
        </w:tc>
        <w:tc>
          <w:tcPr>
            <w:tcW w:w="74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shd w:val="clear" w:color="auto" w:fill="FBF4ED"/>
          </w:tcPr>
          <w:p>
            <w:pPr>
              <w:spacing w:after="0"/>
              <w:rPr>
                <w:sz w:val="19"/>
                <w:szCs w:val="19"/>
                <w:color w:val="auto"/>
              </w:rPr>
            </w:pPr>
          </w:p>
        </w:tc>
        <w:tc>
          <w:tcPr>
            <w:tcW w:w="10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106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6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74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6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7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960" w:type="dxa"/>
            <w:vAlign w:val="bottom"/>
            <w:shd w:val="clear" w:color="auto" w:fill="FBF4ED"/>
          </w:tcPr>
          <w:p>
            <w:pPr>
              <w:jc w:val="right"/>
              <w:spacing w:after="0" w:line="220" w:lineRule="exact"/>
              <w:rPr>
                <w:sz w:val="20"/>
                <w:szCs w:val="20"/>
                <w:color w:val="auto"/>
              </w:rPr>
            </w:pPr>
            <w:r>
              <w:rPr>
                <w:rFonts w:ascii="Arial" w:cs="Arial" w:eastAsia="Arial" w:hAnsi="Arial"/>
                <w:sz w:val="14"/>
                <w:szCs w:val="14"/>
                <w:color w:val="auto"/>
              </w:rPr>
              <w:t>15,944</w:t>
            </w:r>
            <w:r>
              <w:rPr>
                <w:rFonts w:ascii="Arial" w:cs="Arial" w:eastAsia="Arial" w:hAnsi="Arial"/>
                <w:sz w:val="20"/>
                <w:szCs w:val="20"/>
                <w:b w:val="1"/>
                <w:bCs w:val="1"/>
                <w:color w:val="auto"/>
                <w:vertAlign w:val="superscript"/>
              </w:rPr>
              <w:t>(e)</w:t>
            </w:r>
          </w:p>
        </w:tc>
        <w:tc>
          <w:tcPr>
            <w:tcW w:w="1260" w:type="dxa"/>
            <w:vAlign w:val="bottom"/>
            <w:tcBorders>
              <w:right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962,220</w:t>
            </w:r>
          </w:p>
        </w:tc>
        <w:tc>
          <w:tcPr>
            <w:tcW w:w="0" w:type="dxa"/>
            <w:vAlign w:val="bottom"/>
          </w:tcPr>
          <w:p>
            <w:pPr>
              <w:spacing w:after="0"/>
              <w:rPr>
                <w:sz w:val="1"/>
                <w:szCs w:val="1"/>
                <w:color w:val="auto"/>
              </w:rPr>
            </w:pPr>
          </w:p>
        </w:tc>
      </w:tr>
      <w:tr>
        <w:trPr>
          <w:trHeight w:val="181"/>
        </w:trPr>
        <w:tc>
          <w:tcPr>
            <w:tcW w:w="860" w:type="dxa"/>
            <w:vAlign w:val="bottom"/>
            <w:tcBorders>
              <w:left w:val="single" w:sz="8" w:color="DD924E"/>
            </w:tcBorders>
            <w:gridSpan w:val="3"/>
          </w:tcPr>
          <w:p>
            <w:pPr>
              <w:ind w:left="60"/>
              <w:spacing w:after="0"/>
              <w:rPr>
                <w:sz w:val="20"/>
                <w:szCs w:val="20"/>
                <w:color w:val="auto"/>
              </w:rPr>
            </w:pPr>
            <w:r>
              <w:rPr>
                <w:rFonts w:ascii="Arial" w:cs="Arial" w:eastAsia="Arial" w:hAnsi="Arial"/>
                <w:sz w:val="14"/>
                <w:szCs w:val="14"/>
                <w:color w:val="auto"/>
              </w:rPr>
              <w:t>Vishal</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6/1/2009</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42,000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9.59</w:t>
            </w:r>
          </w:p>
        </w:tc>
        <w:tc>
          <w:tcPr>
            <w:tcW w:w="840" w:type="dxa"/>
            <w:vAlign w:val="bottom"/>
            <w:gridSpan w:val="2"/>
          </w:tcPr>
          <w:p>
            <w:pPr>
              <w:ind w:left="300"/>
              <w:spacing w:after="0"/>
              <w:rPr>
                <w:sz w:val="20"/>
                <w:szCs w:val="20"/>
                <w:color w:val="auto"/>
              </w:rPr>
            </w:pPr>
            <w:r>
              <w:rPr>
                <w:rFonts w:ascii="Arial" w:cs="Arial" w:eastAsia="Arial" w:hAnsi="Arial"/>
                <w:sz w:val="14"/>
                <w:szCs w:val="14"/>
                <w:color w:val="auto"/>
                <w:w w:val="95"/>
              </w:rPr>
              <w:t>6/1/2019</w:t>
            </w: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2,800</w:t>
            </w:r>
            <w:r>
              <w:rPr>
                <w:rFonts w:ascii="Arial" w:cs="Arial" w:eastAsia="Arial" w:hAnsi="Arial"/>
                <w:sz w:val="20"/>
                <w:szCs w:val="20"/>
                <w:b w:val="1"/>
                <w:bCs w:val="1"/>
                <w:color w:val="auto"/>
                <w:vertAlign w:val="superscript"/>
              </w:rPr>
              <w:t>(b)</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right w:val="single" w:sz="8" w:color="DD924E"/>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 w:type="dxa"/>
            <w:vAlign w:val="bottom"/>
            <w:tcBorders>
              <w:left w:val="single" w:sz="8" w:color="DD924E"/>
            </w:tcBorders>
            <w:gridSpan w:val="3"/>
          </w:tcPr>
          <w:p>
            <w:pPr>
              <w:ind w:left="60"/>
              <w:spacing w:after="0"/>
              <w:rPr>
                <w:sz w:val="20"/>
                <w:szCs w:val="20"/>
                <w:color w:val="auto"/>
              </w:rPr>
            </w:pPr>
            <w:r>
              <w:rPr>
                <w:rFonts w:ascii="Arial" w:cs="Arial" w:eastAsia="Arial" w:hAnsi="Arial"/>
                <w:sz w:val="14"/>
                <w:szCs w:val="14"/>
                <w:color w:val="auto"/>
              </w:rPr>
              <w:t>Chhibbar</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2/13/2014</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168,980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DD924E"/>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4"/>
                <w:szCs w:val="14"/>
                <w:color w:val="auto"/>
              </w:rPr>
              <w:t>5,250</w:t>
            </w:r>
            <w:r>
              <w:rPr>
                <w:rFonts w:ascii="Arial" w:cs="Arial" w:eastAsia="Arial" w:hAnsi="Arial"/>
                <w:sz w:val="20"/>
                <w:szCs w:val="20"/>
                <w:b w:val="1"/>
                <w:bCs w:val="1"/>
                <w:color w:val="auto"/>
                <w:vertAlign w:val="superscript"/>
              </w:rPr>
              <w:t>(b)</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316,838</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DD924E"/>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0" w:type="dxa"/>
            <w:vAlign w:val="bottom"/>
            <w:tcBorders>
              <w:left w:val="single" w:sz="8" w:color="DD924E"/>
            </w:tcBorders>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2/24/2016</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5,250</w:t>
            </w:r>
            <w:r>
              <w:rPr>
                <w:rFonts w:ascii="Arial" w:cs="Arial" w:eastAsia="Arial" w:hAnsi="Arial"/>
                <w:sz w:val="20"/>
                <w:szCs w:val="20"/>
                <w:b w:val="1"/>
                <w:bCs w:val="1"/>
                <w:color w:val="auto"/>
                <w:vertAlign w:val="superscript"/>
              </w:rPr>
              <w:t>(a)</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316,838</w:t>
            </w:r>
          </w:p>
        </w:tc>
        <w:tc>
          <w:tcPr>
            <w:tcW w:w="10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7,000</w:t>
            </w:r>
            <w:r>
              <w:rPr>
                <w:rFonts w:ascii="Arial" w:cs="Arial" w:eastAsia="Arial" w:hAnsi="Arial"/>
                <w:sz w:val="20"/>
                <w:szCs w:val="20"/>
                <w:b w:val="1"/>
                <w:bCs w:val="1"/>
                <w:color w:val="auto"/>
                <w:vertAlign w:val="superscript"/>
              </w:rPr>
              <w:t>(c)</w:t>
            </w:r>
          </w:p>
        </w:tc>
        <w:tc>
          <w:tcPr>
            <w:tcW w:w="100" w:type="dxa"/>
            <w:vAlign w:val="bottom"/>
          </w:tcPr>
          <w:p>
            <w:pPr>
              <w:spacing w:after="0"/>
              <w:rPr>
                <w:sz w:val="22"/>
                <w:szCs w:val="22"/>
                <w:color w:val="auto"/>
              </w:rPr>
            </w:pPr>
          </w:p>
        </w:tc>
        <w:tc>
          <w:tcPr>
            <w:tcW w:w="1160" w:type="dxa"/>
            <w:vAlign w:val="bottom"/>
            <w:tcBorders>
              <w:right w:val="single" w:sz="8" w:color="DD924E"/>
            </w:tcBorders>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60" w:type="dxa"/>
            <w:vAlign w:val="bottom"/>
            <w:tcBorders>
              <w:left w:val="single" w:sz="8" w:color="DD924E"/>
            </w:tcBorders>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2/24/2016</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60" w:type="dxa"/>
            <w:vAlign w:val="bottom"/>
            <w:tcBorders>
              <w:right w:val="single" w:sz="8" w:color="DD924E"/>
            </w:tcBorders>
            <w:gridSpan w:val="2"/>
          </w:tcPr>
          <w:p>
            <w:pPr>
              <w:jc w:val="right"/>
              <w:spacing w:after="0" w:line="147" w:lineRule="exact"/>
              <w:rPr>
                <w:sz w:val="20"/>
                <w:szCs w:val="20"/>
                <w:color w:val="auto"/>
              </w:rPr>
            </w:pPr>
            <w:r>
              <w:rPr>
                <w:rFonts w:ascii="Arial" w:cs="Arial" w:eastAsia="Arial" w:hAnsi="Arial"/>
                <w:sz w:val="14"/>
                <w:szCs w:val="14"/>
                <w:color w:val="auto"/>
              </w:rPr>
              <w:t>422,450</w:t>
            </w:r>
          </w:p>
        </w:tc>
        <w:tc>
          <w:tcPr>
            <w:tcW w:w="0" w:type="dxa"/>
            <w:vAlign w:val="bottom"/>
          </w:tcPr>
          <w:p>
            <w:pPr>
              <w:spacing w:after="0"/>
              <w:rPr>
                <w:sz w:val="1"/>
                <w:szCs w:val="1"/>
                <w:color w:val="auto"/>
              </w:rPr>
            </w:pPr>
          </w:p>
        </w:tc>
      </w:tr>
      <w:tr>
        <w:trPr>
          <w:trHeight w:val="263"/>
        </w:trPr>
        <w:tc>
          <w:tcPr>
            <w:tcW w:w="60" w:type="dxa"/>
            <w:vAlign w:val="bottom"/>
            <w:tcBorders>
              <w:left w:val="single" w:sz="8" w:color="DD924E"/>
            </w:tcBorders>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2/24/2016</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7,275</w:t>
            </w:r>
            <w:r>
              <w:rPr>
                <w:rFonts w:ascii="Arial" w:cs="Arial" w:eastAsia="Arial" w:hAnsi="Arial"/>
                <w:sz w:val="20"/>
                <w:szCs w:val="20"/>
                <w:b w:val="1"/>
                <w:bCs w:val="1"/>
                <w:color w:val="auto"/>
                <w:vertAlign w:val="superscript"/>
              </w:rPr>
              <w:t>(a)</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7,000</w:t>
            </w:r>
            <w:r>
              <w:rPr>
                <w:rFonts w:ascii="Arial" w:cs="Arial" w:eastAsia="Arial" w:hAnsi="Arial"/>
                <w:sz w:val="20"/>
                <w:szCs w:val="20"/>
                <w:b w:val="1"/>
                <w:bCs w:val="1"/>
                <w:color w:val="auto"/>
                <w:vertAlign w:val="superscript"/>
              </w:rPr>
              <w:t>(d)</w:t>
            </w:r>
          </w:p>
        </w:tc>
        <w:tc>
          <w:tcPr>
            <w:tcW w:w="1260" w:type="dxa"/>
            <w:vAlign w:val="bottom"/>
            <w:tcBorders>
              <w:right w:val="single" w:sz="8" w:color="DD924E"/>
            </w:tcBorders>
            <w:gridSpan w:val="2"/>
          </w:tcPr>
          <w:p>
            <w:pPr>
              <w:jc w:val="right"/>
              <w:spacing w:after="0"/>
              <w:rPr>
                <w:sz w:val="20"/>
                <w:szCs w:val="20"/>
                <w:color w:val="auto"/>
              </w:rPr>
            </w:pPr>
            <w:r>
              <w:rPr>
                <w:rFonts w:ascii="Arial" w:cs="Arial" w:eastAsia="Arial" w:hAnsi="Arial"/>
                <w:sz w:val="14"/>
                <w:szCs w:val="14"/>
                <w:color w:val="auto"/>
              </w:rPr>
              <w:t>422,450</w:t>
            </w: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439,046</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3,638</w:t>
            </w:r>
            <w:r>
              <w:rPr>
                <w:rFonts w:ascii="Arial" w:cs="Arial" w:eastAsia="Arial" w:hAnsi="Arial"/>
                <w:sz w:val="20"/>
                <w:szCs w:val="20"/>
                <w:b w:val="1"/>
                <w:bCs w:val="1"/>
                <w:color w:val="auto"/>
                <w:vertAlign w:val="superscript"/>
              </w:rPr>
              <w:t>(e)</w:t>
            </w:r>
          </w:p>
        </w:tc>
        <w:tc>
          <w:tcPr>
            <w:tcW w:w="100" w:type="dxa"/>
            <w:vAlign w:val="bottom"/>
          </w:tcPr>
          <w:p>
            <w:pPr>
              <w:spacing w:after="0"/>
              <w:rPr>
                <w:sz w:val="17"/>
                <w:szCs w:val="17"/>
                <w:color w:val="auto"/>
              </w:rPr>
            </w:pPr>
          </w:p>
        </w:tc>
        <w:tc>
          <w:tcPr>
            <w:tcW w:w="1160" w:type="dxa"/>
            <w:vAlign w:val="bottom"/>
            <w:tcBorders>
              <w:right w:val="single" w:sz="8" w:color="DD924E"/>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 w:type="dxa"/>
            <w:vAlign w:val="bottom"/>
            <w:tcBorders>
              <w:left w:val="single" w:sz="8" w:color="DD924E"/>
            </w:tcBorders>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2/23/2017</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60" w:type="dxa"/>
            <w:vAlign w:val="bottom"/>
            <w:tcBorders>
              <w:right w:val="single" w:sz="8" w:color="DD924E"/>
            </w:tcBorders>
            <w:gridSpan w:val="2"/>
          </w:tcPr>
          <w:p>
            <w:pPr>
              <w:jc w:val="right"/>
              <w:spacing w:after="0" w:line="147" w:lineRule="exact"/>
              <w:rPr>
                <w:sz w:val="20"/>
                <w:szCs w:val="20"/>
                <w:color w:val="auto"/>
              </w:rPr>
            </w:pPr>
            <w:r>
              <w:rPr>
                <w:rFonts w:ascii="Arial" w:cs="Arial" w:eastAsia="Arial" w:hAnsi="Arial"/>
                <w:sz w:val="14"/>
                <w:szCs w:val="14"/>
                <w:color w:val="auto"/>
              </w:rPr>
              <w:t>219,553</w:t>
            </w:r>
          </w:p>
        </w:tc>
        <w:tc>
          <w:tcPr>
            <w:tcW w:w="0" w:type="dxa"/>
            <w:vAlign w:val="bottom"/>
          </w:tcPr>
          <w:p>
            <w:pPr>
              <w:spacing w:after="0"/>
              <w:rPr>
                <w:sz w:val="1"/>
                <w:szCs w:val="1"/>
                <w:color w:val="auto"/>
              </w:rPr>
            </w:pPr>
          </w:p>
        </w:tc>
      </w:tr>
      <w:tr>
        <w:trPr>
          <w:trHeight w:val="220"/>
        </w:trPr>
        <w:tc>
          <w:tcPr>
            <w:tcW w:w="60" w:type="dxa"/>
            <w:vAlign w:val="bottom"/>
            <w:tcBorders>
              <w:left w:val="single" w:sz="8" w:color="DD924E"/>
            </w:tcBorders>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Arial" w:cs="Arial" w:eastAsia="Arial" w:hAnsi="Arial"/>
                <w:sz w:val="14"/>
                <w:szCs w:val="14"/>
                <w:color w:val="auto"/>
              </w:rPr>
              <w:t>3,637</w:t>
            </w:r>
            <w:r>
              <w:rPr>
                <w:rFonts w:ascii="Arial" w:cs="Arial" w:eastAsia="Arial" w:hAnsi="Arial"/>
                <w:sz w:val="20"/>
                <w:szCs w:val="20"/>
                <w:b w:val="1"/>
                <w:bCs w:val="1"/>
                <w:color w:val="auto"/>
                <w:vertAlign w:val="superscript"/>
              </w:rPr>
              <w:t>(e)</w:t>
            </w:r>
          </w:p>
        </w:tc>
        <w:tc>
          <w:tcPr>
            <w:tcW w:w="1260" w:type="dxa"/>
            <w:vAlign w:val="bottom"/>
            <w:tcBorders>
              <w:right w:val="single" w:sz="8" w:color="DD924E"/>
            </w:tcBorders>
            <w:gridSpan w:val="2"/>
          </w:tcPr>
          <w:p>
            <w:pPr>
              <w:jc w:val="right"/>
              <w:spacing w:after="0"/>
              <w:rPr>
                <w:sz w:val="20"/>
                <w:szCs w:val="20"/>
                <w:color w:val="auto"/>
              </w:rPr>
            </w:pPr>
            <w:r>
              <w:rPr>
                <w:rFonts w:ascii="Arial" w:cs="Arial" w:eastAsia="Arial" w:hAnsi="Arial"/>
                <w:sz w:val="14"/>
                <w:szCs w:val="14"/>
                <w:color w:val="auto"/>
              </w:rPr>
              <w:t>219,493</w:t>
            </w:r>
          </w:p>
        </w:tc>
        <w:tc>
          <w:tcPr>
            <w:tcW w:w="0" w:type="dxa"/>
            <w:vAlign w:val="bottom"/>
          </w:tcPr>
          <w:p>
            <w:pPr>
              <w:spacing w:after="0"/>
              <w:rPr>
                <w:sz w:val="1"/>
                <w:szCs w:val="1"/>
                <w:color w:val="auto"/>
              </w:rPr>
            </w:pPr>
          </w:p>
        </w:tc>
      </w:tr>
      <w:tr>
        <w:trPr>
          <w:trHeight w:val="190"/>
        </w:trPr>
        <w:tc>
          <w:tcPr>
            <w:tcW w:w="860" w:type="dxa"/>
            <w:vAlign w:val="bottom"/>
            <w:tcBorders>
              <w:left w:val="single" w:sz="8" w:color="DD924E"/>
            </w:tcBorders>
            <w:gridSpan w:val="3"/>
            <w:shd w:val="clear" w:color="auto" w:fill="FBF4ED"/>
          </w:tcPr>
          <w:p>
            <w:pPr>
              <w:ind w:left="60"/>
              <w:spacing w:after="0"/>
              <w:rPr>
                <w:sz w:val="20"/>
                <w:szCs w:val="20"/>
                <w:color w:val="auto"/>
              </w:rPr>
            </w:pPr>
            <w:r>
              <w:rPr>
                <w:rFonts w:ascii="Arial" w:cs="Arial" w:eastAsia="Arial" w:hAnsi="Arial"/>
                <w:sz w:val="14"/>
                <w:szCs w:val="14"/>
                <w:color w:val="auto"/>
              </w:rPr>
              <w:t>Pavan</w:t>
            </w: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2/13/2014</w:t>
            </w:r>
          </w:p>
        </w:tc>
        <w:tc>
          <w:tcPr>
            <w:tcW w:w="10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660" w:type="dxa"/>
            <w:vAlign w:val="bottom"/>
            <w:shd w:val="clear" w:color="auto" w:fill="FBF4ED"/>
          </w:tcPr>
          <w:p>
            <w:pPr>
              <w:jc w:val="right"/>
              <w:spacing w:after="0" w:line="190" w:lineRule="exact"/>
              <w:rPr>
                <w:sz w:val="20"/>
                <w:szCs w:val="20"/>
                <w:color w:val="auto"/>
              </w:rPr>
            </w:pPr>
            <w:r>
              <w:rPr>
                <w:rFonts w:ascii="Arial" w:cs="Arial" w:eastAsia="Arial" w:hAnsi="Arial"/>
                <w:sz w:val="14"/>
                <w:szCs w:val="14"/>
                <w:color w:val="auto"/>
              </w:rPr>
              <w:t>4,600</w:t>
            </w:r>
            <w:r>
              <w:rPr>
                <w:rFonts w:ascii="Arial" w:cs="Arial" w:eastAsia="Arial" w:hAnsi="Arial"/>
                <w:sz w:val="20"/>
                <w:szCs w:val="20"/>
                <w:b w:val="1"/>
                <w:bCs w:val="1"/>
                <w:color w:val="auto"/>
                <w:vertAlign w:val="superscript"/>
              </w:rPr>
              <w:t>(b)</w:t>
            </w:r>
          </w:p>
        </w:tc>
        <w:tc>
          <w:tcPr>
            <w:tcW w:w="8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277,610</w:t>
            </w:r>
          </w:p>
        </w:tc>
        <w:tc>
          <w:tcPr>
            <w:tcW w:w="100" w:type="dxa"/>
            <w:vAlign w:val="bottom"/>
            <w:shd w:val="clear" w:color="auto" w:fill="FBF4ED"/>
          </w:tcPr>
          <w:p>
            <w:pPr>
              <w:spacing w:after="0"/>
              <w:rPr>
                <w:sz w:val="16"/>
                <w:szCs w:val="16"/>
                <w:color w:val="auto"/>
              </w:rPr>
            </w:pPr>
          </w:p>
        </w:tc>
        <w:tc>
          <w:tcPr>
            <w:tcW w:w="9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1160" w:type="dxa"/>
            <w:vAlign w:val="bottom"/>
            <w:tcBorders>
              <w:right w:val="single" w:sz="8" w:color="DD924E"/>
            </w:tcBorders>
            <w:shd w:val="clear" w:color="auto" w:fill="FBF4ED"/>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60" w:type="dxa"/>
            <w:vAlign w:val="bottom"/>
            <w:tcBorders>
              <w:left w:val="single" w:sz="8" w:color="DD924E"/>
            </w:tcBorders>
            <w:gridSpan w:val="3"/>
            <w:shd w:val="clear" w:color="auto" w:fill="FBF4ED"/>
          </w:tcPr>
          <w:p>
            <w:pPr>
              <w:ind w:left="60"/>
              <w:spacing w:after="0"/>
              <w:rPr>
                <w:sz w:val="20"/>
                <w:szCs w:val="20"/>
                <w:color w:val="auto"/>
              </w:rPr>
            </w:pPr>
            <w:r>
              <w:rPr>
                <w:rFonts w:ascii="Arial" w:cs="Arial" w:eastAsia="Arial" w:hAnsi="Arial"/>
                <w:sz w:val="14"/>
                <w:szCs w:val="14"/>
                <w:color w:val="auto"/>
              </w:rPr>
              <w:t>Bagai</w:t>
            </w: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FBF4ED"/>
          </w:tcPr>
          <w:p>
            <w:pPr>
              <w:spacing w:after="0"/>
              <w:rPr>
                <w:sz w:val="17"/>
                <w:szCs w:val="17"/>
                <w:color w:val="auto"/>
              </w:rPr>
            </w:pPr>
          </w:p>
        </w:tc>
        <w:tc>
          <w:tcPr>
            <w:tcW w:w="10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106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6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6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660" w:type="dxa"/>
            <w:vAlign w:val="bottom"/>
            <w:shd w:val="clear" w:color="auto" w:fill="FBF4ED"/>
          </w:tcPr>
          <w:p>
            <w:pPr>
              <w:jc w:val="right"/>
              <w:spacing w:after="0" w:line="206" w:lineRule="exact"/>
              <w:rPr>
                <w:sz w:val="20"/>
                <w:szCs w:val="20"/>
                <w:color w:val="auto"/>
              </w:rPr>
            </w:pPr>
            <w:r>
              <w:rPr>
                <w:rFonts w:ascii="Arial" w:cs="Arial" w:eastAsia="Arial" w:hAnsi="Arial"/>
                <w:sz w:val="14"/>
                <w:szCs w:val="14"/>
                <w:color w:val="auto"/>
              </w:rPr>
              <w:t>8,750</w:t>
            </w:r>
            <w:r>
              <w:rPr>
                <w:rFonts w:ascii="Arial" w:cs="Arial" w:eastAsia="Arial" w:hAnsi="Arial"/>
                <w:sz w:val="20"/>
                <w:szCs w:val="20"/>
                <w:b w:val="1"/>
                <w:bCs w:val="1"/>
                <w:color w:val="auto"/>
                <w:vertAlign w:val="superscript"/>
              </w:rPr>
              <w:t>(b)</w:t>
            </w:r>
          </w:p>
        </w:tc>
        <w:tc>
          <w:tcPr>
            <w:tcW w:w="8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528,063</w:t>
            </w:r>
          </w:p>
        </w:tc>
        <w:tc>
          <w:tcPr>
            <w:tcW w:w="100" w:type="dxa"/>
            <w:vAlign w:val="bottom"/>
            <w:shd w:val="clear" w:color="auto" w:fill="FBF4ED"/>
          </w:tcPr>
          <w:p>
            <w:pPr>
              <w:spacing w:after="0"/>
              <w:rPr>
                <w:sz w:val="17"/>
                <w:szCs w:val="17"/>
                <w:color w:val="auto"/>
              </w:rPr>
            </w:pPr>
          </w:p>
        </w:tc>
        <w:tc>
          <w:tcPr>
            <w:tcW w:w="9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1160" w:type="dxa"/>
            <w:vAlign w:val="bottom"/>
            <w:tcBorders>
              <w:right w:val="single" w:sz="8" w:color="DD924E"/>
            </w:tcBorders>
            <w:shd w:val="clear" w:color="auto" w:fill="FBF4ED"/>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tcBorders>
              <w:left w:val="single" w:sz="8" w:color="DD924E"/>
            </w:tcBorders>
            <w:shd w:val="clear" w:color="auto" w:fill="FBF4ED"/>
          </w:tcPr>
          <w:p>
            <w:pPr>
              <w:spacing w:after="0"/>
              <w:rPr>
                <w:sz w:val="19"/>
                <w:szCs w:val="19"/>
                <w:color w:val="auto"/>
              </w:rPr>
            </w:pPr>
          </w:p>
        </w:tc>
        <w:tc>
          <w:tcPr>
            <w:tcW w:w="74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2/24/2016</w:t>
            </w:r>
          </w:p>
        </w:tc>
        <w:tc>
          <w:tcPr>
            <w:tcW w:w="100" w:type="dxa"/>
            <w:vAlign w:val="bottom"/>
            <w:shd w:val="clear" w:color="auto" w:fill="FBF4ED"/>
          </w:tcPr>
          <w:p>
            <w:pPr>
              <w:spacing w:after="0"/>
              <w:rPr>
                <w:sz w:val="19"/>
                <w:szCs w:val="19"/>
                <w:color w:val="auto"/>
              </w:rPr>
            </w:pPr>
          </w:p>
        </w:tc>
        <w:tc>
          <w:tcPr>
            <w:tcW w:w="10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106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6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74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660" w:type="dxa"/>
            <w:vAlign w:val="bottom"/>
            <w:shd w:val="clear" w:color="auto" w:fill="FBF4ED"/>
          </w:tcPr>
          <w:p>
            <w:pPr>
              <w:jc w:val="right"/>
              <w:spacing w:after="0" w:line="220" w:lineRule="exact"/>
              <w:rPr>
                <w:sz w:val="20"/>
                <w:szCs w:val="20"/>
                <w:color w:val="auto"/>
              </w:rPr>
            </w:pPr>
            <w:r>
              <w:rPr>
                <w:rFonts w:ascii="Arial" w:cs="Arial" w:eastAsia="Arial" w:hAnsi="Arial"/>
                <w:sz w:val="14"/>
                <w:szCs w:val="14"/>
                <w:color w:val="auto"/>
              </w:rPr>
              <w:t>9,375</w:t>
            </w:r>
            <w:r>
              <w:rPr>
                <w:rFonts w:ascii="Arial" w:cs="Arial" w:eastAsia="Arial" w:hAnsi="Arial"/>
                <w:sz w:val="20"/>
                <w:szCs w:val="20"/>
                <w:b w:val="1"/>
                <w:bCs w:val="1"/>
                <w:color w:val="auto"/>
                <w:vertAlign w:val="superscript"/>
              </w:rPr>
              <w:t>(a)</w:t>
            </w:r>
          </w:p>
        </w:tc>
        <w:tc>
          <w:tcPr>
            <w:tcW w:w="8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565,781</w:t>
            </w:r>
          </w:p>
        </w:tc>
        <w:tc>
          <w:tcPr>
            <w:tcW w:w="100" w:type="dxa"/>
            <w:vAlign w:val="bottom"/>
            <w:shd w:val="clear" w:color="auto" w:fill="FBF4ED"/>
          </w:tcPr>
          <w:p>
            <w:pPr>
              <w:spacing w:after="0"/>
              <w:rPr>
                <w:sz w:val="19"/>
                <w:szCs w:val="19"/>
                <w:color w:val="auto"/>
              </w:rPr>
            </w:pPr>
          </w:p>
        </w:tc>
        <w:tc>
          <w:tcPr>
            <w:tcW w:w="960" w:type="dxa"/>
            <w:vAlign w:val="bottom"/>
            <w:vMerge w:val="restart"/>
            <w:shd w:val="clear" w:color="auto" w:fill="FBF4ED"/>
          </w:tcPr>
          <w:p>
            <w:pPr>
              <w:jc w:val="right"/>
              <w:spacing w:after="0"/>
              <w:rPr>
                <w:sz w:val="20"/>
                <w:szCs w:val="20"/>
                <w:color w:val="auto"/>
              </w:rPr>
            </w:pPr>
            <w:r>
              <w:rPr>
                <w:rFonts w:ascii="Arial" w:cs="Arial" w:eastAsia="Arial" w:hAnsi="Arial"/>
                <w:sz w:val="14"/>
                <w:szCs w:val="14"/>
                <w:color w:val="auto"/>
              </w:rPr>
              <w:t>12,500</w:t>
            </w:r>
            <w:r>
              <w:rPr>
                <w:rFonts w:ascii="Arial" w:cs="Arial" w:eastAsia="Arial" w:hAnsi="Arial"/>
                <w:sz w:val="20"/>
                <w:szCs w:val="20"/>
                <w:b w:val="1"/>
                <w:bCs w:val="1"/>
                <w:color w:val="auto"/>
                <w:vertAlign w:val="superscript"/>
              </w:rPr>
              <w:t>(c)</w:t>
            </w:r>
          </w:p>
        </w:tc>
        <w:tc>
          <w:tcPr>
            <w:tcW w:w="100" w:type="dxa"/>
            <w:vAlign w:val="bottom"/>
            <w:shd w:val="clear" w:color="auto" w:fill="FBF4ED"/>
          </w:tcPr>
          <w:p>
            <w:pPr>
              <w:spacing w:after="0"/>
              <w:rPr>
                <w:sz w:val="19"/>
                <w:szCs w:val="19"/>
                <w:color w:val="auto"/>
              </w:rPr>
            </w:pPr>
          </w:p>
        </w:tc>
        <w:tc>
          <w:tcPr>
            <w:tcW w:w="1160" w:type="dxa"/>
            <w:vAlign w:val="bottom"/>
            <w:tcBorders>
              <w:right w:val="single" w:sz="8" w:color="DD924E"/>
            </w:tcBorders>
            <w:shd w:val="clear" w:color="auto" w:fill="FBF4ED"/>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0" w:type="dxa"/>
            <w:vAlign w:val="bottom"/>
            <w:tcBorders>
              <w:left w:val="single" w:sz="8" w:color="DD924E"/>
            </w:tcBorders>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2/24/2016</w:t>
            </w:r>
          </w:p>
        </w:tc>
        <w:tc>
          <w:tcPr>
            <w:tcW w:w="10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6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960" w:type="dxa"/>
            <w:vAlign w:val="bottom"/>
            <w:vMerge w:val="continue"/>
            <w:shd w:val="clear" w:color="auto" w:fill="FBF4ED"/>
          </w:tcPr>
          <w:p>
            <w:pPr>
              <w:spacing w:after="0"/>
              <w:rPr>
                <w:sz w:val="16"/>
                <w:szCs w:val="16"/>
                <w:color w:val="auto"/>
              </w:rPr>
            </w:pPr>
          </w:p>
        </w:tc>
        <w:tc>
          <w:tcPr>
            <w:tcW w:w="1260" w:type="dxa"/>
            <w:vAlign w:val="bottom"/>
            <w:tcBorders>
              <w:right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754,375</w:t>
            </w:r>
          </w:p>
        </w:tc>
        <w:tc>
          <w:tcPr>
            <w:tcW w:w="0" w:type="dxa"/>
            <w:vAlign w:val="bottom"/>
          </w:tcPr>
          <w:p>
            <w:pPr>
              <w:spacing w:after="0"/>
              <w:rPr>
                <w:sz w:val="1"/>
                <w:szCs w:val="1"/>
                <w:color w:val="auto"/>
              </w:rPr>
            </w:pPr>
          </w:p>
        </w:tc>
      </w:tr>
      <w:tr>
        <w:trPr>
          <w:trHeight w:val="220"/>
        </w:trPr>
        <w:tc>
          <w:tcPr>
            <w:tcW w:w="60" w:type="dxa"/>
            <w:vAlign w:val="bottom"/>
            <w:tcBorders>
              <w:left w:val="single" w:sz="8" w:color="DD924E"/>
            </w:tcBorders>
            <w:shd w:val="clear" w:color="auto" w:fill="FBF4ED"/>
          </w:tcPr>
          <w:p>
            <w:pPr>
              <w:spacing w:after="0"/>
              <w:rPr>
                <w:sz w:val="19"/>
                <w:szCs w:val="19"/>
                <w:color w:val="auto"/>
              </w:rPr>
            </w:pPr>
          </w:p>
        </w:tc>
        <w:tc>
          <w:tcPr>
            <w:tcW w:w="74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2/24/2016</w:t>
            </w:r>
          </w:p>
        </w:tc>
        <w:tc>
          <w:tcPr>
            <w:tcW w:w="100" w:type="dxa"/>
            <w:vAlign w:val="bottom"/>
            <w:shd w:val="clear" w:color="auto" w:fill="FBF4ED"/>
          </w:tcPr>
          <w:p>
            <w:pPr>
              <w:spacing w:after="0"/>
              <w:rPr>
                <w:sz w:val="19"/>
                <w:szCs w:val="19"/>
                <w:color w:val="auto"/>
              </w:rPr>
            </w:pPr>
          </w:p>
        </w:tc>
        <w:tc>
          <w:tcPr>
            <w:tcW w:w="10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106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6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74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660" w:type="dxa"/>
            <w:vAlign w:val="bottom"/>
            <w:vMerge w:val="restart"/>
            <w:shd w:val="clear" w:color="auto" w:fill="FBF4ED"/>
          </w:tcPr>
          <w:p>
            <w:pPr>
              <w:jc w:val="right"/>
              <w:spacing w:after="0"/>
              <w:rPr>
                <w:sz w:val="20"/>
                <w:szCs w:val="20"/>
                <w:color w:val="auto"/>
              </w:rPr>
            </w:pPr>
            <w:r>
              <w:rPr>
                <w:rFonts w:ascii="Arial" w:cs="Arial" w:eastAsia="Arial" w:hAnsi="Arial"/>
                <w:sz w:val="14"/>
                <w:szCs w:val="14"/>
                <w:color w:val="auto"/>
              </w:rPr>
              <w:t>11,500</w:t>
            </w:r>
            <w:r>
              <w:rPr>
                <w:rFonts w:ascii="Arial" w:cs="Arial" w:eastAsia="Arial" w:hAnsi="Arial"/>
                <w:sz w:val="20"/>
                <w:szCs w:val="20"/>
                <w:b w:val="1"/>
                <w:bCs w:val="1"/>
                <w:color w:val="auto"/>
                <w:vertAlign w:val="superscript"/>
              </w:rPr>
              <w:t>(a)</w:t>
            </w:r>
          </w:p>
        </w:tc>
        <w:tc>
          <w:tcPr>
            <w:tcW w:w="100" w:type="dxa"/>
            <w:vAlign w:val="bottom"/>
            <w:shd w:val="clear" w:color="auto" w:fill="FBF4ED"/>
          </w:tcPr>
          <w:p>
            <w:pPr>
              <w:spacing w:after="0"/>
              <w:rPr>
                <w:sz w:val="19"/>
                <w:szCs w:val="19"/>
                <w:color w:val="auto"/>
              </w:rPr>
            </w:pPr>
          </w:p>
        </w:tc>
        <w:tc>
          <w:tcPr>
            <w:tcW w:w="7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960" w:type="dxa"/>
            <w:vAlign w:val="bottom"/>
            <w:shd w:val="clear" w:color="auto" w:fill="FBF4ED"/>
          </w:tcPr>
          <w:p>
            <w:pPr>
              <w:jc w:val="right"/>
              <w:spacing w:after="0" w:line="220" w:lineRule="exact"/>
              <w:rPr>
                <w:sz w:val="20"/>
                <w:szCs w:val="20"/>
                <w:color w:val="auto"/>
              </w:rPr>
            </w:pPr>
            <w:r>
              <w:rPr>
                <w:rFonts w:ascii="Arial" w:cs="Arial" w:eastAsia="Arial" w:hAnsi="Arial"/>
                <w:sz w:val="14"/>
                <w:szCs w:val="14"/>
                <w:color w:val="auto"/>
              </w:rPr>
              <w:t>12,500</w:t>
            </w:r>
            <w:r>
              <w:rPr>
                <w:rFonts w:ascii="Arial" w:cs="Arial" w:eastAsia="Arial" w:hAnsi="Arial"/>
                <w:sz w:val="20"/>
                <w:szCs w:val="20"/>
                <w:b w:val="1"/>
                <w:bCs w:val="1"/>
                <w:color w:val="auto"/>
                <w:vertAlign w:val="superscript"/>
              </w:rPr>
              <w:t>(d)</w:t>
            </w:r>
          </w:p>
        </w:tc>
        <w:tc>
          <w:tcPr>
            <w:tcW w:w="1260" w:type="dxa"/>
            <w:vAlign w:val="bottom"/>
            <w:tcBorders>
              <w:right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754,375</w:t>
            </w: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60" w:type="dxa"/>
            <w:vAlign w:val="bottom"/>
            <w:shd w:val="clear" w:color="auto" w:fill="FBF4ED"/>
          </w:tcPr>
          <w:p>
            <w:pPr>
              <w:spacing w:after="0"/>
              <w:rPr>
                <w:sz w:val="17"/>
                <w:szCs w:val="17"/>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shd w:val="clear" w:color="auto" w:fill="FBF4ED"/>
          </w:tcPr>
          <w:p>
            <w:pPr>
              <w:spacing w:after="0"/>
              <w:rPr>
                <w:sz w:val="17"/>
                <w:szCs w:val="17"/>
                <w:color w:val="auto"/>
              </w:rPr>
            </w:pPr>
          </w:p>
        </w:tc>
        <w:tc>
          <w:tcPr>
            <w:tcW w:w="10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106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6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6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660" w:type="dxa"/>
            <w:vAlign w:val="bottom"/>
            <w:vMerge w:val="continue"/>
            <w:shd w:val="clear" w:color="auto" w:fill="FBF4ED"/>
          </w:tcPr>
          <w:p>
            <w:pPr>
              <w:spacing w:after="0"/>
              <w:rPr>
                <w:sz w:val="17"/>
                <w:szCs w:val="17"/>
                <w:color w:val="auto"/>
              </w:rPr>
            </w:pPr>
          </w:p>
        </w:tc>
        <w:tc>
          <w:tcPr>
            <w:tcW w:w="8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694,025</w:t>
            </w:r>
          </w:p>
        </w:tc>
        <w:tc>
          <w:tcPr>
            <w:tcW w:w="100" w:type="dxa"/>
            <w:vAlign w:val="bottom"/>
            <w:shd w:val="clear" w:color="auto" w:fill="FBF4ED"/>
          </w:tcPr>
          <w:p>
            <w:pPr>
              <w:spacing w:after="0"/>
              <w:rPr>
                <w:sz w:val="17"/>
                <w:szCs w:val="17"/>
                <w:color w:val="auto"/>
              </w:rPr>
            </w:pPr>
          </w:p>
        </w:tc>
        <w:tc>
          <w:tcPr>
            <w:tcW w:w="960" w:type="dxa"/>
            <w:vAlign w:val="bottom"/>
            <w:vMerge w:val="restart"/>
            <w:shd w:val="clear" w:color="auto" w:fill="FBF4ED"/>
          </w:tcPr>
          <w:p>
            <w:pPr>
              <w:jc w:val="right"/>
              <w:spacing w:after="0"/>
              <w:rPr>
                <w:sz w:val="20"/>
                <w:szCs w:val="20"/>
                <w:color w:val="auto"/>
              </w:rPr>
            </w:pPr>
            <w:r>
              <w:rPr>
                <w:rFonts w:ascii="Arial" w:cs="Arial" w:eastAsia="Arial" w:hAnsi="Arial"/>
                <w:sz w:val="14"/>
                <w:szCs w:val="14"/>
                <w:color w:val="auto"/>
              </w:rPr>
              <w:t>5,750</w:t>
            </w:r>
            <w:r>
              <w:rPr>
                <w:rFonts w:ascii="Arial" w:cs="Arial" w:eastAsia="Arial" w:hAnsi="Arial"/>
                <w:sz w:val="20"/>
                <w:szCs w:val="20"/>
                <w:b w:val="1"/>
                <w:bCs w:val="1"/>
                <w:color w:val="auto"/>
                <w:vertAlign w:val="superscript"/>
              </w:rPr>
              <w:t>(e)</w:t>
            </w:r>
          </w:p>
        </w:tc>
        <w:tc>
          <w:tcPr>
            <w:tcW w:w="100" w:type="dxa"/>
            <w:vAlign w:val="bottom"/>
            <w:shd w:val="clear" w:color="auto" w:fill="FBF4ED"/>
          </w:tcPr>
          <w:p>
            <w:pPr>
              <w:spacing w:after="0"/>
              <w:rPr>
                <w:sz w:val="17"/>
                <w:szCs w:val="17"/>
                <w:color w:val="auto"/>
              </w:rPr>
            </w:pPr>
          </w:p>
        </w:tc>
        <w:tc>
          <w:tcPr>
            <w:tcW w:w="1160" w:type="dxa"/>
            <w:vAlign w:val="bottom"/>
            <w:tcBorders>
              <w:right w:val="single" w:sz="8" w:color="DD924E"/>
            </w:tcBorders>
            <w:shd w:val="clear" w:color="auto" w:fill="FBF4ED"/>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0" w:type="dxa"/>
            <w:vAlign w:val="bottom"/>
            <w:tcBorders>
              <w:left w:val="single" w:sz="8" w:color="DD924E"/>
            </w:tcBorders>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6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960" w:type="dxa"/>
            <w:vAlign w:val="bottom"/>
            <w:vMerge w:val="continue"/>
            <w:shd w:val="clear" w:color="auto" w:fill="FBF4ED"/>
          </w:tcPr>
          <w:p>
            <w:pPr>
              <w:spacing w:after="0"/>
              <w:rPr>
                <w:sz w:val="16"/>
                <w:szCs w:val="16"/>
                <w:color w:val="auto"/>
              </w:rPr>
            </w:pPr>
          </w:p>
        </w:tc>
        <w:tc>
          <w:tcPr>
            <w:tcW w:w="1260" w:type="dxa"/>
            <w:vAlign w:val="bottom"/>
            <w:tcBorders>
              <w:right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347,013</w:t>
            </w:r>
          </w:p>
        </w:tc>
        <w:tc>
          <w:tcPr>
            <w:tcW w:w="0" w:type="dxa"/>
            <w:vAlign w:val="bottom"/>
          </w:tcPr>
          <w:p>
            <w:pPr>
              <w:spacing w:after="0"/>
              <w:rPr>
                <w:sz w:val="1"/>
                <w:szCs w:val="1"/>
                <w:color w:val="auto"/>
              </w:rPr>
            </w:pPr>
          </w:p>
        </w:tc>
      </w:tr>
      <w:tr>
        <w:trPr>
          <w:trHeight w:val="220"/>
        </w:trPr>
        <w:tc>
          <w:tcPr>
            <w:tcW w:w="60" w:type="dxa"/>
            <w:vAlign w:val="bottom"/>
            <w:tcBorders>
              <w:left w:val="single" w:sz="8" w:color="DD924E"/>
            </w:tcBorders>
            <w:shd w:val="clear" w:color="auto" w:fill="FBF4ED"/>
          </w:tcPr>
          <w:p>
            <w:pPr>
              <w:spacing w:after="0"/>
              <w:rPr>
                <w:sz w:val="19"/>
                <w:szCs w:val="19"/>
                <w:color w:val="auto"/>
              </w:rPr>
            </w:pPr>
          </w:p>
        </w:tc>
        <w:tc>
          <w:tcPr>
            <w:tcW w:w="74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shd w:val="clear" w:color="auto" w:fill="FBF4ED"/>
          </w:tcPr>
          <w:p>
            <w:pPr>
              <w:spacing w:after="0"/>
              <w:rPr>
                <w:sz w:val="19"/>
                <w:szCs w:val="19"/>
                <w:color w:val="auto"/>
              </w:rPr>
            </w:pPr>
          </w:p>
        </w:tc>
        <w:tc>
          <w:tcPr>
            <w:tcW w:w="10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106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6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74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6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7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960" w:type="dxa"/>
            <w:vAlign w:val="bottom"/>
            <w:shd w:val="clear" w:color="auto" w:fill="FBF4ED"/>
          </w:tcPr>
          <w:p>
            <w:pPr>
              <w:jc w:val="right"/>
              <w:spacing w:after="0" w:line="220" w:lineRule="exact"/>
              <w:rPr>
                <w:sz w:val="20"/>
                <w:szCs w:val="20"/>
                <w:color w:val="auto"/>
              </w:rPr>
            </w:pPr>
            <w:r>
              <w:rPr>
                <w:rFonts w:ascii="Arial" w:cs="Arial" w:eastAsia="Arial" w:hAnsi="Arial"/>
                <w:sz w:val="14"/>
                <w:szCs w:val="14"/>
                <w:color w:val="auto"/>
              </w:rPr>
              <w:t>5,750</w:t>
            </w:r>
            <w:r>
              <w:rPr>
                <w:rFonts w:ascii="Arial" w:cs="Arial" w:eastAsia="Arial" w:hAnsi="Arial"/>
                <w:sz w:val="20"/>
                <w:szCs w:val="20"/>
                <w:b w:val="1"/>
                <w:bCs w:val="1"/>
                <w:color w:val="auto"/>
                <w:vertAlign w:val="superscript"/>
              </w:rPr>
              <w:t>(e)</w:t>
            </w:r>
          </w:p>
        </w:tc>
        <w:tc>
          <w:tcPr>
            <w:tcW w:w="1260" w:type="dxa"/>
            <w:vAlign w:val="bottom"/>
            <w:tcBorders>
              <w:right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347,013</w:t>
            </w:r>
          </w:p>
        </w:tc>
        <w:tc>
          <w:tcPr>
            <w:tcW w:w="0" w:type="dxa"/>
            <w:vAlign w:val="bottom"/>
          </w:tcPr>
          <w:p>
            <w:pPr>
              <w:spacing w:after="0"/>
              <w:rPr>
                <w:sz w:val="1"/>
                <w:szCs w:val="1"/>
                <w:color w:val="auto"/>
              </w:rPr>
            </w:pPr>
          </w:p>
        </w:tc>
      </w:tr>
      <w:tr>
        <w:trPr>
          <w:trHeight w:val="190"/>
        </w:trPr>
        <w:tc>
          <w:tcPr>
            <w:tcW w:w="860" w:type="dxa"/>
            <w:vAlign w:val="bottom"/>
            <w:tcBorders>
              <w:left w:val="single" w:sz="8" w:color="DD924E"/>
            </w:tcBorders>
            <w:gridSpan w:val="3"/>
          </w:tcPr>
          <w:p>
            <w:pPr>
              <w:ind w:left="60"/>
              <w:spacing w:after="0"/>
              <w:rPr>
                <w:sz w:val="20"/>
                <w:szCs w:val="20"/>
                <w:color w:val="auto"/>
              </w:rPr>
            </w:pPr>
            <w:r>
              <w:rPr>
                <w:rFonts w:ascii="Arial" w:cs="Arial" w:eastAsia="Arial" w:hAnsi="Arial"/>
                <w:sz w:val="14"/>
                <w:szCs w:val="14"/>
                <w:color w:val="auto"/>
              </w:rPr>
              <w:t>Nagaraja</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12/15/2016</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4"/>
                <w:szCs w:val="14"/>
                <w:color w:val="auto"/>
              </w:rPr>
              <w:t>13,500</w:t>
            </w:r>
            <w:r>
              <w:rPr>
                <w:rFonts w:ascii="Arial" w:cs="Arial" w:eastAsia="Arial" w:hAnsi="Arial"/>
                <w:sz w:val="20"/>
                <w:szCs w:val="20"/>
                <w:b w:val="1"/>
                <w:bCs w:val="1"/>
                <w:color w:val="auto"/>
                <w:vertAlign w:val="superscript"/>
              </w:rPr>
              <w:t>(a)</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814,725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DD924E"/>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60" w:type="dxa"/>
            <w:vAlign w:val="bottom"/>
            <w:tcBorders>
              <w:left w:val="single" w:sz="8" w:color="DD924E"/>
            </w:tcBorders>
            <w:gridSpan w:val="3"/>
          </w:tcPr>
          <w:p>
            <w:pPr>
              <w:ind w:left="60"/>
              <w:spacing w:after="0"/>
              <w:rPr>
                <w:sz w:val="20"/>
                <w:szCs w:val="20"/>
                <w:color w:val="auto"/>
              </w:rPr>
            </w:pPr>
            <w:r>
              <w:rPr>
                <w:rFonts w:ascii="Arial" w:cs="Arial" w:eastAsia="Arial" w:hAnsi="Arial"/>
                <w:sz w:val="14"/>
                <w:szCs w:val="14"/>
                <w:color w:val="auto"/>
              </w:rPr>
              <w:t>Srivatsan</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6,600</w:t>
            </w:r>
            <w:r>
              <w:rPr>
                <w:rFonts w:ascii="Arial" w:cs="Arial" w:eastAsia="Arial" w:hAnsi="Arial"/>
                <w:sz w:val="20"/>
                <w:szCs w:val="20"/>
                <w:b w:val="1"/>
                <w:bCs w:val="1"/>
                <w:color w:val="auto"/>
                <w:vertAlign w:val="superscript"/>
              </w:rPr>
              <w:t>(a)</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398,310</w:t>
            </w:r>
          </w:p>
        </w:tc>
        <w:tc>
          <w:tcPr>
            <w:tcW w:w="10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3,300</w:t>
            </w:r>
            <w:r>
              <w:rPr>
                <w:rFonts w:ascii="Arial" w:cs="Arial" w:eastAsia="Arial" w:hAnsi="Arial"/>
                <w:sz w:val="20"/>
                <w:szCs w:val="20"/>
                <w:b w:val="1"/>
                <w:bCs w:val="1"/>
                <w:color w:val="auto"/>
                <w:vertAlign w:val="superscript"/>
              </w:rPr>
              <w:t>(e)</w:t>
            </w:r>
          </w:p>
        </w:tc>
        <w:tc>
          <w:tcPr>
            <w:tcW w:w="100" w:type="dxa"/>
            <w:vAlign w:val="bottom"/>
          </w:tcPr>
          <w:p>
            <w:pPr>
              <w:spacing w:after="0"/>
              <w:rPr>
                <w:sz w:val="22"/>
                <w:szCs w:val="22"/>
                <w:color w:val="auto"/>
              </w:rPr>
            </w:pPr>
          </w:p>
        </w:tc>
        <w:tc>
          <w:tcPr>
            <w:tcW w:w="1160" w:type="dxa"/>
            <w:vAlign w:val="bottom"/>
            <w:tcBorders>
              <w:right w:val="single" w:sz="8" w:color="DD924E"/>
            </w:tcBorders>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60" w:type="dxa"/>
            <w:vAlign w:val="bottom"/>
            <w:tcBorders>
              <w:left w:val="single" w:sz="8" w:color="DD924E"/>
            </w:tcBorders>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2/23/2017</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60" w:type="dxa"/>
            <w:vAlign w:val="bottom"/>
            <w:tcBorders>
              <w:right w:val="single" w:sz="8" w:color="DD924E"/>
            </w:tcBorders>
            <w:gridSpan w:val="2"/>
          </w:tcPr>
          <w:p>
            <w:pPr>
              <w:jc w:val="right"/>
              <w:spacing w:after="0" w:line="147" w:lineRule="exact"/>
              <w:rPr>
                <w:sz w:val="20"/>
                <w:szCs w:val="20"/>
                <w:color w:val="auto"/>
              </w:rPr>
            </w:pPr>
            <w:r>
              <w:rPr>
                <w:rFonts w:ascii="Arial" w:cs="Arial" w:eastAsia="Arial" w:hAnsi="Arial"/>
                <w:sz w:val="14"/>
                <w:szCs w:val="14"/>
                <w:color w:val="auto"/>
              </w:rPr>
              <w:t>199,155</w:t>
            </w:r>
          </w:p>
        </w:tc>
        <w:tc>
          <w:tcPr>
            <w:tcW w:w="0" w:type="dxa"/>
            <w:vAlign w:val="bottom"/>
          </w:tcPr>
          <w:p>
            <w:pPr>
              <w:spacing w:after="0"/>
              <w:rPr>
                <w:sz w:val="1"/>
                <w:szCs w:val="1"/>
                <w:color w:val="auto"/>
              </w:rPr>
            </w:pPr>
          </w:p>
        </w:tc>
      </w:tr>
      <w:tr>
        <w:trPr>
          <w:trHeight w:val="220"/>
        </w:trPr>
        <w:tc>
          <w:tcPr>
            <w:tcW w:w="60" w:type="dxa"/>
            <w:vAlign w:val="bottom"/>
            <w:tcBorders>
              <w:left w:val="single" w:sz="8" w:color="DD924E"/>
            </w:tcBorders>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Arial" w:cs="Arial" w:eastAsia="Arial" w:hAnsi="Arial"/>
                <w:sz w:val="14"/>
                <w:szCs w:val="14"/>
                <w:color w:val="auto"/>
              </w:rPr>
              <w:t>3,300</w:t>
            </w:r>
            <w:r>
              <w:rPr>
                <w:rFonts w:ascii="Arial" w:cs="Arial" w:eastAsia="Arial" w:hAnsi="Arial"/>
                <w:sz w:val="20"/>
                <w:szCs w:val="20"/>
                <w:b w:val="1"/>
                <w:bCs w:val="1"/>
                <w:color w:val="auto"/>
                <w:vertAlign w:val="superscript"/>
              </w:rPr>
              <w:t>(e)</w:t>
            </w:r>
          </w:p>
        </w:tc>
        <w:tc>
          <w:tcPr>
            <w:tcW w:w="1260" w:type="dxa"/>
            <w:vAlign w:val="bottom"/>
            <w:tcBorders>
              <w:right w:val="single" w:sz="8" w:color="DD924E"/>
            </w:tcBorders>
            <w:gridSpan w:val="2"/>
          </w:tcPr>
          <w:p>
            <w:pPr>
              <w:jc w:val="right"/>
              <w:spacing w:after="0"/>
              <w:rPr>
                <w:sz w:val="20"/>
                <w:szCs w:val="20"/>
                <w:color w:val="auto"/>
              </w:rPr>
            </w:pPr>
            <w:r>
              <w:rPr>
                <w:rFonts w:ascii="Arial" w:cs="Arial" w:eastAsia="Arial" w:hAnsi="Arial"/>
                <w:sz w:val="14"/>
                <w:szCs w:val="14"/>
                <w:color w:val="auto"/>
              </w:rPr>
              <w:t>199,155</w:t>
            </w:r>
          </w:p>
        </w:tc>
        <w:tc>
          <w:tcPr>
            <w:tcW w:w="0" w:type="dxa"/>
            <w:vAlign w:val="bottom"/>
          </w:tcPr>
          <w:p>
            <w:pPr>
              <w:spacing w:after="0"/>
              <w:rPr>
                <w:sz w:val="1"/>
                <w:szCs w:val="1"/>
                <w:color w:val="auto"/>
              </w:rPr>
            </w:pPr>
          </w:p>
        </w:tc>
      </w:tr>
      <w:tr>
        <w:trPr>
          <w:trHeight w:val="190"/>
        </w:trPr>
        <w:tc>
          <w:tcPr>
            <w:tcW w:w="860" w:type="dxa"/>
            <w:vAlign w:val="bottom"/>
            <w:tcBorders>
              <w:left w:val="single" w:sz="8" w:color="DD924E"/>
            </w:tcBorders>
            <w:gridSpan w:val="3"/>
            <w:shd w:val="clear" w:color="auto" w:fill="FBF4ED"/>
          </w:tcPr>
          <w:p>
            <w:pPr>
              <w:ind w:left="60"/>
              <w:spacing w:after="0"/>
              <w:rPr>
                <w:sz w:val="20"/>
                <w:szCs w:val="20"/>
                <w:color w:val="auto"/>
              </w:rPr>
            </w:pPr>
            <w:r>
              <w:rPr>
                <w:rFonts w:ascii="Arial" w:cs="Arial" w:eastAsia="Arial" w:hAnsi="Arial"/>
                <w:sz w:val="14"/>
                <w:szCs w:val="14"/>
                <w:color w:val="auto"/>
              </w:rPr>
              <w:t>Nalin</w:t>
            </w: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12/4/2014</w:t>
            </w:r>
          </w:p>
        </w:tc>
        <w:tc>
          <w:tcPr>
            <w:tcW w:w="10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660" w:type="dxa"/>
            <w:vAlign w:val="bottom"/>
            <w:shd w:val="clear" w:color="auto" w:fill="FBF4ED"/>
          </w:tcPr>
          <w:p>
            <w:pPr>
              <w:jc w:val="right"/>
              <w:spacing w:after="0" w:line="190" w:lineRule="exact"/>
              <w:rPr>
                <w:sz w:val="20"/>
                <w:szCs w:val="20"/>
                <w:color w:val="auto"/>
              </w:rPr>
            </w:pPr>
            <w:r>
              <w:rPr>
                <w:rFonts w:ascii="Arial" w:cs="Arial" w:eastAsia="Arial" w:hAnsi="Arial"/>
                <w:sz w:val="14"/>
                <w:szCs w:val="14"/>
                <w:color w:val="auto"/>
              </w:rPr>
              <w:t>8,000</w:t>
            </w:r>
            <w:r>
              <w:rPr>
                <w:rFonts w:ascii="Arial" w:cs="Arial" w:eastAsia="Arial" w:hAnsi="Arial"/>
                <w:sz w:val="20"/>
                <w:szCs w:val="20"/>
                <w:b w:val="1"/>
                <w:bCs w:val="1"/>
                <w:color w:val="auto"/>
                <w:vertAlign w:val="superscript"/>
              </w:rPr>
              <w:t>(b)</w:t>
            </w:r>
          </w:p>
        </w:tc>
        <w:tc>
          <w:tcPr>
            <w:tcW w:w="8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482,800</w:t>
            </w:r>
          </w:p>
        </w:tc>
        <w:tc>
          <w:tcPr>
            <w:tcW w:w="100" w:type="dxa"/>
            <w:vAlign w:val="bottom"/>
            <w:shd w:val="clear" w:color="auto" w:fill="FBF4ED"/>
          </w:tcPr>
          <w:p>
            <w:pPr>
              <w:spacing w:after="0"/>
              <w:rPr>
                <w:sz w:val="16"/>
                <w:szCs w:val="16"/>
                <w:color w:val="auto"/>
              </w:rPr>
            </w:pPr>
          </w:p>
        </w:tc>
        <w:tc>
          <w:tcPr>
            <w:tcW w:w="9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1160" w:type="dxa"/>
            <w:vAlign w:val="bottom"/>
            <w:tcBorders>
              <w:right w:val="single" w:sz="8" w:color="DD924E"/>
            </w:tcBorders>
            <w:shd w:val="clear" w:color="auto" w:fill="FBF4ED"/>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60" w:type="dxa"/>
            <w:vAlign w:val="bottom"/>
            <w:tcBorders>
              <w:left w:val="single" w:sz="8" w:color="DD924E"/>
            </w:tcBorders>
            <w:gridSpan w:val="3"/>
            <w:shd w:val="clear" w:color="auto" w:fill="FBF4ED"/>
          </w:tcPr>
          <w:p>
            <w:pPr>
              <w:ind w:left="60"/>
              <w:spacing w:after="0"/>
              <w:rPr>
                <w:sz w:val="20"/>
                <w:szCs w:val="20"/>
                <w:color w:val="auto"/>
              </w:rPr>
            </w:pPr>
            <w:r>
              <w:rPr>
                <w:rFonts w:ascii="Arial" w:cs="Arial" w:eastAsia="Arial" w:hAnsi="Arial"/>
                <w:sz w:val="14"/>
                <w:szCs w:val="14"/>
                <w:color w:val="auto"/>
              </w:rPr>
              <w:t>Miglani</w:t>
            </w: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FBF4ED"/>
          </w:tcPr>
          <w:p>
            <w:pPr>
              <w:spacing w:after="0"/>
              <w:rPr>
                <w:sz w:val="17"/>
                <w:szCs w:val="17"/>
                <w:color w:val="auto"/>
              </w:rPr>
            </w:pPr>
          </w:p>
        </w:tc>
        <w:tc>
          <w:tcPr>
            <w:tcW w:w="10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106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6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6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660" w:type="dxa"/>
            <w:vAlign w:val="bottom"/>
            <w:shd w:val="clear" w:color="auto" w:fill="FBF4ED"/>
          </w:tcPr>
          <w:p>
            <w:pPr>
              <w:jc w:val="right"/>
              <w:spacing w:after="0" w:line="206" w:lineRule="exact"/>
              <w:rPr>
                <w:sz w:val="20"/>
                <w:szCs w:val="20"/>
                <w:color w:val="auto"/>
              </w:rPr>
            </w:pPr>
            <w:r>
              <w:rPr>
                <w:rFonts w:ascii="Arial" w:cs="Arial" w:eastAsia="Arial" w:hAnsi="Arial"/>
                <w:sz w:val="14"/>
                <w:szCs w:val="14"/>
                <w:color w:val="auto"/>
              </w:rPr>
              <w:t>4,200</w:t>
            </w:r>
            <w:r>
              <w:rPr>
                <w:rFonts w:ascii="Arial" w:cs="Arial" w:eastAsia="Arial" w:hAnsi="Arial"/>
                <w:sz w:val="20"/>
                <w:szCs w:val="20"/>
                <w:b w:val="1"/>
                <w:bCs w:val="1"/>
                <w:color w:val="auto"/>
                <w:vertAlign w:val="superscript"/>
              </w:rPr>
              <w:t>(b)</w:t>
            </w:r>
          </w:p>
        </w:tc>
        <w:tc>
          <w:tcPr>
            <w:tcW w:w="8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253,470</w:t>
            </w:r>
          </w:p>
        </w:tc>
        <w:tc>
          <w:tcPr>
            <w:tcW w:w="100" w:type="dxa"/>
            <w:vAlign w:val="bottom"/>
            <w:shd w:val="clear" w:color="auto" w:fill="FBF4ED"/>
          </w:tcPr>
          <w:p>
            <w:pPr>
              <w:spacing w:after="0"/>
              <w:rPr>
                <w:sz w:val="17"/>
                <w:szCs w:val="17"/>
                <w:color w:val="auto"/>
              </w:rPr>
            </w:pPr>
          </w:p>
        </w:tc>
        <w:tc>
          <w:tcPr>
            <w:tcW w:w="9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1160" w:type="dxa"/>
            <w:vAlign w:val="bottom"/>
            <w:tcBorders>
              <w:right w:val="single" w:sz="8" w:color="DD924E"/>
            </w:tcBorders>
            <w:shd w:val="clear" w:color="auto" w:fill="FBF4ED"/>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tcBorders>
              <w:left w:val="single" w:sz="8" w:color="DD924E"/>
            </w:tcBorders>
            <w:shd w:val="clear" w:color="auto" w:fill="FBF4ED"/>
          </w:tcPr>
          <w:p>
            <w:pPr>
              <w:spacing w:after="0"/>
              <w:rPr>
                <w:sz w:val="19"/>
                <w:szCs w:val="19"/>
                <w:color w:val="auto"/>
              </w:rPr>
            </w:pPr>
          </w:p>
        </w:tc>
        <w:tc>
          <w:tcPr>
            <w:tcW w:w="74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2/24/2016</w:t>
            </w:r>
          </w:p>
        </w:tc>
        <w:tc>
          <w:tcPr>
            <w:tcW w:w="100" w:type="dxa"/>
            <w:vAlign w:val="bottom"/>
            <w:shd w:val="clear" w:color="auto" w:fill="FBF4ED"/>
          </w:tcPr>
          <w:p>
            <w:pPr>
              <w:spacing w:after="0"/>
              <w:rPr>
                <w:sz w:val="19"/>
                <w:szCs w:val="19"/>
                <w:color w:val="auto"/>
              </w:rPr>
            </w:pPr>
          </w:p>
        </w:tc>
        <w:tc>
          <w:tcPr>
            <w:tcW w:w="10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106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6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74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660" w:type="dxa"/>
            <w:vAlign w:val="bottom"/>
            <w:shd w:val="clear" w:color="auto" w:fill="FBF4ED"/>
          </w:tcPr>
          <w:p>
            <w:pPr>
              <w:jc w:val="right"/>
              <w:spacing w:after="0" w:line="220" w:lineRule="exact"/>
              <w:rPr>
                <w:sz w:val="20"/>
                <w:szCs w:val="20"/>
                <w:color w:val="auto"/>
              </w:rPr>
            </w:pPr>
            <w:r>
              <w:rPr>
                <w:rFonts w:ascii="Arial" w:cs="Arial" w:eastAsia="Arial" w:hAnsi="Arial"/>
                <w:sz w:val="14"/>
                <w:szCs w:val="14"/>
                <w:color w:val="auto"/>
              </w:rPr>
              <w:t>4,500</w:t>
            </w:r>
            <w:r>
              <w:rPr>
                <w:rFonts w:ascii="Arial" w:cs="Arial" w:eastAsia="Arial" w:hAnsi="Arial"/>
                <w:sz w:val="20"/>
                <w:szCs w:val="20"/>
                <w:b w:val="1"/>
                <w:bCs w:val="1"/>
                <w:color w:val="auto"/>
                <w:vertAlign w:val="superscript"/>
              </w:rPr>
              <w:t>(a)</w:t>
            </w:r>
          </w:p>
        </w:tc>
        <w:tc>
          <w:tcPr>
            <w:tcW w:w="8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271,575</w:t>
            </w:r>
          </w:p>
        </w:tc>
        <w:tc>
          <w:tcPr>
            <w:tcW w:w="100" w:type="dxa"/>
            <w:vAlign w:val="bottom"/>
            <w:shd w:val="clear" w:color="auto" w:fill="FBF4ED"/>
          </w:tcPr>
          <w:p>
            <w:pPr>
              <w:spacing w:after="0"/>
              <w:rPr>
                <w:sz w:val="19"/>
                <w:szCs w:val="19"/>
                <w:color w:val="auto"/>
              </w:rPr>
            </w:pPr>
          </w:p>
        </w:tc>
        <w:tc>
          <w:tcPr>
            <w:tcW w:w="960" w:type="dxa"/>
            <w:vAlign w:val="bottom"/>
            <w:vMerge w:val="restart"/>
            <w:shd w:val="clear" w:color="auto" w:fill="FBF4ED"/>
          </w:tcPr>
          <w:p>
            <w:pPr>
              <w:jc w:val="right"/>
              <w:spacing w:after="0"/>
              <w:rPr>
                <w:sz w:val="20"/>
                <w:szCs w:val="20"/>
                <w:color w:val="auto"/>
              </w:rPr>
            </w:pPr>
            <w:r>
              <w:rPr>
                <w:rFonts w:ascii="Arial" w:cs="Arial" w:eastAsia="Arial" w:hAnsi="Arial"/>
                <w:sz w:val="14"/>
                <w:szCs w:val="14"/>
                <w:color w:val="auto"/>
              </w:rPr>
              <w:t>6,000</w:t>
            </w:r>
            <w:r>
              <w:rPr>
                <w:rFonts w:ascii="Arial" w:cs="Arial" w:eastAsia="Arial" w:hAnsi="Arial"/>
                <w:sz w:val="20"/>
                <w:szCs w:val="20"/>
                <w:b w:val="1"/>
                <w:bCs w:val="1"/>
                <w:color w:val="auto"/>
                <w:vertAlign w:val="superscript"/>
              </w:rPr>
              <w:t>(c)</w:t>
            </w:r>
          </w:p>
        </w:tc>
        <w:tc>
          <w:tcPr>
            <w:tcW w:w="100" w:type="dxa"/>
            <w:vAlign w:val="bottom"/>
            <w:shd w:val="clear" w:color="auto" w:fill="FBF4ED"/>
          </w:tcPr>
          <w:p>
            <w:pPr>
              <w:spacing w:after="0"/>
              <w:rPr>
                <w:sz w:val="19"/>
                <w:szCs w:val="19"/>
                <w:color w:val="auto"/>
              </w:rPr>
            </w:pPr>
          </w:p>
        </w:tc>
        <w:tc>
          <w:tcPr>
            <w:tcW w:w="1160" w:type="dxa"/>
            <w:vAlign w:val="bottom"/>
            <w:tcBorders>
              <w:right w:val="single" w:sz="8" w:color="DD924E"/>
            </w:tcBorders>
            <w:shd w:val="clear" w:color="auto" w:fill="FBF4ED"/>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0" w:type="dxa"/>
            <w:vAlign w:val="bottom"/>
            <w:tcBorders>
              <w:left w:val="single" w:sz="8" w:color="DD924E"/>
            </w:tcBorders>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2/24/2016</w:t>
            </w:r>
          </w:p>
        </w:tc>
        <w:tc>
          <w:tcPr>
            <w:tcW w:w="10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6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960" w:type="dxa"/>
            <w:vAlign w:val="bottom"/>
            <w:vMerge w:val="continue"/>
            <w:shd w:val="clear" w:color="auto" w:fill="FBF4ED"/>
          </w:tcPr>
          <w:p>
            <w:pPr>
              <w:spacing w:after="0"/>
              <w:rPr>
                <w:sz w:val="16"/>
                <w:szCs w:val="16"/>
                <w:color w:val="auto"/>
              </w:rPr>
            </w:pPr>
          </w:p>
        </w:tc>
        <w:tc>
          <w:tcPr>
            <w:tcW w:w="1260" w:type="dxa"/>
            <w:vAlign w:val="bottom"/>
            <w:tcBorders>
              <w:right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362,100</w:t>
            </w:r>
          </w:p>
        </w:tc>
        <w:tc>
          <w:tcPr>
            <w:tcW w:w="0" w:type="dxa"/>
            <w:vAlign w:val="bottom"/>
          </w:tcPr>
          <w:p>
            <w:pPr>
              <w:spacing w:after="0"/>
              <w:rPr>
                <w:sz w:val="1"/>
                <w:szCs w:val="1"/>
                <w:color w:val="auto"/>
              </w:rPr>
            </w:pPr>
          </w:p>
        </w:tc>
      </w:tr>
      <w:tr>
        <w:trPr>
          <w:trHeight w:val="220"/>
        </w:trPr>
        <w:tc>
          <w:tcPr>
            <w:tcW w:w="60" w:type="dxa"/>
            <w:vAlign w:val="bottom"/>
            <w:tcBorders>
              <w:left w:val="single" w:sz="8" w:color="DD924E"/>
            </w:tcBorders>
            <w:shd w:val="clear" w:color="auto" w:fill="FBF4ED"/>
          </w:tcPr>
          <w:p>
            <w:pPr>
              <w:spacing w:after="0"/>
              <w:rPr>
                <w:sz w:val="19"/>
                <w:szCs w:val="19"/>
                <w:color w:val="auto"/>
              </w:rPr>
            </w:pPr>
          </w:p>
        </w:tc>
        <w:tc>
          <w:tcPr>
            <w:tcW w:w="74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2/24/2016</w:t>
            </w:r>
          </w:p>
        </w:tc>
        <w:tc>
          <w:tcPr>
            <w:tcW w:w="100" w:type="dxa"/>
            <w:vAlign w:val="bottom"/>
            <w:shd w:val="clear" w:color="auto" w:fill="FBF4ED"/>
          </w:tcPr>
          <w:p>
            <w:pPr>
              <w:spacing w:after="0"/>
              <w:rPr>
                <w:sz w:val="19"/>
                <w:szCs w:val="19"/>
                <w:color w:val="auto"/>
              </w:rPr>
            </w:pPr>
          </w:p>
        </w:tc>
        <w:tc>
          <w:tcPr>
            <w:tcW w:w="10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106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40" w:type="dxa"/>
            <w:vAlign w:val="bottom"/>
            <w:shd w:val="clear" w:color="auto" w:fill="FBF4ED"/>
          </w:tcPr>
          <w:p>
            <w:pPr>
              <w:spacing w:after="0"/>
              <w:rPr>
                <w:sz w:val="19"/>
                <w:szCs w:val="19"/>
                <w:color w:val="auto"/>
              </w:rPr>
            </w:pPr>
          </w:p>
        </w:tc>
        <w:tc>
          <w:tcPr>
            <w:tcW w:w="6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74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660" w:type="dxa"/>
            <w:vAlign w:val="bottom"/>
            <w:vMerge w:val="restart"/>
            <w:shd w:val="clear" w:color="auto" w:fill="FBF4ED"/>
          </w:tcPr>
          <w:p>
            <w:pPr>
              <w:jc w:val="right"/>
              <w:spacing w:after="0"/>
              <w:rPr>
                <w:sz w:val="20"/>
                <w:szCs w:val="20"/>
                <w:color w:val="auto"/>
              </w:rPr>
            </w:pPr>
            <w:r>
              <w:rPr>
                <w:rFonts w:ascii="Arial" w:cs="Arial" w:eastAsia="Arial" w:hAnsi="Arial"/>
                <w:sz w:val="14"/>
                <w:szCs w:val="14"/>
                <w:color w:val="auto"/>
              </w:rPr>
              <w:t>7,150</w:t>
            </w:r>
            <w:r>
              <w:rPr>
                <w:rFonts w:ascii="Arial" w:cs="Arial" w:eastAsia="Arial" w:hAnsi="Arial"/>
                <w:sz w:val="20"/>
                <w:szCs w:val="20"/>
                <w:b w:val="1"/>
                <w:bCs w:val="1"/>
                <w:color w:val="auto"/>
                <w:vertAlign w:val="superscript"/>
              </w:rPr>
              <w:t>(a)</w:t>
            </w:r>
          </w:p>
        </w:tc>
        <w:tc>
          <w:tcPr>
            <w:tcW w:w="100" w:type="dxa"/>
            <w:vAlign w:val="bottom"/>
            <w:shd w:val="clear" w:color="auto" w:fill="FBF4ED"/>
          </w:tcPr>
          <w:p>
            <w:pPr>
              <w:spacing w:after="0"/>
              <w:rPr>
                <w:sz w:val="19"/>
                <w:szCs w:val="19"/>
                <w:color w:val="auto"/>
              </w:rPr>
            </w:pPr>
          </w:p>
        </w:tc>
        <w:tc>
          <w:tcPr>
            <w:tcW w:w="76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960" w:type="dxa"/>
            <w:vAlign w:val="bottom"/>
            <w:shd w:val="clear" w:color="auto" w:fill="FBF4ED"/>
          </w:tcPr>
          <w:p>
            <w:pPr>
              <w:jc w:val="right"/>
              <w:spacing w:after="0" w:line="220" w:lineRule="exact"/>
              <w:rPr>
                <w:sz w:val="20"/>
                <w:szCs w:val="20"/>
                <w:color w:val="auto"/>
              </w:rPr>
            </w:pPr>
            <w:r>
              <w:rPr>
                <w:rFonts w:ascii="Arial" w:cs="Arial" w:eastAsia="Arial" w:hAnsi="Arial"/>
                <w:sz w:val="14"/>
                <w:szCs w:val="14"/>
                <w:color w:val="auto"/>
              </w:rPr>
              <w:t>6,000</w:t>
            </w:r>
            <w:r>
              <w:rPr>
                <w:rFonts w:ascii="Arial" w:cs="Arial" w:eastAsia="Arial" w:hAnsi="Arial"/>
                <w:sz w:val="20"/>
                <w:szCs w:val="20"/>
                <w:b w:val="1"/>
                <w:bCs w:val="1"/>
                <w:color w:val="auto"/>
                <w:vertAlign w:val="superscript"/>
              </w:rPr>
              <w:t>(d)</w:t>
            </w:r>
          </w:p>
        </w:tc>
        <w:tc>
          <w:tcPr>
            <w:tcW w:w="1260" w:type="dxa"/>
            <w:vAlign w:val="bottom"/>
            <w:tcBorders>
              <w:right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362,100</w:t>
            </w:r>
          </w:p>
        </w:tc>
        <w:tc>
          <w:tcPr>
            <w:tcW w:w="0" w:type="dxa"/>
            <w:vAlign w:val="bottom"/>
          </w:tcPr>
          <w:p>
            <w:pPr>
              <w:spacing w:after="0"/>
              <w:rPr>
                <w:sz w:val="1"/>
                <w:szCs w:val="1"/>
                <w:color w:val="auto"/>
              </w:rPr>
            </w:pPr>
          </w:p>
        </w:tc>
      </w:tr>
      <w:tr>
        <w:trPr>
          <w:trHeight w:val="205"/>
        </w:trPr>
        <w:tc>
          <w:tcPr>
            <w:tcW w:w="60" w:type="dxa"/>
            <w:vAlign w:val="bottom"/>
            <w:tcBorders>
              <w:left w:val="single" w:sz="8" w:color="DD924E"/>
            </w:tcBorders>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60" w:type="dxa"/>
            <w:vAlign w:val="bottom"/>
            <w:shd w:val="clear" w:color="auto" w:fill="FBF4ED"/>
          </w:tcPr>
          <w:p>
            <w:pPr>
              <w:spacing w:after="0"/>
              <w:rPr>
                <w:sz w:val="17"/>
                <w:szCs w:val="17"/>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shd w:val="clear" w:color="auto" w:fill="FBF4ED"/>
          </w:tcPr>
          <w:p>
            <w:pPr>
              <w:spacing w:after="0"/>
              <w:rPr>
                <w:sz w:val="17"/>
                <w:szCs w:val="17"/>
                <w:color w:val="auto"/>
              </w:rPr>
            </w:pPr>
          </w:p>
        </w:tc>
        <w:tc>
          <w:tcPr>
            <w:tcW w:w="10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106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60" w:type="dxa"/>
            <w:vAlign w:val="bottom"/>
            <w:shd w:val="clear" w:color="auto" w:fill="FBF4ED"/>
          </w:tcPr>
          <w:p>
            <w:pPr>
              <w:spacing w:after="0"/>
              <w:rPr>
                <w:sz w:val="17"/>
                <w:szCs w:val="17"/>
                <w:color w:val="auto"/>
              </w:rPr>
            </w:pPr>
          </w:p>
        </w:tc>
        <w:tc>
          <w:tcPr>
            <w:tcW w:w="40" w:type="dxa"/>
            <w:vAlign w:val="bottom"/>
            <w:shd w:val="clear" w:color="auto" w:fill="FBF4ED"/>
          </w:tcPr>
          <w:p>
            <w:pPr>
              <w:spacing w:after="0"/>
              <w:rPr>
                <w:sz w:val="17"/>
                <w:szCs w:val="17"/>
                <w:color w:val="auto"/>
              </w:rPr>
            </w:pPr>
          </w:p>
        </w:tc>
        <w:tc>
          <w:tcPr>
            <w:tcW w:w="66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740" w:type="dxa"/>
            <w:vAlign w:val="bottom"/>
            <w:shd w:val="clear" w:color="auto" w:fill="FBF4ED"/>
          </w:tcPr>
          <w:p>
            <w:pPr>
              <w:spacing w:after="0"/>
              <w:rPr>
                <w:sz w:val="17"/>
                <w:szCs w:val="17"/>
                <w:color w:val="auto"/>
              </w:rPr>
            </w:pPr>
          </w:p>
        </w:tc>
        <w:tc>
          <w:tcPr>
            <w:tcW w:w="100" w:type="dxa"/>
            <w:vAlign w:val="bottom"/>
            <w:shd w:val="clear" w:color="auto" w:fill="FBF4ED"/>
          </w:tcPr>
          <w:p>
            <w:pPr>
              <w:spacing w:after="0"/>
              <w:rPr>
                <w:sz w:val="17"/>
                <w:szCs w:val="17"/>
                <w:color w:val="auto"/>
              </w:rPr>
            </w:pPr>
          </w:p>
        </w:tc>
        <w:tc>
          <w:tcPr>
            <w:tcW w:w="660" w:type="dxa"/>
            <w:vAlign w:val="bottom"/>
            <w:vMerge w:val="continue"/>
            <w:shd w:val="clear" w:color="auto" w:fill="FBF4ED"/>
          </w:tcPr>
          <w:p>
            <w:pPr>
              <w:spacing w:after="0"/>
              <w:rPr>
                <w:sz w:val="17"/>
                <w:szCs w:val="17"/>
                <w:color w:val="auto"/>
              </w:rPr>
            </w:pPr>
          </w:p>
        </w:tc>
        <w:tc>
          <w:tcPr>
            <w:tcW w:w="8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431,503</w:t>
            </w:r>
          </w:p>
        </w:tc>
        <w:tc>
          <w:tcPr>
            <w:tcW w:w="100" w:type="dxa"/>
            <w:vAlign w:val="bottom"/>
            <w:shd w:val="clear" w:color="auto" w:fill="FBF4ED"/>
          </w:tcPr>
          <w:p>
            <w:pPr>
              <w:spacing w:after="0"/>
              <w:rPr>
                <w:sz w:val="17"/>
                <w:szCs w:val="17"/>
                <w:color w:val="auto"/>
              </w:rPr>
            </w:pPr>
          </w:p>
        </w:tc>
        <w:tc>
          <w:tcPr>
            <w:tcW w:w="960" w:type="dxa"/>
            <w:vAlign w:val="bottom"/>
            <w:vMerge w:val="restart"/>
            <w:shd w:val="clear" w:color="auto" w:fill="FBF4ED"/>
          </w:tcPr>
          <w:p>
            <w:pPr>
              <w:jc w:val="right"/>
              <w:spacing w:after="0"/>
              <w:rPr>
                <w:sz w:val="20"/>
                <w:szCs w:val="20"/>
                <w:color w:val="auto"/>
              </w:rPr>
            </w:pPr>
            <w:r>
              <w:rPr>
                <w:rFonts w:ascii="Arial" w:cs="Arial" w:eastAsia="Arial" w:hAnsi="Arial"/>
                <w:sz w:val="14"/>
                <w:szCs w:val="14"/>
                <w:color w:val="auto"/>
              </w:rPr>
              <w:t>3,575</w:t>
            </w:r>
            <w:r>
              <w:rPr>
                <w:rFonts w:ascii="Arial" w:cs="Arial" w:eastAsia="Arial" w:hAnsi="Arial"/>
                <w:sz w:val="20"/>
                <w:szCs w:val="20"/>
                <w:b w:val="1"/>
                <w:bCs w:val="1"/>
                <w:color w:val="auto"/>
                <w:vertAlign w:val="superscript"/>
              </w:rPr>
              <w:t>(e)</w:t>
            </w:r>
          </w:p>
        </w:tc>
        <w:tc>
          <w:tcPr>
            <w:tcW w:w="100" w:type="dxa"/>
            <w:vAlign w:val="bottom"/>
            <w:shd w:val="clear" w:color="auto" w:fill="FBF4ED"/>
          </w:tcPr>
          <w:p>
            <w:pPr>
              <w:spacing w:after="0"/>
              <w:rPr>
                <w:sz w:val="17"/>
                <w:szCs w:val="17"/>
                <w:color w:val="auto"/>
              </w:rPr>
            </w:pPr>
          </w:p>
        </w:tc>
        <w:tc>
          <w:tcPr>
            <w:tcW w:w="1160" w:type="dxa"/>
            <w:vAlign w:val="bottom"/>
            <w:tcBorders>
              <w:right w:val="single" w:sz="8" w:color="DD924E"/>
            </w:tcBorders>
            <w:shd w:val="clear" w:color="auto" w:fill="FBF4ED"/>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0" w:type="dxa"/>
            <w:vAlign w:val="bottom"/>
            <w:tcBorders>
              <w:left w:val="single" w:sz="8" w:color="DD924E"/>
            </w:tcBorders>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10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40" w:type="dxa"/>
            <w:vAlign w:val="bottom"/>
            <w:shd w:val="clear" w:color="auto" w:fill="FBF4ED"/>
          </w:tcPr>
          <w:p>
            <w:pPr>
              <w:spacing w:after="0"/>
              <w:rPr>
                <w:sz w:val="16"/>
                <w:szCs w:val="16"/>
                <w:color w:val="auto"/>
              </w:rPr>
            </w:pPr>
          </w:p>
        </w:tc>
        <w:tc>
          <w:tcPr>
            <w:tcW w:w="6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6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76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960" w:type="dxa"/>
            <w:vAlign w:val="bottom"/>
            <w:vMerge w:val="continue"/>
            <w:shd w:val="clear" w:color="auto" w:fill="FBF4ED"/>
          </w:tcPr>
          <w:p>
            <w:pPr>
              <w:spacing w:after="0"/>
              <w:rPr>
                <w:sz w:val="16"/>
                <w:szCs w:val="16"/>
                <w:color w:val="auto"/>
              </w:rPr>
            </w:pPr>
          </w:p>
        </w:tc>
        <w:tc>
          <w:tcPr>
            <w:tcW w:w="1260" w:type="dxa"/>
            <w:vAlign w:val="bottom"/>
            <w:tcBorders>
              <w:right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215,751</w:t>
            </w:r>
          </w:p>
        </w:tc>
        <w:tc>
          <w:tcPr>
            <w:tcW w:w="0" w:type="dxa"/>
            <w:vAlign w:val="bottom"/>
          </w:tcPr>
          <w:p>
            <w:pPr>
              <w:spacing w:after="0"/>
              <w:rPr>
                <w:sz w:val="1"/>
                <w:szCs w:val="1"/>
                <w:color w:val="auto"/>
              </w:rPr>
            </w:pPr>
          </w:p>
        </w:tc>
      </w:tr>
      <w:tr>
        <w:trPr>
          <w:trHeight w:val="220"/>
        </w:trPr>
        <w:tc>
          <w:tcPr>
            <w:tcW w:w="60" w:type="dxa"/>
            <w:vAlign w:val="bottom"/>
            <w:tcBorders>
              <w:left w:val="single" w:sz="8" w:color="DD924E"/>
              <w:bottom w:val="single" w:sz="8" w:color="DD924E"/>
            </w:tcBorders>
            <w:shd w:val="clear" w:color="auto" w:fill="FBF4ED"/>
          </w:tcPr>
          <w:p>
            <w:pPr>
              <w:spacing w:after="0"/>
              <w:rPr>
                <w:sz w:val="19"/>
                <w:szCs w:val="19"/>
                <w:color w:val="auto"/>
              </w:rPr>
            </w:pPr>
          </w:p>
        </w:tc>
        <w:tc>
          <w:tcPr>
            <w:tcW w:w="740" w:type="dxa"/>
            <w:vAlign w:val="bottom"/>
            <w:tcBorders>
              <w:bottom w:val="single" w:sz="8" w:color="DD924E"/>
            </w:tcBorders>
            <w:shd w:val="clear" w:color="auto" w:fill="FBF4ED"/>
          </w:tcPr>
          <w:p>
            <w:pPr>
              <w:spacing w:after="0"/>
              <w:rPr>
                <w:sz w:val="19"/>
                <w:szCs w:val="19"/>
                <w:color w:val="auto"/>
              </w:rPr>
            </w:pPr>
          </w:p>
        </w:tc>
        <w:tc>
          <w:tcPr>
            <w:tcW w:w="60" w:type="dxa"/>
            <w:vAlign w:val="bottom"/>
            <w:tcBorders>
              <w:bottom w:val="single" w:sz="8" w:color="DD924E"/>
            </w:tcBorders>
            <w:shd w:val="clear" w:color="auto" w:fill="FBF4ED"/>
          </w:tcPr>
          <w:p>
            <w:pPr>
              <w:spacing w:after="0"/>
              <w:rPr>
                <w:sz w:val="19"/>
                <w:szCs w:val="19"/>
                <w:color w:val="auto"/>
              </w:rPr>
            </w:pPr>
          </w:p>
        </w:tc>
        <w:tc>
          <w:tcPr>
            <w:tcW w:w="880" w:type="dxa"/>
            <w:vAlign w:val="bottom"/>
            <w:tcBorders>
              <w:bottom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2/23/2017</w:t>
            </w:r>
          </w:p>
        </w:tc>
        <w:tc>
          <w:tcPr>
            <w:tcW w:w="100" w:type="dxa"/>
            <w:vAlign w:val="bottom"/>
            <w:tcBorders>
              <w:bottom w:val="single" w:sz="8" w:color="DD924E"/>
            </w:tcBorders>
            <w:shd w:val="clear" w:color="auto" w:fill="FBF4ED"/>
          </w:tcPr>
          <w:p>
            <w:pPr>
              <w:spacing w:after="0"/>
              <w:rPr>
                <w:sz w:val="19"/>
                <w:szCs w:val="19"/>
                <w:color w:val="auto"/>
              </w:rPr>
            </w:pPr>
          </w:p>
        </w:tc>
        <w:tc>
          <w:tcPr>
            <w:tcW w:w="1060" w:type="dxa"/>
            <w:vAlign w:val="bottom"/>
            <w:tcBorders>
              <w:bottom w:val="single" w:sz="8" w:color="DD924E"/>
            </w:tcBorders>
            <w:shd w:val="clear" w:color="auto" w:fill="FBF4ED"/>
          </w:tcPr>
          <w:p>
            <w:pPr>
              <w:spacing w:after="0"/>
              <w:rPr>
                <w:sz w:val="19"/>
                <w:szCs w:val="19"/>
                <w:color w:val="auto"/>
              </w:rPr>
            </w:pPr>
          </w:p>
        </w:tc>
        <w:tc>
          <w:tcPr>
            <w:tcW w:w="100" w:type="dxa"/>
            <w:vAlign w:val="bottom"/>
            <w:tcBorders>
              <w:bottom w:val="single" w:sz="8" w:color="DD924E"/>
            </w:tcBorders>
            <w:shd w:val="clear" w:color="auto" w:fill="FBF4ED"/>
          </w:tcPr>
          <w:p>
            <w:pPr>
              <w:spacing w:after="0"/>
              <w:rPr>
                <w:sz w:val="19"/>
                <w:szCs w:val="19"/>
                <w:color w:val="auto"/>
              </w:rPr>
            </w:pPr>
          </w:p>
        </w:tc>
        <w:tc>
          <w:tcPr>
            <w:tcW w:w="40" w:type="dxa"/>
            <w:vAlign w:val="bottom"/>
            <w:tcBorders>
              <w:bottom w:val="single" w:sz="8" w:color="DD924E"/>
            </w:tcBorders>
            <w:shd w:val="clear" w:color="auto" w:fill="FBF4ED"/>
          </w:tcPr>
          <w:p>
            <w:pPr>
              <w:spacing w:after="0"/>
              <w:rPr>
                <w:sz w:val="19"/>
                <w:szCs w:val="19"/>
                <w:color w:val="auto"/>
              </w:rPr>
            </w:pPr>
          </w:p>
        </w:tc>
        <w:tc>
          <w:tcPr>
            <w:tcW w:w="1060" w:type="dxa"/>
            <w:vAlign w:val="bottom"/>
            <w:tcBorders>
              <w:bottom w:val="single" w:sz="8" w:color="DD924E"/>
            </w:tcBorders>
            <w:shd w:val="clear" w:color="auto" w:fill="FBF4ED"/>
          </w:tcPr>
          <w:p>
            <w:pPr>
              <w:spacing w:after="0"/>
              <w:rPr>
                <w:sz w:val="19"/>
                <w:szCs w:val="19"/>
                <w:color w:val="auto"/>
              </w:rPr>
            </w:pPr>
          </w:p>
        </w:tc>
        <w:tc>
          <w:tcPr>
            <w:tcW w:w="40" w:type="dxa"/>
            <w:vAlign w:val="bottom"/>
            <w:tcBorders>
              <w:bottom w:val="single" w:sz="8" w:color="DD924E"/>
            </w:tcBorders>
            <w:shd w:val="clear" w:color="auto" w:fill="FBF4ED"/>
          </w:tcPr>
          <w:p>
            <w:pPr>
              <w:spacing w:after="0"/>
              <w:rPr>
                <w:sz w:val="19"/>
                <w:szCs w:val="19"/>
                <w:color w:val="auto"/>
              </w:rPr>
            </w:pPr>
          </w:p>
        </w:tc>
        <w:tc>
          <w:tcPr>
            <w:tcW w:w="60" w:type="dxa"/>
            <w:vAlign w:val="bottom"/>
            <w:tcBorders>
              <w:bottom w:val="single" w:sz="8" w:color="DD924E"/>
            </w:tcBorders>
            <w:shd w:val="clear" w:color="auto" w:fill="FBF4ED"/>
          </w:tcPr>
          <w:p>
            <w:pPr>
              <w:spacing w:after="0"/>
              <w:rPr>
                <w:sz w:val="19"/>
                <w:szCs w:val="19"/>
                <w:color w:val="auto"/>
              </w:rPr>
            </w:pPr>
          </w:p>
        </w:tc>
        <w:tc>
          <w:tcPr>
            <w:tcW w:w="40" w:type="dxa"/>
            <w:vAlign w:val="bottom"/>
            <w:tcBorders>
              <w:bottom w:val="single" w:sz="8" w:color="DD924E"/>
            </w:tcBorders>
            <w:shd w:val="clear" w:color="auto" w:fill="FBF4ED"/>
          </w:tcPr>
          <w:p>
            <w:pPr>
              <w:spacing w:after="0"/>
              <w:rPr>
                <w:sz w:val="19"/>
                <w:szCs w:val="19"/>
                <w:color w:val="auto"/>
              </w:rPr>
            </w:pPr>
          </w:p>
        </w:tc>
        <w:tc>
          <w:tcPr>
            <w:tcW w:w="660" w:type="dxa"/>
            <w:vAlign w:val="bottom"/>
            <w:tcBorders>
              <w:bottom w:val="single" w:sz="8" w:color="DD924E"/>
            </w:tcBorders>
            <w:shd w:val="clear" w:color="auto" w:fill="FBF4ED"/>
          </w:tcPr>
          <w:p>
            <w:pPr>
              <w:spacing w:after="0"/>
              <w:rPr>
                <w:sz w:val="19"/>
                <w:szCs w:val="19"/>
                <w:color w:val="auto"/>
              </w:rPr>
            </w:pPr>
          </w:p>
        </w:tc>
        <w:tc>
          <w:tcPr>
            <w:tcW w:w="100" w:type="dxa"/>
            <w:vAlign w:val="bottom"/>
            <w:tcBorders>
              <w:bottom w:val="single" w:sz="8" w:color="DD924E"/>
            </w:tcBorders>
            <w:shd w:val="clear" w:color="auto" w:fill="FBF4ED"/>
          </w:tcPr>
          <w:p>
            <w:pPr>
              <w:spacing w:after="0"/>
              <w:rPr>
                <w:sz w:val="19"/>
                <w:szCs w:val="19"/>
                <w:color w:val="auto"/>
              </w:rPr>
            </w:pPr>
          </w:p>
        </w:tc>
        <w:tc>
          <w:tcPr>
            <w:tcW w:w="740" w:type="dxa"/>
            <w:vAlign w:val="bottom"/>
            <w:tcBorders>
              <w:bottom w:val="single" w:sz="8" w:color="DD924E"/>
            </w:tcBorders>
            <w:shd w:val="clear" w:color="auto" w:fill="FBF4ED"/>
          </w:tcPr>
          <w:p>
            <w:pPr>
              <w:spacing w:after="0"/>
              <w:rPr>
                <w:sz w:val="19"/>
                <w:szCs w:val="19"/>
                <w:color w:val="auto"/>
              </w:rPr>
            </w:pPr>
          </w:p>
        </w:tc>
        <w:tc>
          <w:tcPr>
            <w:tcW w:w="100" w:type="dxa"/>
            <w:vAlign w:val="bottom"/>
            <w:tcBorders>
              <w:bottom w:val="single" w:sz="8" w:color="DD924E"/>
            </w:tcBorders>
            <w:shd w:val="clear" w:color="auto" w:fill="FBF4ED"/>
          </w:tcPr>
          <w:p>
            <w:pPr>
              <w:spacing w:after="0"/>
              <w:rPr>
                <w:sz w:val="19"/>
                <w:szCs w:val="19"/>
                <w:color w:val="auto"/>
              </w:rPr>
            </w:pPr>
          </w:p>
        </w:tc>
        <w:tc>
          <w:tcPr>
            <w:tcW w:w="660" w:type="dxa"/>
            <w:vAlign w:val="bottom"/>
            <w:tcBorders>
              <w:bottom w:val="single" w:sz="8" w:color="DD924E"/>
            </w:tcBorders>
            <w:shd w:val="clear" w:color="auto" w:fill="FBF4ED"/>
          </w:tcPr>
          <w:p>
            <w:pPr>
              <w:spacing w:after="0"/>
              <w:rPr>
                <w:sz w:val="19"/>
                <w:szCs w:val="19"/>
                <w:color w:val="auto"/>
              </w:rPr>
            </w:pPr>
          </w:p>
        </w:tc>
        <w:tc>
          <w:tcPr>
            <w:tcW w:w="100" w:type="dxa"/>
            <w:vAlign w:val="bottom"/>
            <w:tcBorders>
              <w:bottom w:val="single" w:sz="8" w:color="DD924E"/>
            </w:tcBorders>
            <w:shd w:val="clear" w:color="auto" w:fill="FBF4ED"/>
          </w:tcPr>
          <w:p>
            <w:pPr>
              <w:spacing w:after="0"/>
              <w:rPr>
                <w:sz w:val="19"/>
                <w:szCs w:val="19"/>
                <w:color w:val="auto"/>
              </w:rPr>
            </w:pPr>
          </w:p>
        </w:tc>
        <w:tc>
          <w:tcPr>
            <w:tcW w:w="760" w:type="dxa"/>
            <w:vAlign w:val="bottom"/>
            <w:tcBorders>
              <w:bottom w:val="single" w:sz="8" w:color="DD924E"/>
            </w:tcBorders>
            <w:shd w:val="clear" w:color="auto" w:fill="FBF4ED"/>
          </w:tcPr>
          <w:p>
            <w:pPr>
              <w:spacing w:after="0"/>
              <w:rPr>
                <w:sz w:val="19"/>
                <w:szCs w:val="19"/>
                <w:color w:val="auto"/>
              </w:rPr>
            </w:pPr>
          </w:p>
        </w:tc>
        <w:tc>
          <w:tcPr>
            <w:tcW w:w="100" w:type="dxa"/>
            <w:vAlign w:val="bottom"/>
            <w:tcBorders>
              <w:bottom w:val="single" w:sz="8" w:color="DD924E"/>
            </w:tcBorders>
            <w:shd w:val="clear" w:color="auto" w:fill="FBF4ED"/>
          </w:tcPr>
          <w:p>
            <w:pPr>
              <w:spacing w:after="0"/>
              <w:rPr>
                <w:sz w:val="19"/>
                <w:szCs w:val="19"/>
                <w:color w:val="auto"/>
              </w:rPr>
            </w:pPr>
          </w:p>
        </w:tc>
        <w:tc>
          <w:tcPr>
            <w:tcW w:w="960" w:type="dxa"/>
            <w:vAlign w:val="bottom"/>
            <w:tcBorders>
              <w:bottom w:val="single" w:sz="8" w:color="DD924E"/>
            </w:tcBorders>
            <w:shd w:val="clear" w:color="auto" w:fill="FBF4ED"/>
          </w:tcPr>
          <w:p>
            <w:pPr>
              <w:jc w:val="right"/>
              <w:spacing w:after="0" w:line="220" w:lineRule="exact"/>
              <w:rPr>
                <w:sz w:val="20"/>
                <w:szCs w:val="20"/>
                <w:color w:val="auto"/>
              </w:rPr>
            </w:pPr>
            <w:r>
              <w:rPr>
                <w:rFonts w:ascii="Arial" w:cs="Arial" w:eastAsia="Arial" w:hAnsi="Arial"/>
                <w:sz w:val="14"/>
                <w:szCs w:val="14"/>
                <w:color w:val="auto"/>
              </w:rPr>
              <w:t>3,575</w:t>
            </w:r>
            <w:r>
              <w:rPr>
                <w:rFonts w:ascii="Arial" w:cs="Arial" w:eastAsia="Arial" w:hAnsi="Arial"/>
                <w:sz w:val="20"/>
                <w:szCs w:val="20"/>
                <w:b w:val="1"/>
                <w:bCs w:val="1"/>
                <w:color w:val="auto"/>
                <w:vertAlign w:val="superscript"/>
              </w:rPr>
              <w:t>(e)</w:t>
            </w:r>
          </w:p>
        </w:tc>
        <w:tc>
          <w:tcPr>
            <w:tcW w:w="1260" w:type="dxa"/>
            <w:vAlign w:val="bottom"/>
            <w:tcBorders>
              <w:bottom w:val="single" w:sz="8" w:color="DD924E"/>
              <w:right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215,571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121920</wp:posOffset>
            </wp:positionV>
            <wp:extent cx="12865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236" w:lineRule="exact"/>
        <w:rPr>
          <w:sz w:val="20"/>
          <w:szCs w:val="20"/>
          <w:color w:val="auto"/>
        </w:rPr>
      </w:pPr>
    </w:p>
    <w:p>
      <w:pPr>
        <w:jc w:val="both"/>
        <w:ind w:left="840" w:right="880" w:hanging="345"/>
        <w:spacing w:after="0" w:line="238" w:lineRule="auto"/>
        <w:tabs>
          <w:tab w:leader="none" w:pos="8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stock option awards for Mr. Kapoor became vested in increments of 25% on each of the first, second, third and fourth anniversaries of the grant date, generally subject to continued employment through each applicable vesting date. For Mr. Chhibbar, 10% of the options vested on the first anniversary of the grant date, an additional 20% of the options vested on the second anniversary of the grant date, an additional 30% of the options vested on the third anniversary of the grant date and the remaining 40% of the options vested on the fourth anniversary of the grant date, generally subject to continued employment through each applicable vesting date.</w:t>
      </w:r>
    </w:p>
    <w:p>
      <w:pPr>
        <w:sectPr>
          <w:pgSz w:w="11900" w:h="16838" w:orient="portrait"/>
          <w:cols w:equalWidth="0" w:num="1">
            <w:col w:w="9840"/>
          </w:cols>
          <w:pgMar w:left="1440" w:top="1440"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153035</wp:posOffset>
            </wp:positionV>
            <wp:extent cx="7310755" cy="24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840"/>
          </w:cols>
          <w:pgMar w:left="1440" w:top="1440" w:right="619" w:bottom="1440" w:gutter="0" w:footer="0" w:header="0"/>
          <w:type w:val="continuous"/>
        </w:sectPr>
      </w:pPr>
    </w:p>
    <w:bookmarkStart w:id="57" w:name="page58"/>
    <w:bookmarkEnd w:id="57"/>
    <w:p>
      <w:pPr>
        <w:spacing w:after="0" w:line="58" w:lineRule="exact"/>
        <w:rPr>
          <w:sz w:val="20"/>
          <w:szCs w:val="20"/>
          <w:color w:val="auto"/>
        </w:rPr>
      </w:pPr>
    </w:p>
    <w:p>
      <w:pPr>
        <w:ind w:left="840" w:right="59" w:hanging="345"/>
        <w:spacing w:after="0" w:line="247" w:lineRule="auto"/>
        <w:tabs>
          <w:tab w:leader="none" w:pos="8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restricted stock unit awards in this table vest and convert to shares in accordance with the following schedules (generally subject to continued employment through each applicable vesting date):</w:t>
      </w:r>
    </w:p>
    <w:p>
      <w:pPr>
        <w:spacing w:after="0" w:line="110" w:lineRule="exact"/>
        <w:rPr>
          <w:rFonts w:ascii="Arial" w:cs="Arial" w:eastAsia="Arial" w:hAnsi="Arial"/>
          <w:sz w:val="17"/>
          <w:szCs w:val="17"/>
          <w:color w:val="auto"/>
        </w:rPr>
      </w:pPr>
    </w:p>
    <w:p>
      <w:pPr>
        <w:ind w:left="1180" w:right="59" w:hanging="347"/>
        <w:spacing w:after="0" w:line="247" w:lineRule="auto"/>
        <w:tabs>
          <w:tab w:leader="none" w:pos="1180" w:val="left"/>
        </w:tabs>
        <w:numPr>
          <w:ilvl w:val="1"/>
          <w:numId w:val="84"/>
        </w:numPr>
        <w:rPr>
          <w:rFonts w:ascii="Arial" w:cs="Arial" w:eastAsia="Arial" w:hAnsi="Arial"/>
          <w:sz w:val="17"/>
          <w:szCs w:val="17"/>
          <w:color w:val="auto"/>
        </w:rPr>
      </w:pPr>
      <w:r>
        <w:rPr>
          <w:rFonts w:ascii="Arial" w:cs="Arial" w:eastAsia="Arial" w:hAnsi="Arial"/>
          <w:sz w:val="17"/>
          <w:szCs w:val="17"/>
          <w:color w:val="auto"/>
        </w:rPr>
        <w:t>25% of the restricted stock units vest on each of the first, second, third and fourth anniversaries of the grant date.</w:t>
      </w:r>
    </w:p>
    <w:p>
      <w:pPr>
        <w:spacing w:after="0" w:line="123" w:lineRule="exact"/>
        <w:rPr>
          <w:rFonts w:ascii="Arial" w:cs="Arial" w:eastAsia="Arial" w:hAnsi="Arial"/>
          <w:sz w:val="17"/>
          <w:szCs w:val="17"/>
          <w:color w:val="auto"/>
        </w:rPr>
      </w:pPr>
    </w:p>
    <w:p>
      <w:pPr>
        <w:jc w:val="both"/>
        <w:ind w:left="1180" w:right="59" w:hanging="347"/>
        <w:spacing w:after="0" w:line="239" w:lineRule="auto"/>
        <w:tabs>
          <w:tab w:leader="none" w:pos="1180" w:val="left"/>
        </w:tabs>
        <w:numPr>
          <w:ilvl w:val="1"/>
          <w:numId w:val="84"/>
        </w:numPr>
        <w:rPr>
          <w:rFonts w:ascii="Arial" w:cs="Arial" w:eastAsia="Arial" w:hAnsi="Arial"/>
          <w:sz w:val="17"/>
          <w:szCs w:val="17"/>
          <w:color w:val="auto"/>
        </w:rPr>
      </w:pPr>
      <w:r>
        <w:rPr>
          <w:rFonts w:ascii="Arial" w:cs="Arial" w:eastAsia="Arial" w:hAnsi="Arial"/>
          <w:sz w:val="17"/>
          <w:szCs w:val="17"/>
          <w:color w:val="auto"/>
        </w:rPr>
        <w:t>10% of the restricted stock units vest on the first anniversary of the grant date, an additional 20% of the options vest on the second anniversary of the grant date, an additional 30% of the options vest on the third anniversary of the grant date and the remaining 40% of the options vest on the fourth anniversary of the grant date.</w:t>
      </w:r>
    </w:p>
    <w:p>
      <w:pPr>
        <w:spacing w:after="0" w:line="131" w:lineRule="exact"/>
        <w:rPr>
          <w:rFonts w:ascii="Arial" w:cs="Arial" w:eastAsia="Arial" w:hAnsi="Arial"/>
          <w:sz w:val="17"/>
          <w:szCs w:val="17"/>
          <w:color w:val="auto"/>
        </w:rPr>
      </w:pPr>
    </w:p>
    <w:p>
      <w:pPr>
        <w:jc w:val="both"/>
        <w:ind w:left="840" w:right="79" w:hanging="345"/>
        <w:spacing w:after="0" w:line="241" w:lineRule="auto"/>
        <w:tabs>
          <w:tab w:leader="none" w:pos="8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performance restricted stock unit awards in this table vest and convert to shares in accordance with the following schedules (generally subject to continued employment through the applicable vesting date and achievement of applicable performance goals):</w:t>
      </w:r>
    </w:p>
    <w:p>
      <w:pPr>
        <w:spacing w:after="0" w:line="116" w:lineRule="exact"/>
        <w:rPr>
          <w:rFonts w:ascii="Arial" w:cs="Arial" w:eastAsia="Arial" w:hAnsi="Arial"/>
          <w:sz w:val="17"/>
          <w:szCs w:val="17"/>
          <w:color w:val="auto"/>
        </w:rPr>
      </w:pPr>
    </w:p>
    <w:p>
      <w:pPr>
        <w:ind w:left="1180" w:right="59" w:hanging="347"/>
        <w:spacing w:after="0" w:line="247" w:lineRule="auto"/>
        <w:tabs>
          <w:tab w:leader="none" w:pos="11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100% of the restricted stock units vest on December 31, 2018. This amount represents the third and final tranche of the 2016 Revenue-Linked PRSUs and reflects maximum performance.</w:t>
      </w:r>
    </w:p>
    <w:p>
      <w:pPr>
        <w:spacing w:after="0" w:line="123" w:lineRule="exact"/>
        <w:rPr>
          <w:rFonts w:ascii="Arial" w:cs="Arial" w:eastAsia="Arial" w:hAnsi="Arial"/>
          <w:sz w:val="17"/>
          <w:szCs w:val="17"/>
          <w:color w:val="auto"/>
        </w:rPr>
      </w:pPr>
    </w:p>
    <w:p>
      <w:pPr>
        <w:ind w:left="1180" w:right="59" w:hanging="347"/>
        <w:spacing w:after="0" w:line="247" w:lineRule="auto"/>
        <w:tabs>
          <w:tab w:leader="none" w:pos="11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100% of the restricted stock units vest on December 31, 2017. This amount represents the 2016 Relative TSR-Linked PRSUs and reflects maximum performance.</w:t>
      </w:r>
    </w:p>
    <w:p>
      <w:pPr>
        <w:spacing w:after="0" w:line="123" w:lineRule="exact"/>
        <w:rPr>
          <w:rFonts w:ascii="Arial" w:cs="Arial" w:eastAsia="Arial" w:hAnsi="Arial"/>
          <w:sz w:val="17"/>
          <w:szCs w:val="17"/>
          <w:color w:val="auto"/>
        </w:rPr>
      </w:pPr>
    </w:p>
    <w:p>
      <w:pPr>
        <w:ind w:left="1180" w:right="79" w:hanging="347"/>
        <w:spacing w:after="0" w:line="247" w:lineRule="auto"/>
        <w:tabs>
          <w:tab w:leader="none" w:pos="11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100% of the restricted stock units vest on December 31, 2019. This amount represents 2017 performance-based PRSUs and reflects target performance.</w:t>
      </w:r>
    </w:p>
    <w:p>
      <w:pPr>
        <w:spacing w:after="0" w:line="110" w:lineRule="exact"/>
        <w:rPr>
          <w:rFonts w:ascii="Arial" w:cs="Arial" w:eastAsia="Arial" w:hAnsi="Arial"/>
          <w:sz w:val="17"/>
          <w:szCs w:val="17"/>
          <w:color w:val="auto"/>
        </w:rPr>
      </w:pPr>
    </w:p>
    <w:p>
      <w:pPr>
        <w:ind w:left="840" w:right="59" w:hanging="345"/>
        <w:spacing w:after="0" w:line="247" w:lineRule="auto"/>
        <w:tabs>
          <w:tab w:leader="none" w:pos="8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price used in determining the market values set forth in this table is $60.35, which was the closing price of our stock on December 29, 2017.</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8" w:name="page59"/>
    <w:bookmarkEnd w:id="58"/>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Option Exercises and Stock Vested During Fiscal Year 2017</w:t>
      </w:r>
    </w:p>
    <w:p>
      <w:pPr>
        <w:spacing w:after="0" w:line="149" w:lineRule="exact"/>
        <w:rPr>
          <w:sz w:val="20"/>
          <w:szCs w:val="20"/>
          <w:color w:val="auto"/>
        </w:rPr>
      </w:pPr>
    </w:p>
    <w:p>
      <w:pPr>
        <w:jc w:val="both"/>
        <w:ind w:left="160" w:right="59"/>
        <w:spacing w:after="0" w:line="263" w:lineRule="auto"/>
        <w:rPr>
          <w:sz w:val="20"/>
          <w:szCs w:val="20"/>
          <w:color w:val="auto"/>
        </w:rPr>
      </w:pPr>
      <w:r>
        <w:rPr>
          <w:rFonts w:ascii="Arial" w:cs="Arial" w:eastAsia="Arial" w:hAnsi="Arial"/>
          <w:sz w:val="17"/>
          <w:szCs w:val="17"/>
          <w:color w:val="auto"/>
        </w:rPr>
        <w:t>The following table provides additional information about the value realized by our named executive officers on option award exercises and stock award vesting during fiscal year 2017:</w:t>
      </w:r>
    </w:p>
    <w:p>
      <w:pPr>
        <w:spacing w:after="0" w:line="124" w:lineRule="exact"/>
        <w:rPr>
          <w:sz w:val="20"/>
          <w:szCs w:val="20"/>
          <w:color w:val="auto"/>
        </w:rPr>
      </w:pPr>
    </w:p>
    <w:tbl>
      <w:tblPr>
        <w:tblLayout w:type="fixed"/>
        <w:tblInd w:w="170" w:type="dxa"/>
        <w:tblCellMar>
          <w:top w:w="0" w:type="dxa"/>
          <w:left w:w="0" w:type="dxa"/>
          <w:bottom w:w="0" w:type="dxa"/>
          <w:right w:w="0" w:type="dxa"/>
        </w:tblCellMar>
      </w:tblPr>
      <w:tr>
        <w:trPr>
          <w:trHeight w:val="192"/>
        </w:trPr>
        <w:tc>
          <w:tcPr>
            <w:tcW w:w="60" w:type="dxa"/>
            <w:vAlign w:val="bottom"/>
            <w:tcBorders>
              <w:left w:val="single" w:sz="8" w:color="DD924E"/>
              <w:bottom w:val="single" w:sz="8" w:color="DD924E"/>
            </w:tcBorders>
            <w:shd w:val="clear" w:color="auto" w:fill="DD924E"/>
          </w:tcPr>
          <w:p>
            <w:pPr>
              <w:spacing w:after="0"/>
              <w:rPr>
                <w:sz w:val="16"/>
                <w:szCs w:val="16"/>
                <w:color w:val="auto"/>
              </w:rPr>
            </w:pPr>
          </w:p>
        </w:tc>
        <w:tc>
          <w:tcPr>
            <w:tcW w:w="1920" w:type="dxa"/>
            <w:vAlign w:val="bottom"/>
            <w:tcBorders>
              <w:bottom w:val="single" w:sz="8" w:color="DD924E"/>
            </w:tcBorders>
            <w:shd w:val="clear" w:color="auto" w:fill="DD924E"/>
          </w:tcPr>
          <w:p>
            <w:pPr>
              <w:spacing w:after="0"/>
              <w:rPr>
                <w:sz w:val="16"/>
                <w:szCs w:val="16"/>
                <w:color w:val="auto"/>
              </w:rPr>
            </w:pPr>
          </w:p>
        </w:tc>
        <w:tc>
          <w:tcPr>
            <w:tcW w:w="120" w:type="dxa"/>
            <w:vAlign w:val="bottom"/>
            <w:tcBorders>
              <w:bottom w:val="single" w:sz="8" w:color="DD924E"/>
            </w:tcBorders>
            <w:shd w:val="clear" w:color="auto" w:fill="DD924E"/>
          </w:tcPr>
          <w:p>
            <w:pPr>
              <w:spacing w:after="0"/>
              <w:rPr>
                <w:sz w:val="16"/>
                <w:szCs w:val="16"/>
                <w:color w:val="auto"/>
              </w:rPr>
            </w:pPr>
          </w:p>
        </w:tc>
        <w:tc>
          <w:tcPr>
            <w:tcW w:w="3280" w:type="dxa"/>
            <w:vAlign w:val="bottom"/>
            <w:tcBorders>
              <w:bottom w:val="single" w:sz="8" w:color="auto"/>
            </w:tcBorders>
            <w:gridSpan w:val="3"/>
            <w:shd w:val="clear" w:color="auto" w:fill="DD924E"/>
          </w:tcPr>
          <w:p>
            <w:pPr>
              <w:jc w:val="right"/>
              <w:ind w:right="1087"/>
              <w:spacing w:after="0"/>
              <w:rPr>
                <w:sz w:val="20"/>
                <w:szCs w:val="20"/>
                <w:color w:val="auto"/>
              </w:rPr>
            </w:pPr>
            <w:r>
              <w:rPr>
                <w:rFonts w:ascii="Arial" w:cs="Arial" w:eastAsia="Arial" w:hAnsi="Arial"/>
                <w:sz w:val="14"/>
                <w:szCs w:val="14"/>
                <w:b w:val="1"/>
                <w:bCs w:val="1"/>
                <w:color w:val="FFFFFF"/>
              </w:rPr>
              <w:t>Option Awards</w:t>
            </w:r>
          </w:p>
        </w:tc>
        <w:tc>
          <w:tcPr>
            <w:tcW w:w="100" w:type="dxa"/>
            <w:vAlign w:val="bottom"/>
            <w:tcBorders>
              <w:bottom w:val="single" w:sz="8" w:color="DD924E"/>
            </w:tcBorders>
            <w:shd w:val="clear" w:color="auto" w:fill="DD924E"/>
          </w:tcPr>
          <w:p>
            <w:pPr>
              <w:spacing w:after="0"/>
              <w:rPr>
                <w:sz w:val="16"/>
                <w:szCs w:val="16"/>
                <w:color w:val="auto"/>
              </w:rPr>
            </w:pPr>
          </w:p>
        </w:tc>
        <w:tc>
          <w:tcPr>
            <w:tcW w:w="3340" w:type="dxa"/>
            <w:vAlign w:val="bottom"/>
            <w:tcBorders>
              <w:bottom w:val="single" w:sz="8" w:color="auto"/>
              <w:right w:val="single" w:sz="8" w:color="DD924E"/>
            </w:tcBorders>
            <w:gridSpan w:val="3"/>
            <w:shd w:val="clear" w:color="auto" w:fill="DD924E"/>
          </w:tcPr>
          <w:p>
            <w:pPr>
              <w:jc w:val="right"/>
              <w:ind w:right="1192"/>
              <w:spacing w:after="0"/>
              <w:rPr>
                <w:sz w:val="20"/>
                <w:szCs w:val="20"/>
                <w:color w:val="auto"/>
              </w:rPr>
            </w:pPr>
            <w:r>
              <w:rPr>
                <w:rFonts w:ascii="Arial" w:cs="Arial" w:eastAsia="Arial" w:hAnsi="Arial"/>
                <w:sz w:val="14"/>
                <w:szCs w:val="14"/>
                <w:b w:val="1"/>
                <w:bCs w:val="1"/>
                <w:color w:val="FFFFFF"/>
              </w:rPr>
              <w:t>Stock Awards</w:t>
            </w:r>
          </w:p>
        </w:tc>
      </w:tr>
      <w:tr>
        <w:trPr>
          <w:trHeight w:val="186"/>
        </w:trPr>
        <w:tc>
          <w:tcPr>
            <w:tcW w:w="60" w:type="dxa"/>
            <w:vAlign w:val="bottom"/>
            <w:tcBorders>
              <w:left w:val="single" w:sz="8" w:color="DD924E"/>
            </w:tcBorders>
            <w:shd w:val="clear" w:color="auto" w:fill="DD924E"/>
          </w:tcPr>
          <w:p>
            <w:pPr>
              <w:spacing w:after="0"/>
              <w:rPr>
                <w:sz w:val="16"/>
                <w:szCs w:val="16"/>
                <w:color w:val="auto"/>
              </w:rPr>
            </w:pPr>
          </w:p>
        </w:tc>
        <w:tc>
          <w:tcPr>
            <w:tcW w:w="1920" w:type="dxa"/>
            <w:vAlign w:val="bottom"/>
            <w:shd w:val="clear" w:color="auto" w:fill="DD924E"/>
          </w:tcPr>
          <w:p>
            <w:pPr>
              <w:spacing w:after="0"/>
              <w:rPr>
                <w:sz w:val="16"/>
                <w:szCs w:val="16"/>
                <w:color w:val="auto"/>
              </w:rPr>
            </w:pPr>
          </w:p>
        </w:tc>
        <w:tc>
          <w:tcPr>
            <w:tcW w:w="120" w:type="dxa"/>
            <w:vAlign w:val="bottom"/>
            <w:shd w:val="clear" w:color="auto" w:fill="DD924E"/>
          </w:tcPr>
          <w:p>
            <w:pPr>
              <w:spacing w:after="0"/>
              <w:rPr>
                <w:sz w:val="16"/>
                <w:szCs w:val="16"/>
                <w:color w:val="auto"/>
              </w:rPr>
            </w:pPr>
          </w:p>
        </w:tc>
        <w:tc>
          <w:tcPr>
            <w:tcW w:w="170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6"/>
              </w:rPr>
              <w:t>Number of Shares</w:t>
            </w:r>
          </w:p>
        </w:tc>
        <w:tc>
          <w:tcPr>
            <w:tcW w:w="100" w:type="dxa"/>
            <w:vAlign w:val="bottom"/>
            <w:shd w:val="clear" w:color="auto" w:fill="DD924E"/>
          </w:tcPr>
          <w:p>
            <w:pPr>
              <w:spacing w:after="0"/>
              <w:rPr>
                <w:sz w:val="16"/>
                <w:szCs w:val="16"/>
                <w:color w:val="auto"/>
              </w:rPr>
            </w:pPr>
          </w:p>
        </w:tc>
        <w:tc>
          <w:tcPr>
            <w:tcW w:w="148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5"/>
              </w:rPr>
              <w:t>Value Realized</w:t>
            </w:r>
          </w:p>
        </w:tc>
        <w:tc>
          <w:tcPr>
            <w:tcW w:w="100" w:type="dxa"/>
            <w:vAlign w:val="bottom"/>
            <w:shd w:val="clear" w:color="auto" w:fill="DD924E"/>
          </w:tcPr>
          <w:p>
            <w:pPr>
              <w:spacing w:after="0"/>
              <w:rPr>
                <w:sz w:val="16"/>
                <w:szCs w:val="16"/>
                <w:color w:val="auto"/>
              </w:rPr>
            </w:pPr>
          </w:p>
        </w:tc>
        <w:tc>
          <w:tcPr>
            <w:tcW w:w="168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Number of Shares</w:t>
            </w:r>
          </w:p>
        </w:tc>
        <w:tc>
          <w:tcPr>
            <w:tcW w:w="120" w:type="dxa"/>
            <w:vAlign w:val="bottom"/>
            <w:shd w:val="clear" w:color="auto" w:fill="DD924E"/>
          </w:tcPr>
          <w:p>
            <w:pPr>
              <w:spacing w:after="0"/>
              <w:rPr>
                <w:sz w:val="16"/>
                <w:szCs w:val="16"/>
                <w:color w:val="auto"/>
              </w:rPr>
            </w:pPr>
          </w:p>
        </w:tc>
        <w:tc>
          <w:tcPr>
            <w:tcW w:w="1540" w:type="dxa"/>
            <w:vAlign w:val="bottom"/>
            <w:tcBorders>
              <w:right w:val="single" w:sz="8" w:color="DD924E"/>
            </w:tcBorders>
            <w:shd w:val="clear" w:color="auto" w:fill="DD924E"/>
          </w:tcPr>
          <w:p>
            <w:pPr>
              <w:jc w:val="center"/>
              <w:ind w:right="32"/>
              <w:spacing w:after="0"/>
              <w:rPr>
                <w:sz w:val="20"/>
                <w:szCs w:val="20"/>
                <w:color w:val="auto"/>
              </w:rPr>
            </w:pPr>
            <w:r>
              <w:rPr>
                <w:rFonts w:ascii="Arial" w:cs="Arial" w:eastAsia="Arial" w:hAnsi="Arial"/>
                <w:sz w:val="14"/>
                <w:szCs w:val="14"/>
                <w:b w:val="1"/>
                <w:bCs w:val="1"/>
                <w:color w:val="FFFFFF"/>
                <w:w w:val="97"/>
              </w:rPr>
              <w:t>Value Realized</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920" w:type="dxa"/>
            <w:vAlign w:val="bottom"/>
            <w:shd w:val="clear" w:color="auto" w:fill="DD924E"/>
          </w:tcPr>
          <w:p>
            <w:pPr>
              <w:spacing w:after="0"/>
              <w:rPr>
                <w:sz w:val="13"/>
                <w:szCs w:val="13"/>
                <w:color w:val="auto"/>
              </w:rPr>
            </w:pPr>
          </w:p>
        </w:tc>
        <w:tc>
          <w:tcPr>
            <w:tcW w:w="120" w:type="dxa"/>
            <w:vAlign w:val="bottom"/>
            <w:shd w:val="clear" w:color="auto" w:fill="DD924E"/>
          </w:tcPr>
          <w:p>
            <w:pPr>
              <w:spacing w:after="0"/>
              <w:rPr>
                <w:sz w:val="13"/>
                <w:szCs w:val="13"/>
                <w:color w:val="auto"/>
              </w:rPr>
            </w:pPr>
          </w:p>
        </w:tc>
        <w:tc>
          <w:tcPr>
            <w:tcW w:w="17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Acquired on Exercise</w:t>
            </w:r>
          </w:p>
        </w:tc>
        <w:tc>
          <w:tcPr>
            <w:tcW w:w="100" w:type="dxa"/>
            <w:vAlign w:val="bottom"/>
            <w:shd w:val="clear" w:color="auto" w:fill="DD924E"/>
          </w:tcPr>
          <w:p>
            <w:pPr>
              <w:spacing w:after="0"/>
              <w:rPr>
                <w:sz w:val="13"/>
                <w:szCs w:val="13"/>
                <w:color w:val="auto"/>
              </w:rPr>
            </w:pPr>
          </w:p>
        </w:tc>
        <w:tc>
          <w:tcPr>
            <w:tcW w:w="14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9"/>
              </w:rPr>
              <w:t>on Exercise</w:t>
            </w:r>
          </w:p>
        </w:tc>
        <w:tc>
          <w:tcPr>
            <w:tcW w:w="100" w:type="dxa"/>
            <w:vAlign w:val="bottom"/>
            <w:shd w:val="clear" w:color="auto" w:fill="DD924E"/>
          </w:tcPr>
          <w:p>
            <w:pPr>
              <w:spacing w:after="0"/>
              <w:rPr>
                <w:sz w:val="13"/>
                <w:szCs w:val="13"/>
                <w:color w:val="auto"/>
              </w:rPr>
            </w:pPr>
          </w:p>
        </w:tc>
        <w:tc>
          <w:tcPr>
            <w:tcW w:w="16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Acquired on Vesting</w:t>
            </w:r>
          </w:p>
        </w:tc>
        <w:tc>
          <w:tcPr>
            <w:tcW w:w="120" w:type="dxa"/>
            <w:vAlign w:val="bottom"/>
            <w:shd w:val="clear" w:color="auto" w:fill="DD924E"/>
          </w:tcPr>
          <w:p>
            <w:pPr>
              <w:spacing w:after="0"/>
              <w:rPr>
                <w:sz w:val="13"/>
                <w:szCs w:val="13"/>
                <w:color w:val="auto"/>
              </w:rPr>
            </w:pPr>
          </w:p>
        </w:tc>
        <w:tc>
          <w:tcPr>
            <w:tcW w:w="1540" w:type="dxa"/>
            <w:vAlign w:val="bottom"/>
            <w:tcBorders>
              <w:right w:val="single" w:sz="8" w:color="DD924E"/>
            </w:tcBorders>
            <w:shd w:val="clear" w:color="auto" w:fill="DD924E"/>
          </w:tcPr>
          <w:p>
            <w:pPr>
              <w:jc w:val="center"/>
              <w:ind w:right="72"/>
              <w:spacing w:after="0" w:line="154" w:lineRule="exact"/>
              <w:rPr>
                <w:sz w:val="20"/>
                <w:szCs w:val="20"/>
                <w:color w:val="auto"/>
              </w:rPr>
            </w:pPr>
            <w:r>
              <w:rPr>
                <w:rFonts w:ascii="Arial" w:cs="Arial" w:eastAsia="Arial" w:hAnsi="Arial"/>
                <w:sz w:val="14"/>
                <w:szCs w:val="14"/>
                <w:b w:val="1"/>
                <w:bCs w:val="1"/>
                <w:color w:val="FFFFFF"/>
                <w:w w:val="94"/>
              </w:rPr>
              <w:t>on Vesting</w:t>
            </w:r>
          </w:p>
        </w:tc>
      </w:tr>
      <w:tr>
        <w:trPr>
          <w:trHeight w:val="184"/>
        </w:trPr>
        <w:tc>
          <w:tcPr>
            <w:tcW w:w="60" w:type="dxa"/>
            <w:vAlign w:val="bottom"/>
            <w:tcBorders>
              <w:left w:val="single" w:sz="8" w:color="DD924E"/>
              <w:bottom w:val="single" w:sz="8" w:color="DD924E"/>
            </w:tcBorders>
            <w:shd w:val="clear" w:color="auto" w:fill="DD924E"/>
          </w:tcPr>
          <w:p>
            <w:pPr>
              <w:spacing w:after="0"/>
              <w:rPr>
                <w:sz w:val="15"/>
                <w:szCs w:val="15"/>
                <w:color w:val="auto"/>
              </w:rPr>
            </w:pPr>
          </w:p>
        </w:tc>
        <w:tc>
          <w:tcPr>
            <w:tcW w:w="1920" w:type="dxa"/>
            <w:vAlign w:val="bottom"/>
            <w:tcBorders>
              <w:bottom w:val="single" w:sz="8" w:color="auto"/>
            </w:tcBorders>
            <w:shd w:val="clear" w:color="auto" w:fill="DD924E"/>
          </w:tcPr>
          <w:p>
            <w:pPr>
              <w:ind w:left="780"/>
              <w:spacing w:after="0"/>
              <w:rPr>
                <w:sz w:val="20"/>
                <w:szCs w:val="20"/>
                <w:color w:val="auto"/>
              </w:rPr>
            </w:pPr>
            <w:r>
              <w:rPr>
                <w:rFonts w:ascii="Arial" w:cs="Arial" w:eastAsia="Arial" w:hAnsi="Arial"/>
                <w:sz w:val="14"/>
                <w:szCs w:val="14"/>
                <w:b w:val="1"/>
                <w:bCs w:val="1"/>
                <w:color w:val="FFFFFF"/>
              </w:rPr>
              <w:t>Name</w:t>
            </w:r>
          </w:p>
        </w:tc>
        <w:tc>
          <w:tcPr>
            <w:tcW w:w="120" w:type="dxa"/>
            <w:vAlign w:val="bottom"/>
            <w:tcBorders>
              <w:bottom w:val="single" w:sz="8" w:color="DD924E"/>
            </w:tcBorders>
            <w:shd w:val="clear" w:color="auto" w:fill="DD924E"/>
          </w:tcPr>
          <w:p>
            <w:pPr>
              <w:spacing w:after="0"/>
              <w:rPr>
                <w:sz w:val="15"/>
                <w:szCs w:val="15"/>
                <w:color w:val="auto"/>
              </w:rPr>
            </w:pPr>
          </w:p>
        </w:tc>
        <w:tc>
          <w:tcPr>
            <w:tcW w:w="170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3"/>
              </w:rPr>
              <w:t>(#)</w:t>
            </w:r>
          </w:p>
        </w:tc>
        <w:tc>
          <w:tcPr>
            <w:tcW w:w="100" w:type="dxa"/>
            <w:vAlign w:val="bottom"/>
            <w:tcBorders>
              <w:bottom w:val="single" w:sz="8" w:color="DD924E"/>
            </w:tcBorders>
            <w:shd w:val="clear" w:color="auto" w:fill="DD924E"/>
          </w:tcPr>
          <w:p>
            <w:pPr>
              <w:spacing w:after="0"/>
              <w:rPr>
                <w:sz w:val="15"/>
                <w:szCs w:val="15"/>
                <w:color w:val="auto"/>
              </w:rPr>
            </w:pPr>
          </w:p>
        </w:tc>
        <w:tc>
          <w:tcPr>
            <w:tcW w:w="148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D924E"/>
            </w:tcBorders>
            <w:shd w:val="clear" w:color="auto" w:fill="DD924E"/>
          </w:tcPr>
          <w:p>
            <w:pPr>
              <w:spacing w:after="0"/>
              <w:rPr>
                <w:sz w:val="15"/>
                <w:szCs w:val="15"/>
                <w:color w:val="auto"/>
              </w:rPr>
            </w:pPr>
          </w:p>
        </w:tc>
        <w:tc>
          <w:tcPr>
            <w:tcW w:w="168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3"/>
              </w:rPr>
              <w:t>(#)</w:t>
            </w:r>
          </w:p>
        </w:tc>
        <w:tc>
          <w:tcPr>
            <w:tcW w:w="120" w:type="dxa"/>
            <w:vAlign w:val="bottom"/>
            <w:tcBorders>
              <w:bottom w:val="single" w:sz="8" w:color="DD924E"/>
            </w:tcBorders>
            <w:shd w:val="clear" w:color="auto" w:fill="DD924E"/>
          </w:tcPr>
          <w:p>
            <w:pPr>
              <w:spacing w:after="0"/>
              <w:rPr>
                <w:sz w:val="15"/>
                <w:szCs w:val="15"/>
                <w:color w:val="auto"/>
              </w:rPr>
            </w:pPr>
          </w:p>
        </w:tc>
        <w:tc>
          <w:tcPr>
            <w:tcW w:w="1540" w:type="dxa"/>
            <w:vAlign w:val="bottom"/>
            <w:tcBorders>
              <w:bottom w:val="single" w:sz="8" w:color="auto"/>
              <w:right w:val="single" w:sz="8" w:color="DD924E"/>
            </w:tcBorders>
            <w:shd w:val="clear" w:color="auto" w:fill="DD924E"/>
          </w:tcPr>
          <w:p>
            <w:pPr>
              <w:jc w:val="center"/>
              <w:ind w:right="32"/>
              <w:spacing w:after="0"/>
              <w:rPr>
                <w:sz w:val="20"/>
                <w:szCs w:val="20"/>
                <w:color w:val="auto"/>
              </w:rPr>
            </w:pPr>
            <w:r>
              <w:rPr>
                <w:rFonts w:ascii="Arial" w:cs="Arial" w:eastAsia="Arial" w:hAnsi="Arial"/>
                <w:sz w:val="14"/>
                <w:szCs w:val="14"/>
                <w:b w:val="1"/>
                <w:bCs w:val="1"/>
                <w:color w:val="FFFFFF"/>
                <w:w w:val="93"/>
              </w:rPr>
              <w:t>($)</w:t>
            </w:r>
          </w:p>
        </w:tc>
      </w:tr>
      <w:tr>
        <w:trPr>
          <w:trHeight w:val="231"/>
        </w:trPr>
        <w:tc>
          <w:tcPr>
            <w:tcW w:w="2100" w:type="dxa"/>
            <w:vAlign w:val="bottom"/>
            <w:tcBorders>
              <w:left w:val="single" w:sz="8" w:color="DD924E"/>
            </w:tcBorders>
            <w:gridSpan w:val="3"/>
            <w:shd w:val="clear" w:color="auto" w:fill="FBF4ED"/>
          </w:tcPr>
          <w:p>
            <w:pPr>
              <w:ind w:left="60"/>
              <w:spacing w:after="0"/>
              <w:rPr>
                <w:sz w:val="20"/>
                <w:szCs w:val="20"/>
                <w:color w:val="auto"/>
              </w:rPr>
            </w:pPr>
            <w:r>
              <w:rPr>
                <w:rFonts w:ascii="Arial" w:cs="Arial" w:eastAsia="Arial" w:hAnsi="Arial"/>
                <w:sz w:val="15"/>
                <w:szCs w:val="15"/>
                <w:color w:val="auto"/>
              </w:rPr>
              <w:t>Rohit Kapoor</w:t>
            </w:r>
          </w:p>
        </w:tc>
        <w:tc>
          <w:tcPr>
            <w:tcW w:w="1700" w:type="dxa"/>
            <w:vAlign w:val="bottom"/>
            <w:shd w:val="clear" w:color="auto" w:fill="FBF4ED"/>
          </w:tcPr>
          <w:p>
            <w:pPr>
              <w:jc w:val="right"/>
              <w:spacing w:after="0"/>
              <w:rPr>
                <w:sz w:val="20"/>
                <w:szCs w:val="20"/>
                <w:color w:val="auto"/>
              </w:rPr>
            </w:pPr>
            <w:r>
              <w:rPr>
                <w:rFonts w:ascii="Arial" w:cs="Arial" w:eastAsia="Arial" w:hAnsi="Arial"/>
                <w:sz w:val="15"/>
                <w:szCs w:val="15"/>
                <w:color w:val="auto"/>
              </w:rPr>
              <w:t>393,900</w:t>
            </w:r>
          </w:p>
        </w:tc>
        <w:tc>
          <w:tcPr>
            <w:tcW w:w="1580" w:type="dxa"/>
            <w:vAlign w:val="bottom"/>
            <w:gridSpan w:val="2"/>
            <w:shd w:val="clear" w:color="auto" w:fill="FBF4ED"/>
          </w:tcPr>
          <w:p>
            <w:pPr>
              <w:jc w:val="right"/>
              <w:spacing w:after="0"/>
              <w:rPr>
                <w:sz w:val="20"/>
                <w:szCs w:val="20"/>
                <w:color w:val="auto"/>
              </w:rPr>
            </w:pPr>
            <w:r>
              <w:rPr>
                <w:rFonts w:ascii="Arial" w:cs="Arial" w:eastAsia="Arial" w:hAnsi="Arial"/>
                <w:sz w:val="15"/>
                <w:szCs w:val="15"/>
                <w:color w:val="auto"/>
              </w:rPr>
              <w:t>16,894,271</w:t>
            </w:r>
          </w:p>
        </w:tc>
        <w:tc>
          <w:tcPr>
            <w:tcW w:w="1780" w:type="dxa"/>
            <w:vAlign w:val="bottom"/>
            <w:gridSpan w:val="2"/>
            <w:shd w:val="clear" w:color="auto" w:fill="FBF4ED"/>
          </w:tcPr>
          <w:p>
            <w:pPr>
              <w:jc w:val="right"/>
              <w:ind w:right="492"/>
              <w:spacing w:after="0"/>
              <w:rPr>
                <w:sz w:val="20"/>
                <w:szCs w:val="20"/>
                <w:color w:val="auto"/>
              </w:rPr>
            </w:pPr>
            <w:r>
              <w:rPr>
                <w:rFonts w:ascii="Arial" w:cs="Arial" w:eastAsia="Arial" w:hAnsi="Arial"/>
                <w:sz w:val="15"/>
                <w:szCs w:val="15"/>
                <w:color w:val="auto"/>
              </w:rPr>
              <w:t>301,124</w:t>
            </w:r>
          </w:p>
        </w:tc>
        <w:tc>
          <w:tcPr>
            <w:tcW w:w="1660" w:type="dxa"/>
            <w:vAlign w:val="bottom"/>
            <w:tcBorders>
              <w:right w:val="single" w:sz="8" w:color="DD924E"/>
            </w:tcBorders>
            <w:gridSpan w:val="2"/>
            <w:shd w:val="clear" w:color="auto" w:fill="FBF4ED"/>
          </w:tcPr>
          <w:p>
            <w:pPr>
              <w:jc w:val="right"/>
              <w:ind w:right="372"/>
              <w:spacing w:after="0"/>
              <w:rPr>
                <w:sz w:val="20"/>
                <w:szCs w:val="20"/>
                <w:color w:val="auto"/>
              </w:rPr>
            </w:pPr>
            <w:r>
              <w:rPr>
                <w:rFonts w:ascii="Arial" w:cs="Arial" w:eastAsia="Arial" w:hAnsi="Arial"/>
                <w:sz w:val="15"/>
                <w:szCs w:val="15"/>
                <w:color w:val="auto"/>
              </w:rPr>
              <w:t>17,897,829</w:t>
            </w:r>
          </w:p>
        </w:tc>
      </w:tr>
      <w:tr>
        <w:trPr>
          <w:trHeight w:val="222"/>
        </w:trPr>
        <w:tc>
          <w:tcPr>
            <w:tcW w:w="2100" w:type="dxa"/>
            <w:vAlign w:val="bottom"/>
            <w:tcBorders>
              <w:left w:val="single" w:sz="8" w:color="DD924E"/>
            </w:tcBorders>
            <w:gridSpan w:val="3"/>
          </w:tcPr>
          <w:p>
            <w:pPr>
              <w:ind w:left="60"/>
              <w:spacing w:after="0"/>
              <w:rPr>
                <w:sz w:val="20"/>
                <w:szCs w:val="20"/>
                <w:color w:val="auto"/>
              </w:rPr>
            </w:pPr>
            <w:r>
              <w:rPr>
                <w:rFonts w:ascii="Arial" w:cs="Arial" w:eastAsia="Arial" w:hAnsi="Arial"/>
                <w:sz w:val="15"/>
                <w:szCs w:val="15"/>
                <w:color w:val="auto"/>
              </w:rPr>
              <w:t>Vishal Chhibbar</w:t>
            </w:r>
          </w:p>
        </w:tc>
        <w:tc>
          <w:tcPr>
            <w:tcW w:w="1700" w:type="dxa"/>
            <w:vAlign w:val="bottom"/>
          </w:tcPr>
          <w:p>
            <w:pPr>
              <w:jc w:val="right"/>
              <w:spacing w:after="0"/>
              <w:rPr>
                <w:sz w:val="20"/>
                <w:szCs w:val="20"/>
                <w:color w:val="auto"/>
              </w:rPr>
            </w:pPr>
            <w:r>
              <w:rPr>
                <w:rFonts w:ascii="Arial" w:cs="Arial" w:eastAsia="Arial" w:hAnsi="Arial"/>
                <w:sz w:val="15"/>
                <w:szCs w:val="15"/>
                <w:color w:val="auto"/>
              </w:rPr>
              <w:t>8,050</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320,581</w:t>
            </w:r>
          </w:p>
        </w:tc>
        <w:tc>
          <w:tcPr>
            <w:tcW w:w="1780" w:type="dxa"/>
            <w:vAlign w:val="bottom"/>
            <w:gridSpan w:val="2"/>
          </w:tcPr>
          <w:p>
            <w:pPr>
              <w:jc w:val="right"/>
              <w:ind w:right="492"/>
              <w:spacing w:after="0"/>
              <w:rPr>
                <w:sz w:val="20"/>
                <w:szCs w:val="20"/>
                <w:color w:val="auto"/>
              </w:rPr>
            </w:pPr>
            <w:r>
              <w:rPr>
                <w:rFonts w:ascii="Arial" w:cs="Arial" w:eastAsia="Arial" w:hAnsi="Arial"/>
                <w:sz w:val="15"/>
                <w:szCs w:val="15"/>
                <w:color w:val="auto"/>
              </w:rPr>
              <w:t>21,135</w:t>
            </w:r>
          </w:p>
        </w:tc>
        <w:tc>
          <w:tcPr>
            <w:tcW w:w="1660" w:type="dxa"/>
            <w:vAlign w:val="bottom"/>
            <w:tcBorders>
              <w:right w:val="single" w:sz="8" w:color="DD924E"/>
            </w:tcBorders>
            <w:gridSpan w:val="2"/>
          </w:tcPr>
          <w:p>
            <w:pPr>
              <w:jc w:val="right"/>
              <w:ind w:right="372"/>
              <w:spacing w:after="0"/>
              <w:rPr>
                <w:sz w:val="20"/>
                <w:szCs w:val="20"/>
                <w:color w:val="auto"/>
              </w:rPr>
            </w:pPr>
            <w:r>
              <w:rPr>
                <w:rFonts w:ascii="Arial" w:cs="Arial" w:eastAsia="Arial" w:hAnsi="Arial"/>
                <w:sz w:val="15"/>
                <w:szCs w:val="15"/>
                <w:color w:val="auto"/>
              </w:rPr>
              <w:t>1,141,821</w:t>
            </w:r>
          </w:p>
        </w:tc>
      </w:tr>
      <w:tr>
        <w:trPr>
          <w:trHeight w:val="240"/>
        </w:trPr>
        <w:tc>
          <w:tcPr>
            <w:tcW w:w="2100" w:type="dxa"/>
            <w:vAlign w:val="bottom"/>
            <w:tcBorders>
              <w:left w:val="single" w:sz="8" w:color="DD924E"/>
            </w:tcBorders>
            <w:gridSpan w:val="3"/>
            <w:shd w:val="clear" w:color="auto" w:fill="FBF4ED"/>
          </w:tcPr>
          <w:p>
            <w:pPr>
              <w:ind w:left="60"/>
              <w:spacing w:after="0"/>
              <w:rPr>
                <w:sz w:val="20"/>
                <w:szCs w:val="20"/>
                <w:color w:val="auto"/>
              </w:rPr>
            </w:pPr>
            <w:r>
              <w:rPr>
                <w:rFonts w:ascii="Arial" w:cs="Arial" w:eastAsia="Arial" w:hAnsi="Arial"/>
                <w:sz w:val="15"/>
                <w:szCs w:val="15"/>
                <w:color w:val="auto"/>
              </w:rPr>
              <w:t>Pavan Bagai</w:t>
            </w:r>
          </w:p>
        </w:tc>
        <w:tc>
          <w:tcPr>
            <w:tcW w:w="170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FBF4ED"/>
          </w:tcPr>
          <w:p>
            <w:pPr>
              <w:spacing w:after="0"/>
              <w:rPr>
                <w:sz w:val="20"/>
                <w:szCs w:val="20"/>
                <w:color w:val="auto"/>
              </w:rPr>
            </w:pPr>
          </w:p>
        </w:tc>
        <w:tc>
          <w:tcPr>
            <w:tcW w:w="148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1780" w:type="dxa"/>
            <w:vAlign w:val="bottom"/>
            <w:gridSpan w:val="2"/>
            <w:shd w:val="clear" w:color="auto" w:fill="FBF4ED"/>
          </w:tcPr>
          <w:p>
            <w:pPr>
              <w:jc w:val="right"/>
              <w:ind w:right="492"/>
              <w:spacing w:after="0"/>
              <w:rPr>
                <w:sz w:val="20"/>
                <w:szCs w:val="20"/>
                <w:color w:val="auto"/>
              </w:rPr>
            </w:pPr>
            <w:r>
              <w:rPr>
                <w:rFonts w:ascii="Arial" w:cs="Arial" w:eastAsia="Arial" w:hAnsi="Arial"/>
                <w:sz w:val="15"/>
                <w:szCs w:val="15"/>
                <w:color w:val="auto"/>
              </w:rPr>
              <w:t>36,559</w:t>
            </w:r>
          </w:p>
        </w:tc>
        <w:tc>
          <w:tcPr>
            <w:tcW w:w="1660" w:type="dxa"/>
            <w:vAlign w:val="bottom"/>
            <w:tcBorders>
              <w:right w:val="single" w:sz="8" w:color="DD924E"/>
            </w:tcBorders>
            <w:gridSpan w:val="2"/>
            <w:shd w:val="clear" w:color="auto" w:fill="FBF4ED"/>
          </w:tcPr>
          <w:p>
            <w:pPr>
              <w:jc w:val="right"/>
              <w:ind w:right="372"/>
              <w:spacing w:after="0"/>
              <w:rPr>
                <w:sz w:val="20"/>
                <w:szCs w:val="20"/>
                <w:color w:val="auto"/>
              </w:rPr>
            </w:pPr>
            <w:r>
              <w:rPr>
                <w:rFonts w:ascii="Arial" w:cs="Arial" w:eastAsia="Arial" w:hAnsi="Arial"/>
                <w:sz w:val="15"/>
                <w:szCs w:val="15"/>
                <w:color w:val="auto"/>
              </w:rPr>
              <w:t>1,963,362</w:t>
            </w:r>
          </w:p>
        </w:tc>
      </w:tr>
      <w:tr>
        <w:trPr>
          <w:trHeight w:val="222"/>
        </w:trPr>
        <w:tc>
          <w:tcPr>
            <w:tcW w:w="2100" w:type="dxa"/>
            <w:vAlign w:val="bottom"/>
            <w:tcBorders>
              <w:left w:val="single" w:sz="8" w:color="DD924E"/>
            </w:tcBorders>
            <w:gridSpan w:val="3"/>
          </w:tcPr>
          <w:p>
            <w:pPr>
              <w:ind w:left="60"/>
              <w:spacing w:after="0"/>
              <w:rPr>
                <w:sz w:val="20"/>
                <w:szCs w:val="20"/>
                <w:color w:val="auto"/>
              </w:rPr>
            </w:pPr>
            <w:r>
              <w:rPr>
                <w:rFonts w:ascii="Arial" w:cs="Arial" w:eastAsia="Arial" w:hAnsi="Arial"/>
                <w:sz w:val="15"/>
                <w:szCs w:val="15"/>
                <w:color w:val="auto"/>
              </w:rPr>
              <w:t>Nagaraja Srivatsan</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w:t>
            </w:r>
          </w:p>
        </w:tc>
        <w:tc>
          <w:tcPr>
            <w:tcW w:w="1780" w:type="dxa"/>
            <w:vAlign w:val="bottom"/>
            <w:gridSpan w:val="2"/>
          </w:tcPr>
          <w:p>
            <w:pPr>
              <w:jc w:val="right"/>
              <w:ind w:right="492"/>
              <w:spacing w:after="0"/>
              <w:rPr>
                <w:sz w:val="20"/>
                <w:szCs w:val="20"/>
                <w:color w:val="auto"/>
              </w:rPr>
            </w:pPr>
            <w:r>
              <w:rPr>
                <w:rFonts w:ascii="Arial" w:cs="Arial" w:eastAsia="Arial" w:hAnsi="Arial"/>
                <w:sz w:val="15"/>
                <w:szCs w:val="15"/>
                <w:color w:val="auto"/>
              </w:rPr>
              <w:t>4,500</w:t>
            </w:r>
          </w:p>
        </w:tc>
        <w:tc>
          <w:tcPr>
            <w:tcW w:w="1660" w:type="dxa"/>
            <w:vAlign w:val="bottom"/>
            <w:tcBorders>
              <w:right w:val="single" w:sz="8" w:color="DD924E"/>
            </w:tcBorders>
            <w:gridSpan w:val="2"/>
          </w:tcPr>
          <w:p>
            <w:pPr>
              <w:jc w:val="right"/>
              <w:ind w:right="372"/>
              <w:spacing w:after="0"/>
              <w:rPr>
                <w:sz w:val="20"/>
                <w:szCs w:val="20"/>
                <w:color w:val="auto"/>
              </w:rPr>
            </w:pPr>
            <w:r>
              <w:rPr>
                <w:rFonts w:ascii="Arial" w:cs="Arial" w:eastAsia="Arial" w:hAnsi="Arial"/>
                <w:sz w:val="15"/>
                <w:szCs w:val="15"/>
                <w:color w:val="auto"/>
              </w:rPr>
              <w:t>273,600</w:t>
            </w:r>
          </w:p>
        </w:tc>
      </w:tr>
      <w:tr>
        <w:trPr>
          <w:trHeight w:val="233"/>
        </w:trPr>
        <w:tc>
          <w:tcPr>
            <w:tcW w:w="2100" w:type="dxa"/>
            <w:vAlign w:val="bottom"/>
            <w:tcBorders>
              <w:left w:val="single" w:sz="8" w:color="DD924E"/>
              <w:bottom w:val="single" w:sz="8" w:color="DD924E"/>
            </w:tcBorders>
            <w:gridSpan w:val="3"/>
            <w:shd w:val="clear" w:color="auto" w:fill="FBF4ED"/>
          </w:tcPr>
          <w:p>
            <w:pPr>
              <w:ind w:left="60"/>
              <w:spacing w:after="0"/>
              <w:rPr>
                <w:sz w:val="20"/>
                <w:szCs w:val="20"/>
                <w:color w:val="auto"/>
              </w:rPr>
            </w:pPr>
            <w:r>
              <w:rPr>
                <w:rFonts w:ascii="Arial" w:cs="Arial" w:eastAsia="Arial" w:hAnsi="Arial"/>
                <w:sz w:val="15"/>
                <w:szCs w:val="15"/>
                <w:color w:val="auto"/>
              </w:rPr>
              <w:t>Nalin Miglani</w:t>
            </w:r>
          </w:p>
        </w:tc>
        <w:tc>
          <w:tcPr>
            <w:tcW w:w="1700" w:type="dxa"/>
            <w:vAlign w:val="bottom"/>
            <w:tcBorders>
              <w:bottom w:val="single" w:sz="8" w:color="DD924E"/>
            </w:tcBorders>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D924E"/>
            </w:tcBorders>
            <w:shd w:val="clear" w:color="auto" w:fill="FBF4ED"/>
          </w:tcPr>
          <w:p>
            <w:pPr>
              <w:spacing w:after="0"/>
              <w:rPr>
                <w:sz w:val="20"/>
                <w:szCs w:val="20"/>
                <w:color w:val="auto"/>
              </w:rPr>
            </w:pPr>
          </w:p>
        </w:tc>
        <w:tc>
          <w:tcPr>
            <w:tcW w:w="1480" w:type="dxa"/>
            <w:vAlign w:val="bottom"/>
            <w:tcBorders>
              <w:bottom w:val="single" w:sz="8" w:color="DD924E"/>
            </w:tcBorders>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1780" w:type="dxa"/>
            <w:vAlign w:val="bottom"/>
            <w:tcBorders>
              <w:bottom w:val="single" w:sz="8" w:color="DD924E"/>
            </w:tcBorders>
            <w:gridSpan w:val="2"/>
            <w:shd w:val="clear" w:color="auto" w:fill="FBF4ED"/>
          </w:tcPr>
          <w:p>
            <w:pPr>
              <w:jc w:val="right"/>
              <w:ind w:right="492"/>
              <w:spacing w:after="0"/>
              <w:rPr>
                <w:sz w:val="20"/>
                <w:szCs w:val="20"/>
                <w:color w:val="auto"/>
              </w:rPr>
            </w:pPr>
            <w:r>
              <w:rPr>
                <w:rFonts w:ascii="Arial" w:cs="Arial" w:eastAsia="Arial" w:hAnsi="Arial"/>
                <w:sz w:val="15"/>
                <w:szCs w:val="15"/>
                <w:color w:val="auto"/>
              </w:rPr>
              <w:t>17,187</w:t>
            </w:r>
          </w:p>
        </w:tc>
        <w:tc>
          <w:tcPr>
            <w:tcW w:w="1660" w:type="dxa"/>
            <w:vAlign w:val="bottom"/>
            <w:tcBorders>
              <w:bottom w:val="single" w:sz="8" w:color="DD924E"/>
              <w:right w:val="single" w:sz="8" w:color="DD924E"/>
            </w:tcBorders>
            <w:gridSpan w:val="2"/>
            <w:shd w:val="clear" w:color="auto" w:fill="FBF4ED"/>
          </w:tcPr>
          <w:p>
            <w:pPr>
              <w:jc w:val="right"/>
              <w:ind w:right="372"/>
              <w:spacing w:after="0"/>
              <w:rPr>
                <w:sz w:val="20"/>
                <w:szCs w:val="20"/>
                <w:color w:val="auto"/>
              </w:rPr>
            </w:pPr>
            <w:r>
              <w:rPr>
                <w:rFonts w:ascii="Arial" w:cs="Arial" w:eastAsia="Arial" w:hAnsi="Arial"/>
                <w:sz w:val="15"/>
                <w:szCs w:val="15"/>
                <w:color w:val="auto"/>
              </w:rPr>
              <w:t>1,015,993</w:t>
            </w:r>
          </w:p>
        </w:tc>
      </w:tr>
    </w:tbl>
    <w:p>
      <w:pPr>
        <w:spacing w:after="0" w:line="12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008ED0"/>
        </w:rPr>
        <w:t>Pension Benefits For Fiscal Year 2017</w:t>
      </w:r>
    </w:p>
    <w:p>
      <w:pPr>
        <w:spacing w:after="0" w:line="158"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The following table discloses the present value of accumulated benefits payable to each of the named executive officers and the years of service credited to each named executive under the Gratuity Plan for Indian Employees as of December 31, 2017:</w:t>
      </w:r>
    </w:p>
    <w:p>
      <w:pPr>
        <w:spacing w:after="0" w:line="129" w:lineRule="exact"/>
        <w:rPr>
          <w:sz w:val="20"/>
          <w:szCs w:val="20"/>
          <w:color w:val="auto"/>
        </w:rPr>
      </w:pPr>
    </w:p>
    <w:tbl>
      <w:tblPr>
        <w:tblLayout w:type="fixed"/>
        <w:tblInd w:w="170" w:type="dxa"/>
        <w:tblCellMar>
          <w:top w:w="0" w:type="dxa"/>
          <w:left w:w="0" w:type="dxa"/>
          <w:bottom w:w="0" w:type="dxa"/>
          <w:right w:w="0" w:type="dxa"/>
        </w:tblCellMar>
      </w:tblPr>
      <w:tr>
        <w:trPr>
          <w:trHeight w:val="181"/>
        </w:trPr>
        <w:tc>
          <w:tcPr>
            <w:tcW w:w="60" w:type="dxa"/>
            <w:vAlign w:val="bottom"/>
            <w:tcBorders>
              <w:left w:val="single" w:sz="8" w:color="DD924E"/>
            </w:tcBorders>
            <w:shd w:val="clear" w:color="auto" w:fill="DD924E"/>
          </w:tcPr>
          <w:p>
            <w:pPr>
              <w:spacing w:after="0"/>
              <w:rPr>
                <w:sz w:val="15"/>
                <w:szCs w:val="15"/>
                <w:color w:val="auto"/>
              </w:rPr>
            </w:pPr>
          </w:p>
        </w:tc>
        <w:tc>
          <w:tcPr>
            <w:tcW w:w="108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296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1340" w:type="dxa"/>
            <w:vAlign w:val="bottom"/>
            <w:shd w:val="clear" w:color="auto" w:fill="DD924E"/>
          </w:tcPr>
          <w:p>
            <w:pPr>
              <w:ind w:left="120"/>
              <w:spacing w:after="0"/>
              <w:rPr>
                <w:sz w:val="20"/>
                <w:szCs w:val="20"/>
                <w:color w:val="auto"/>
              </w:rPr>
            </w:pPr>
            <w:r>
              <w:rPr>
                <w:rFonts w:ascii="Arial" w:cs="Arial" w:eastAsia="Arial" w:hAnsi="Arial"/>
                <w:sz w:val="14"/>
                <w:szCs w:val="14"/>
                <w:b w:val="1"/>
                <w:bCs w:val="1"/>
                <w:color w:val="FFFFFF"/>
              </w:rPr>
              <w:t>Number of Years</w:t>
            </w:r>
          </w:p>
        </w:tc>
        <w:tc>
          <w:tcPr>
            <w:tcW w:w="100" w:type="dxa"/>
            <w:vAlign w:val="bottom"/>
            <w:shd w:val="clear" w:color="auto" w:fill="DD924E"/>
          </w:tcPr>
          <w:p>
            <w:pPr>
              <w:spacing w:after="0"/>
              <w:rPr>
                <w:sz w:val="15"/>
                <w:szCs w:val="15"/>
                <w:color w:val="auto"/>
              </w:rPr>
            </w:pPr>
          </w:p>
        </w:tc>
        <w:tc>
          <w:tcPr>
            <w:tcW w:w="144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Present Value</w:t>
            </w:r>
          </w:p>
        </w:tc>
        <w:tc>
          <w:tcPr>
            <w:tcW w:w="100" w:type="dxa"/>
            <w:vAlign w:val="bottom"/>
            <w:shd w:val="clear" w:color="auto" w:fill="DD924E"/>
          </w:tcPr>
          <w:p>
            <w:pPr>
              <w:spacing w:after="0"/>
              <w:rPr>
                <w:sz w:val="15"/>
                <w:szCs w:val="15"/>
                <w:color w:val="auto"/>
              </w:rPr>
            </w:pPr>
          </w:p>
        </w:tc>
        <w:tc>
          <w:tcPr>
            <w:tcW w:w="1520" w:type="dxa"/>
            <w:vAlign w:val="bottom"/>
            <w:tcBorders>
              <w:right w:val="single" w:sz="8" w:color="DD924E"/>
            </w:tcBorders>
            <w:shd w:val="clear" w:color="auto" w:fill="DD924E"/>
          </w:tcPr>
          <w:p>
            <w:pPr>
              <w:jc w:val="center"/>
              <w:ind w:right="12"/>
              <w:spacing w:after="0"/>
              <w:rPr>
                <w:sz w:val="20"/>
                <w:szCs w:val="20"/>
                <w:color w:val="auto"/>
              </w:rPr>
            </w:pPr>
            <w:r>
              <w:rPr>
                <w:rFonts w:ascii="Arial" w:cs="Arial" w:eastAsia="Arial" w:hAnsi="Arial"/>
                <w:sz w:val="14"/>
                <w:szCs w:val="14"/>
                <w:b w:val="1"/>
                <w:bCs w:val="1"/>
                <w:color w:val="FFFFFF"/>
                <w:w w:val="97"/>
              </w:rPr>
              <w:t>Payments During</w:t>
            </w:r>
          </w:p>
        </w:tc>
      </w:tr>
      <w:tr>
        <w:trPr>
          <w:trHeight w:val="140"/>
        </w:trPr>
        <w:tc>
          <w:tcPr>
            <w:tcW w:w="60" w:type="dxa"/>
            <w:vAlign w:val="bottom"/>
            <w:tcBorders>
              <w:left w:val="single" w:sz="8" w:color="DD924E"/>
            </w:tcBorders>
            <w:shd w:val="clear" w:color="auto" w:fill="DD924E"/>
          </w:tcPr>
          <w:p>
            <w:pPr>
              <w:spacing w:after="0"/>
              <w:rPr>
                <w:sz w:val="12"/>
                <w:szCs w:val="12"/>
                <w:color w:val="auto"/>
              </w:rPr>
            </w:pPr>
          </w:p>
        </w:tc>
        <w:tc>
          <w:tcPr>
            <w:tcW w:w="1080" w:type="dxa"/>
            <w:vAlign w:val="bottom"/>
            <w:shd w:val="clear" w:color="auto" w:fill="DD924E"/>
          </w:tcPr>
          <w:p>
            <w:pPr>
              <w:spacing w:after="0"/>
              <w:rPr>
                <w:sz w:val="12"/>
                <w:szCs w:val="12"/>
                <w:color w:val="auto"/>
              </w:rPr>
            </w:pPr>
          </w:p>
        </w:tc>
        <w:tc>
          <w:tcPr>
            <w:tcW w:w="100" w:type="dxa"/>
            <w:vAlign w:val="bottom"/>
            <w:shd w:val="clear" w:color="auto" w:fill="DD924E"/>
          </w:tcPr>
          <w:p>
            <w:pPr>
              <w:spacing w:after="0"/>
              <w:rPr>
                <w:sz w:val="12"/>
                <w:szCs w:val="12"/>
                <w:color w:val="auto"/>
              </w:rPr>
            </w:pPr>
          </w:p>
        </w:tc>
        <w:tc>
          <w:tcPr>
            <w:tcW w:w="2960" w:type="dxa"/>
            <w:vAlign w:val="bottom"/>
            <w:shd w:val="clear" w:color="auto" w:fill="DD924E"/>
          </w:tcPr>
          <w:p>
            <w:pPr>
              <w:spacing w:after="0"/>
              <w:rPr>
                <w:sz w:val="12"/>
                <w:szCs w:val="12"/>
                <w:color w:val="auto"/>
              </w:rPr>
            </w:pPr>
          </w:p>
        </w:tc>
        <w:tc>
          <w:tcPr>
            <w:tcW w:w="100" w:type="dxa"/>
            <w:vAlign w:val="bottom"/>
            <w:shd w:val="clear" w:color="auto" w:fill="DD924E"/>
          </w:tcPr>
          <w:p>
            <w:pPr>
              <w:spacing w:after="0"/>
              <w:rPr>
                <w:sz w:val="12"/>
                <w:szCs w:val="12"/>
                <w:color w:val="auto"/>
              </w:rPr>
            </w:pPr>
          </w:p>
        </w:tc>
        <w:tc>
          <w:tcPr>
            <w:tcW w:w="1340" w:type="dxa"/>
            <w:vAlign w:val="bottom"/>
            <w:shd w:val="clear" w:color="auto" w:fill="DD924E"/>
          </w:tcPr>
          <w:p>
            <w:pPr>
              <w:ind w:left="140"/>
              <w:spacing w:after="0" w:line="140" w:lineRule="exact"/>
              <w:rPr>
                <w:sz w:val="20"/>
                <w:szCs w:val="20"/>
                <w:color w:val="auto"/>
              </w:rPr>
            </w:pPr>
            <w:r>
              <w:rPr>
                <w:rFonts w:ascii="Arial" w:cs="Arial" w:eastAsia="Arial" w:hAnsi="Arial"/>
                <w:sz w:val="14"/>
                <w:szCs w:val="14"/>
                <w:b w:val="1"/>
                <w:bCs w:val="1"/>
                <w:color w:val="FFFFFF"/>
              </w:rPr>
              <w:t>Credited Service</w:t>
            </w:r>
          </w:p>
        </w:tc>
        <w:tc>
          <w:tcPr>
            <w:tcW w:w="100" w:type="dxa"/>
            <w:vAlign w:val="bottom"/>
            <w:shd w:val="clear" w:color="auto" w:fill="DD924E"/>
          </w:tcPr>
          <w:p>
            <w:pPr>
              <w:spacing w:after="0"/>
              <w:rPr>
                <w:sz w:val="12"/>
                <w:szCs w:val="12"/>
                <w:color w:val="auto"/>
              </w:rPr>
            </w:pPr>
          </w:p>
        </w:tc>
        <w:tc>
          <w:tcPr>
            <w:tcW w:w="1440" w:type="dxa"/>
            <w:vAlign w:val="bottom"/>
            <w:shd w:val="clear" w:color="auto" w:fill="DD924E"/>
          </w:tcPr>
          <w:p>
            <w:pPr>
              <w:jc w:val="center"/>
              <w:spacing w:after="0" w:line="140" w:lineRule="exact"/>
              <w:rPr>
                <w:sz w:val="20"/>
                <w:szCs w:val="20"/>
                <w:color w:val="auto"/>
              </w:rPr>
            </w:pPr>
            <w:r>
              <w:rPr>
                <w:rFonts w:ascii="Arial" w:cs="Arial" w:eastAsia="Arial" w:hAnsi="Arial"/>
                <w:sz w:val="14"/>
                <w:szCs w:val="14"/>
                <w:b w:val="1"/>
                <w:bCs w:val="1"/>
                <w:color w:val="FFFFFF"/>
                <w:w w:val="98"/>
              </w:rPr>
              <w:t>of Accumulated</w:t>
            </w:r>
          </w:p>
        </w:tc>
        <w:tc>
          <w:tcPr>
            <w:tcW w:w="100" w:type="dxa"/>
            <w:vAlign w:val="bottom"/>
            <w:shd w:val="clear" w:color="auto" w:fill="DD924E"/>
          </w:tcPr>
          <w:p>
            <w:pPr>
              <w:spacing w:after="0"/>
              <w:rPr>
                <w:sz w:val="12"/>
                <w:szCs w:val="12"/>
                <w:color w:val="auto"/>
              </w:rPr>
            </w:pPr>
          </w:p>
        </w:tc>
        <w:tc>
          <w:tcPr>
            <w:tcW w:w="1520" w:type="dxa"/>
            <w:vAlign w:val="bottom"/>
            <w:tcBorders>
              <w:right w:val="single" w:sz="8" w:color="DD924E"/>
            </w:tcBorders>
            <w:shd w:val="clear" w:color="auto" w:fill="DD924E"/>
          </w:tcPr>
          <w:p>
            <w:pPr>
              <w:jc w:val="center"/>
              <w:ind w:right="52"/>
              <w:spacing w:after="0" w:line="140" w:lineRule="exact"/>
              <w:rPr>
                <w:sz w:val="20"/>
                <w:szCs w:val="20"/>
                <w:color w:val="auto"/>
              </w:rPr>
            </w:pPr>
            <w:r>
              <w:rPr>
                <w:rFonts w:ascii="Arial" w:cs="Arial" w:eastAsia="Arial" w:hAnsi="Arial"/>
                <w:sz w:val="14"/>
                <w:szCs w:val="14"/>
                <w:b w:val="1"/>
                <w:bCs w:val="1"/>
                <w:color w:val="FFFFFF"/>
                <w:w w:val="97"/>
              </w:rPr>
              <w:t>Last Fiscal Year</w:t>
            </w:r>
          </w:p>
        </w:tc>
      </w:tr>
      <w:tr>
        <w:trPr>
          <w:trHeight w:val="198"/>
        </w:trPr>
        <w:tc>
          <w:tcPr>
            <w:tcW w:w="60" w:type="dxa"/>
            <w:vAlign w:val="bottom"/>
            <w:tcBorders>
              <w:left w:val="single" w:sz="8" w:color="DD924E"/>
              <w:bottom w:val="single" w:sz="8" w:color="DD924E"/>
            </w:tcBorders>
            <w:shd w:val="clear" w:color="auto" w:fill="DD924E"/>
          </w:tcPr>
          <w:p>
            <w:pPr>
              <w:spacing w:after="0"/>
              <w:rPr>
                <w:sz w:val="17"/>
                <w:szCs w:val="17"/>
                <w:color w:val="auto"/>
              </w:rPr>
            </w:pPr>
          </w:p>
        </w:tc>
        <w:tc>
          <w:tcPr>
            <w:tcW w:w="1080" w:type="dxa"/>
            <w:vAlign w:val="bottom"/>
            <w:tcBorders>
              <w:bottom w:val="single" w:sz="8" w:color="auto"/>
            </w:tcBorders>
            <w:shd w:val="clear" w:color="auto" w:fill="DD924E"/>
          </w:tcPr>
          <w:p>
            <w:pPr>
              <w:ind w:left="360"/>
              <w:spacing w:after="0"/>
              <w:rPr>
                <w:sz w:val="20"/>
                <w:szCs w:val="20"/>
                <w:color w:val="auto"/>
              </w:rPr>
            </w:pPr>
            <w:r>
              <w:rPr>
                <w:rFonts w:ascii="Arial" w:cs="Arial" w:eastAsia="Arial" w:hAnsi="Arial"/>
                <w:sz w:val="14"/>
                <w:szCs w:val="14"/>
                <w:b w:val="1"/>
                <w:bCs w:val="1"/>
                <w:color w:val="FFFFFF"/>
              </w:rPr>
              <w:t>Name</w:t>
            </w:r>
          </w:p>
        </w:tc>
        <w:tc>
          <w:tcPr>
            <w:tcW w:w="100" w:type="dxa"/>
            <w:vAlign w:val="bottom"/>
            <w:tcBorders>
              <w:bottom w:val="single" w:sz="8" w:color="DD924E"/>
            </w:tcBorders>
            <w:shd w:val="clear" w:color="auto" w:fill="DD924E"/>
          </w:tcPr>
          <w:p>
            <w:pPr>
              <w:spacing w:after="0"/>
              <w:rPr>
                <w:sz w:val="17"/>
                <w:szCs w:val="17"/>
                <w:color w:val="auto"/>
              </w:rPr>
            </w:pPr>
          </w:p>
        </w:tc>
        <w:tc>
          <w:tcPr>
            <w:tcW w:w="296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4"/>
              </w:rPr>
              <w:t>Plan Name</w:t>
            </w:r>
          </w:p>
        </w:tc>
        <w:tc>
          <w:tcPr>
            <w:tcW w:w="100" w:type="dxa"/>
            <w:vAlign w:val="bottom"/>
            <w:tcBorders>
              <w:bottom w:val="single" w:sz="8" w:color="DD924E"/>
            </w:tcBorders>
            <w:shd w:val="clear" w:color="auto" w:fill="DD924E"/>
          </w:tcPr>
          <w:p>
            <w:pPr>
              <w:spacing w:after="0"/>
              <w:rPr>
                <w:sz w:val="17"/>
                <w:szCs w:val="17"/>
                <w:color w:val="auto"/>
              </w:rPr>
            </w:pPr>
          </w:p>
        </w:tc>
        <w:tc>
          <w:tcPr>
            <w:tcW w:w="1340" w:type="dxa"/>
            <w:vAlign w:val="bottom"/>
            <w:tcBorders>
              <w:bottom w:val="single" w:sz="8" w:color="auto"/>
            </w:tcBorders>
            <w:shd w:val="clear" w:color="auto" w:fill="DD924E"/>
          </w:tcPr>
          <w:p>
            <w:pPr>
              <w:jc w:val="center"/>
              <w:ind w:right="432"/>
              <w:spacing w:after="0" w:line="18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0"/>
                <w:szCs w:val="20"/>
                <w:b w:val="1"/>
                <w:bCs w:val="1"/>
                <w:color w:val="FFFFFF"/>
                <w:vertAlign w:val="superscript"/>
              </w:rPr>
              <w:t>(1)</w:t>
            </w:r>
          </w:p>
        </w:tc>
        <w:tc>
          <w:tcPr>
            <w:tcW w:w="100" w:type="dxa"/>
            <w:vAlign w:val="bottom"/>
            <w:tcBorders>
              <w:bottom w:val="single" w:sz="8" w:color="DD924E"/>
            </w:tcBorders>
            <w:shd w:val="clear" w:color="auto" w:fill="DD924E"/>
          </w:tcPr>
          <w:p>
            <w:pPr>
              <w:spacing w:after="0"/>
              <w:rPr>
                <w:sz w:val="17"/>
                <w:szCs w:val="17"/>
                <w:color w:val="auto"/>
              </w:rPr>
            </w:pPr>
          </w:p>
        </w:tc>
        <w:tc>
          <w:tcPr>
            <w:tcW w:w="144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9"/>
              </w:rPr>
              <w:t>Benefit ($)</w:t>
            </w:r>
          </w:p>
        </w:tc>
        <w:tc>
          <w:tcPr>
            <w:tcW w:w="100" w:type="dxa"/>
            <w:vAlign w:val="bottom"/>
            <w:tcBorders>
              <w:bottom w:val="single" w:sz="8" w:color="DD924E"/>
            </w:tcBorders>
            <w:shd w:val="clear" w:color="auto" w:fill="DD924E"/>
          </w:tcPr>
          <w:p>
            <w:pPr>
              <w:spacing w:after="0"/>
              <w:rPr>
                <w:sz w:val="17"/>
                <w:szCs w:val="17"/>
                <w:color w:val="auto"/>
              </w:rPr>
            </w:pPr>
          </w:p>
        </w:tc>
        <w:tc>
          <w:tcPr>
            <w:tcW w:w="1520" w:type="dxa"/>
            <w:vAlign w:val="bottom"/>
            <w:tcBorders>
              <w:bottom w:val="single" w:sz="8" w:color="auto"/>
              <w:right w:val="single" w:sz="8" w:color="DD924E"/>
            </w:tcBorders>
            <w:shd w:val="clear" w:color="auto" w:fill="DD924E"/>
          </w:tcPr>
          <w:p>
            <w:pPr>
              <w:jc w:val="center"/>
              <w:ind w:right="12"/>
              <w:spacing w:after="0"/>
              <w:rPr>
                <w:sz w:val="20"/>
                <w:szCs w:val="20"/>
                <w:color w:val="auto"/>
              </w:rPr>
            </w:pPr>
            <w:r>
              <w:rPr>
                <w:rFonts w:ascii="Arial" w:cs="Arial" w:eastAsia="Arial" w:hAnsi="Arial"/>
                <w:sz w:val="14"/>
                <w:szCs w:val="14"/>
                <w:b w:val="1"/>
                <w:bCs w:val="1"/>
                <w:color w:val="FFFFFF"/>
                <w:w w:val="93"/>
              </w:rPr>
              <w:t>($)</w:t>
            </w:r>
          </w:p>
        </w:tc>
      </w:tr>
      <w:tr>
        <w:trPr>
          <w:trHeight w:val="231"/>
        </w:trPr>
        <w:tc>
          <w:tcPr>
            <w:tcW w:w="1140" w:type="dxa"/>
            <w:vAlign w:val="bottom"/>
            <w:tcBorders>
              <w:left w:val="single" w:sz="8" w:color="DD924E"/>
              <w:bottom w:val="single" w:sz="8" w:color="DD924E"/>
            </w:tcBorders>
            <w:gridSpan w:val="2"/>
            <w:shd w:val="clear" w:color="auto" w:fill="FBF4ED"/>
          </w:tcPr>
          <w:p>
            <w:pPr>
              <w:ind w:left="60"/>
              <w:spacing w:after="0"/>
              <w:rPr>
                <w:sz w:val="20"/>
                <w:szCs w:val="20"/>
                <w:color w:val="auto"/>
              </w:rPr>
            </w:pPr>
            <w:r>
              <w:rPr>
                <w:rFonts w:ascii="Arial" w:cs="Arial" w:eastAsia="Arial" w:hAnsi="Arial"/>
                <w:sz w:val="15"/>
                <w:szCs w:val="15"/>
                <w:color w:val="auto"/>
              </w:rPr>
              <w:t>Pavan Bagai</w:t>
            </w:r>
          </w:p>
        </w:tc>
        <w:tc>
          <w:tcPr>
            <w:tcW w:w="100" w:type="dxa"/>
            <w:vAlign w:val="bottom"/>
            <w:tcBorders>
              <w:bottom w:val="single" w:sz="8" w:color="DD924E"/>
            </w:tcBorders>
            <w:shd w:val="clear" w:color="auto" w:fill="FBF4ED"/>
          </w:tcPr>
          <w:p>
            <w:pPr>
              <w:spacing w:after="0"/>
              <w:rPr>
                <w:sz w:val="20"/>
                <w:szCs w:val="20"/>
                <w:color w:val="auto"/>
              </w:rPr>
            </w:pPr>
          </w:p>
        </w:tc>
        <w:tc>
          <w:tcPr>
            <w:tcW w:w="2960" w:type="dxa"/>
            <w:vAlign w:val="bottom"/>
            <w:tcBorders>
              <w:bottom w:val="single" w:sz="8" w:color="DD924E"/>
            </w:tcBorders>
            <w:shd w:val="clear" w:color="auto" w:fill="FBF4ED"/>
          </w:tcPr>
          <w:p>
            <w:pPr>
              <w:jc w:val="center"/>
              <w:spacing w:after="0" w:line="230" w:lineRule="exact"/>
              <w:rPr>
                <w:sz w:val="20"/>
                <w:szCs w:val="20"/>
                <w:color w:val="auto"/>
              </w:rPr>
            </w:pPr>
            <w:r>
              <w:rPr>
                <w:rFonts w:ascii="Arial" w:cs="Arial" w:eastAsia="Arial" w:hAnsi="Arial"/>
                <w:sz w:val="15"/>
                <w:szCs w:val="15"/>
                <w:color w:val="auto"/>
                <w:w w:val="99"/>
              </w:rPr>
              <w:t>Gratuity Plan for Indian Employees</w:t>
            </w:r>
            <w:r>
              <w:rPr>
                <w:rFonts w:ascii="Arial" w:cs="Arial" w:eastAsia="Arial" w:hAnsi="Arial"/>
                <w:sz w:val="25"/>
                <w:szCs w:val="25"/>
                <w:color w:val="auto"/>
                <w:w w:val="99"/>
                <w:vertAlign w:val="superscript"/>
              </w:rPr>
              <w:t>(2)</w:t>
            </w:r>
          </w:p>
        </w:tc>
        <w:tc>
          <w:tcPr>
            <w:tcW w:w="1440" w:type="dxa"/>
            <w:vAlign w:val="bottom"/>
            <w:tcBorders>
              <w:bottom w:val="single" w:sz="8" w:color="DD924E"/>
            </w:tcBorders>
            <w:gridSpan w:val="2"/>
            <w:shd w:val="clear" w:color="auto" w:fill="FBF4ED"/>
          </w:tcPr>
          <w:p>
            <w:pPr>
              <w:jc w:val="right"/>
              <w:ind w:right="512"/>
              <w:spacing w:after="0"/>
              <w:rPr>
                <w:sz w:val="20"/>
                <w:szCs w:val="20"/>
                <w:color w:val="auto"/>
              </w:rPr>
            </w:pPr>
            <w:r>
              <w:rPr>
                <w:rFonts w:ascii="Arial" w:cs="Arial" w:eastAsia="Arial" w:hAnsi="Arial"/>
                <w:sz w:val="15"/>
                <w:szCs w:val="15"/>
                <w:color w:val="auto"/>
              </w:rPr>
              <w:t>15</w:t>
            </w:r>
          </w:p>
        </w:tc>
        <w:tc>
          <w:tcPr>
            <w:tcW w:w="1540" w:type="dxa"/>
            <w:vAlign w:val="bottom"/>
            <w:tcBorders>
              <w:bottom w:val="single" w:sz="8" w:color="DD924E"/>
            </w:tcBorders>
            <w:gridSpan w:val="2"/>
            <w:shd w:val="clear" w:color="auto" w:fill="FBF4ED"/>
          </w:tcPr>
          <w:p>
            <w:pPr>
              <w:jc w:val="center"/>
              <w:ind w:left="23"/>
              <w:spacing w:after="0"/>
              <w:rPr>
                <w:sz w:val="20"/>
                <w:szCs w:val="20"/>
                <w:color w:val="auto"/>
              </w:rPr>
            </w:pPr>
            <w:r>
              <w:rPr>
                <w:rFonts w:ascii="Arial" w:cs="Arial" w:eastAsia="Arial" w:hAnsi="Arial"/>
                <w:sz w:val="15"/>
                <w:szCs w:val="15"/>
                <w:color w:val="auto"/>
              </w:rPr>
              <w:t>90,892</w:t>
            </w:r>
          </w:p>
        </w:tc>
        <w:tc>
          <w:tcPr>
            <w:tcW w:w="100" w:type="dxa"/>
            <w:vAlign w:val="bottom"/>
            <w:tcBorders>
              <w:bottom w:val="single" w:sz="8" w:color="DD924E"/>
            </w:tcBorders>
            <w:shd w:val="clear" w:color="auto" w:fill="FBF4ED"/>
          </w:tcPr>
          <w:p>
            <w:pPr>
              <w:spacing w:after="0"/>
              <w:rPr>
                <w:sz w:val="20"/>
                <w:szCs w:val="20"/>
                <w:color w:val="auto"/>
              </w:rPr>
            </w:pPr>
          </w:p>
        </w:tc>
        <w:tc>
          <w:tcPr>
            <w:tcW w:w="1520" w:type="dxa"/>
            <w:vAlign w:val="bottom"/>
            <w:tcBorders>
              <w:bottom w:val="single" w:sz="8" w:color="DD924E"/>
              <w:right w:val="single" w:sz="8" w:color="DD924E"/>
            </w:tcBorders>
            <w:shd w:val="clear" w:color="auto" w:fill="FBF4ED"/>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121920</wp:posOffset>
            </wp:positionV>
            <wp:extent cx="12865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261" w:lineRule="exact"/>
        <w:rPr>
          <w:sz w:val="20"/>
          <w:szCs w:val="20"/>
          <w:color w:val="auto"/>
        </w:rPr>
      </w:pPr>
    </w:p>
    <w:p>
      <w:pPr>
        <w:jc w:val="both"/>
        <w:ind w:left="840" w:right="59" w:hanging="345"/>
        <w:spacing w:after="0" w:line="239" w:lineRule="auto"/>
        <w:tabs>
          <w:tab w:leader="none" w:pos="8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the number of years of service credited as of December 31, 2017 for the purpose of determining benefit service under the Gratuity Plan. Credited service is determined based on the completed years of continuous employment (rounded to the nearest whole number of years) with the Company since the executive’s date of hire.</w:t>
      </w:r>
    </w:p>
    <w:p>
      <w:pPr>
        <w:spacing w:after="0" w:line="118" w:lineRule="exact"/>
        <w:rPr>
          <w:rFonts w:ascii="Arial" w:cs="Arial" w:eastAsia="Arial" w:hAnsi="Arial"/>
          <w:sz w:val="17"/>
          <w:szCs w:val="17"/>
          <w:color w:val="auto"/>
        </w:rPr>
      </w:pPr>
    </w:p>
    <w:p>
      <w:pPr>
        <w:jc w:val="both"/>
        <w:ind w:left="840" w:right="59" w:hanging="345"/>
        <w:spacing w:after="0" w:line="238" w:lineRule="auto"/>
        <w:tabs>
          <w:tab w:leader="none" w:pos="8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Liabilities with regard to the Gratuity Plans are determined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Details regarding the assumptions used in the calculation of these amounts are included in footnote 18 to the audited financial statements for the fiscal year ended December 31, 2017 included in the 2017 Form 10-K.</w:t>
      </w:r>
    </w:p>
    <w:p>
      <w:pPr>
        <w:spacing w:after="0" w:line="129"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We are required to provide all Indian employees with benefits under the Gratuity Plan, a defined benefit pension plan in India. Distributions from the Gratuity Plan are made in a single lump sum following retirement from the Company. An executive’s benefit under the Gratuity Plan is determined at any time as the executive’s annual base salary (determined based on the executive’s most recent monthly base salary) divided by 26, multiplied by 15, and the product multiplied by the executive’s completed years of continuous service with the Company. An executive has a vested and nonforfeitable right to payment of his accrued Gratuity Plan benefit only after five years of service. The present value of Mr. Bagai’s accumulated benefits has been determined based on his monthly basic salary rates in effect on December 31, 2017, which is approximately $10,503.</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Potential Payments upon Termination or Change in Control at Fiscal 2017 Year-End</w:t>
      </w:r>
    </w:p>
    <w:p>
      <w:pPr>
        <w:spacing w:after="0" w:line="149"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The following tables summarize the amounts payable to each named executive officer upon a change in control or termination of his employment with us on December 31, 2017. In calculating potential payments for purposes of this disclosure, we have quantified our equity-based payments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9" w:name="page60"/>
    <w:bookmarkEnd w:id="59"/>
    <w:p>
      <w:pPr>
        <w:spacing w:after="0" w:line="58"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using the closing stock price on December 29, 2017, which was $60.35. Certain defined terms used in the employment agreements for our named executive officers are defined following the description of Mr. Miglani’s potential payments.</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Rohit Kapoor</w:t>
      </w:r>
    </w:p>
    <w:p>
      <w:pPr>
        <w:spacing w:after="0" w:line="29"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b w:val="1"/>
          <w:bCs w:val="1"/>
          <w:i w:val="1"/>
          <w:iCs w:val="1"/>
          <w:color w:val="auto"/>
        </w:rPr>
        <w:t xml:space="preserve">Cash Severance. </w:t>
      </w:r>
      <w:r>
        <w:rPr>
          <w:rFonts w:ascii="Arial" w:cs="Arial" w:eastAsia="Arial" w:hAnsi="Arial"/>
          <w:sz w:val="17"/>
          <w:szCs w:val="17"/>
          <w:color w:val="auto"/>
        </w:rPr>
        <w:t>If Mr. Kapoor’s employment were terminated by us without “cause” or by the executive for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 (in each case, as described below) on December 31, 2017, he would have been entitled to cash severance consisting of:</w:t>
      </w:r>
    </w:p>
    <w:p>
      <w:pPr>
        <w:spacing w:after="0" w:line="129" w:lineRule="exact"/>
        <w:rPr>
          <w:sz w:val="20"/>
          <w:szCs w:val="20"/>
          <w:color w:val="auto"/>
        </w:rPr>
      </w:pPr>
    </w:p>
    <w:p>
      <w:pPr>
        <w:ind w:left="840" w:hanging="345"/>
        <w:spacing w:after="0"/>
        <w:tabs>
          <w:tab w:leader="none" w:pos="840" w:val="left"/>
        </w:tabs>
        <w:numPr>
          <w:ilvl w:val="0"/>
          <w:numId w:val="88"/>
        </w:numPr>
        <w:rPr>
          <w:rFonts w:ascii="Arial" w:cs="Arial" w:eastAsia="Arial" w:hAnsi="Arial"/>
          <w:sz w:val="17"/>
          <w:szCs w:val="17"/>
          <w:color w:val="DD924E"/>
        </w:rPr>
      </w:pPr>
      <w:r>
        <w:rPr>
          <w:rFonts w:ascii="Arial" w:cs="Arial" w:eastAsia="Arial" w:hAnsi="Arial"/>
          <w:sz w:val="17"/>
          <w:szCs w:val="17"/>
          <w:color w:val="auto"/>
        </w:rPr>
        <w:t>continuation of his base salary for 24 months;</w:t>
      </w:r>
    </w:p>
    <w:p>
      <w:pPr>
        <w:spacing w:after="0" w:line="137" w:lineRule="exact"/>
        <w:rPr>
          <w:rFonts w:ascii="Arial" w:cs="Arial" w:eastAsia="Arial" w:hAnsi="Arial"/>
          <w:sz w:val="17"/>
          <w:szCs w:val="17"/>
          <w:color w:val="DD924E"/>
        </w:rPr>
      </w:pPr>
    </w:p>
    <w:p>
      <w:pPr>
        <w:ind w:left="840" w:right="79" w:hanging="345"/>
        <w:spacing w:after="0" w:line="247" w:lineRule="auto"/>
        <w:tabs>
          <w:tab w:leader="none" w:pos="840" w:val="left"/>
        </w:tabs>
        <w:numPr>
          <w:ilvl w:val="0"/>
          <w:numId w:val="88"/>
        </w:numPr>
        <w:rPr>
          <w:rFonts w:ascii="Arial" w:cs="Arial" w:eastAsia="Arial" w:hAnsi="Arial"/>
          <w:sz w:val="17"/>
          <w:szCs w:val="17"/>
          <w:color w:val="DD924E"/>
        </w:rPr>
      </w:pPr>
      <w:r>
        <w:rPr>
          <w:rFonts w:ascii="Arial" w:cs="Arial" w:eastAsia="Arial" w:hAnsi="Arial"/>
          <w:sz w:val="17"/>
          <w:szCs w:val="17"/>
          <w:color w:val="auto"/>
        </w:rPr>
        <w:t>his actual bonus, if any, earned for the year of termination, determined as if he had been employed for the full year of termination, paid ratably over the remaining period of base salary payments;</w:t>
      </w:r>
    </w:p>
    <w:p>
      <w:pPr>
        <w:spacing w:after="0" w:line="110" w:lineRule="exact"/>
        <w:rPr>
          <w:rFonts w:ascii="Arial" w:cs="Arial" w:eastAsia="Arial" w:hAnsi="Arial"/>
          <w:sz w:val="17"/>
          <w:szCs w:val="17"/>
          <w:color w:val="DD924E"/>
        </w:rPr>
      </w:pPr>
    </w:p>
    <w:p>
      <w:pPr>
        <w:ind w:left="840" w:hanging="345"/>
        <w:spacing w:after="0"/>
        <w:tabs>
          <w:tab w:leader="none" w:pos="840" w:val="left"/>
        </w:tabs>
        <w:numPr>
          <w:ilvl w:val="0"/>
          <w:numId w:val="88"/>
        </w:numPr>
        <w:rPr>
          <w:rFonts w:ascii="Arial" w:cs="Arial" w:eastAsia="Arial" w:hAnsi="Arial"/>
          <w:sz w:val="17"/>
          <w:szCs w:val="17"/>
          <w:color w:val="DD924E"/>
        </w:rPr>
      </w:pPr>
      <w:r>
        <w:rPr>
          <w:rFonts w:ascii="Arial" w:cs="Arial" w:eastAsia="Arial" w:hAnsi="Arial"/>
          <w:sz w:val="17"/>
          <w:szCs w:val="17"/>
          <w:color w:val="auto"/>
        </w:rPr>
        <w:t>any unpaid bonus amounts from prior periods;</w:t>
      </w:r>
    </w:p>
    <w:p>
      <w:pPr>
        <w:spacing w:after="0" w:line="137" w:lineRule="exact"/>
        <w:rPr>
          <w:rFonts w:ascii="Arial" w:cs="Arial" w:eastAsia="Arial" w:hAnsi="Arial"/>
          <w:sz w:val="17"/>
          <w:szCs w:val="17"/>
          <w:color w:val="DD924E"/>
        </w:rPr>
      </w:pPr>
    </w:p>
    <w:p>
      <w:pPr>
        <w:ind w:left="840" w:hanging="345"/>
        <w:spacing w:after="0"/>
        <w:tabs>
          <w:tab w:leader="none" w:pos="840" w:val="left"/>
        </w:tabs>
        <w:numPr>
          <w:ilvl w:val="0"/>
          <w:numId w:val="88"/>
        </w:numPr>
        <w:rPr>
          <w:rFonts w:ascii="Arial" w:cs="Arial" w:eastAsia="Arial" w:hAnsi="Arial"/>
          <w:sz w:val="17"/>
          <w:szCs w:val="17"/>
          <w:color w:val="DD924E"/>
        </w:rPr>
      </w:pPr>
      <w:r>
        <w:rPr>
          <w:rFonts w:ascii="Arial" w:cs="Arial" w:eastAsia="Arial" w:hAnsi="Arial"/>
          <w:sz w:val="17"/>
          <w:szCs w:val="17"/>
          <w:color w:val="auto"/>
        </w:rPr>
        <w:t>any accrued but unpaid base salary and vacation days or unreimbursed expenses;</w:t>
      </w:r>
    </w:p>
    <w:p>
      <w:pPr>
        <w:spacing w:after="0" w:line="137" w:lineRule="exact"/>
        <w:rPr>
          <w:rFonts w:ascii="Arial" w:cs="Arial" w:eastAsia="Arial" w:hAnsi="Arial"/>
          <w:sz w:val="17"/>
          <w:szCs w:val="17"/>
          <w:color w:val="DD924E"/>
        </w:rPr>
      </w:pPr>
    </w:p>
    <w:p>
      <w:pPr>
        <w:jc w:val="both"/>
        <w:ind w:left="840" w:right="59" w:hanging="345"/>
        <w:spacing w:after="0" w:line="239" w:lineRule="auto"/>
        <w:tabs>
          <w:tab w:leader="none" w:pos="840" w:val="left"/>
        </w:tabs>
        <w:numPr>
          <w:ilvl w:val="0"/>
          <w:numId w:val="88"/>
        </w:numPr>
        <w:rPr>
          <w:rFonts w:ascii="Arial" w:cs="Arial" w:eastAsia="Arial" w:hAnsi="Arial"/>
          <w:sz w:val="17"/>
          <w:szCs w:val="17"/>
          <w:color w:val="DD924E"/>
        </w:rPr>
      </w:pPr>
      <w:r>
        <w:rPr>
          <w:rFonts w:ascii="Arial" w:cs="Arial" w:eastAsia="Arial" w:hAnsi="Arial"/>
          <w:sz w:val="17"/>
          <w:szCs w:val="17"/>
          <w:color w:val="auto"/>
        </w:rPr>
        <w:t>costs of continued COBRA coverage under the Company’s group health plan on behalf of the executive and his eligible dependents (described in more detail below), until the earlier of (x) the 18-month anniversary of termination and (y) the date the executive becomes eligible to receive comparable benefits from a subsequent employer; and</w:t>
      </w:r>
    </w:p>
    <w:p>
      <w:pPr>
        <w:spacing w:after="0" w:line="115" w:lineRule="exact"/>
        <w:rPr>
          <w:rFonts w:ascii="Arial" w:cs="Arial" w:eastAsia="Arial" w:hAnsi="Arial"/>
          <w:sz w:val="17"/>
          <w:szCs w:val="17"/>
          <w:color w:val="DD924E"/>
        </w:rPr>
      </w:pPr>
    </w:p>
    <w:p>
      <w:pPr>
        <w:ind w:left="840" w:hanging="345"/>
        <w:spacing w:after="0"/>
        <w:tabs>
          <w:tab w:leader="none" w:pos="840" w:val="left"/>
        </w:tabs>
        <w:numPr>
          <w:ilvl w:val="0"/>
          <w:numId w:val="88"/>
        </w:numPr>
        <w:rPr>
          <w:rFonts w:ascii="Arial" w:cs="Arial" w:eastAsia="Arial" w:hAnsi="Arial"/>
          <w:sz w:val="17"/>
          <w:szCs w:val="17"/>
          <w:color w:val="DD924E"/>
        </w:rPr>
      </w:pPr>
      <w:r>
        <w:rPr>
          <w:rFonts w:ascii="Arial" w:cs="Arial" w:eastAsia="Arial" w:hAnsi="Arial"/>
          <w:sz w:val="17"/>
          <w:szCs w:val="17"/>
          <w:color w:val="auto"/>
        </w:rPr>
        <w:t>continuation of life insurance coverage until the earlier of (x) the 18-month anniversary of termination and</w:t>
      </w:r>
    </w:p>
    <w:p>
      <w:pPr>
        <w:ind w:left="840"/>
        <w:spacing w:after="0"/>
        <w:rPr>
          <w:rFonts w:ascii="Arial" w:cs="Arial" w:eastAsia="Arial" w:hAnsi="Arial"/>
          <w:sz w:val="17"/>
          <w:szCs w:val="17"/>
          <w:color w:val="DD924E"/>
        </w:rPr>
      </w:pPr>
      <w:r>
        <w:rPr>
          <w:rFonts w:ascii="Arial" w:cs="Arial" w:eastAsia="Arial" w:hAnsi="Arial"/>
          <w:sz w:val="17"/>
          <w:szCs w:val="17"/>
          <w:color w:val="auto"/>
        </w:rPr>
        <w:t>(y) the date the executive commences employment with a subsequent employer.</w:t>
      </w:r>
    </w:p>
    <w:p>
      <w:pPr>
        <w:spacing w:after="0" w:line="118" w:lineRule="exact"/>
        <w:rPr>
          <w:sz w:val="20"/>
          <w:szCs w:val="20"/>
          <w:color w:val="auto"/>
        </w:rPr>
      </w:pPr>
    </w:p>
    <w:p>
      <w:pPr>
        <w:jc w:val="both"/>
        <w:ind w:left="160" w:right="59"/>
        <w:spacing w:after="0" w:line="259" w:lineRule="auto"/>
        <w:rPr>
          <w:sz w:val="20"/>
          <w:szCs w:val="20"/>
          <w:color w:val="auto"/>
        </w:rPr>
      </w:pPr>
      <w:r>
        <w:rPr>
          <w:rFonts w:ascii="Arial" w:cs="Arial" w:eastAsia="Arial" w:hAnsi="Arial"/>
          <w:sz w:val="17"/>
          <w:szCs w:val="17"/>
          <w:b w:val="1"/>
          <w:bCs w:val="1"/>
          <w:i w:val="1"/>
          <w:iCs w:val="1"/>
          <w:color w:val="auto"/>
        </w:rPr>
        <w:t xml:space="preserve">Change-in-Control Cash Severance. </w:t>
      </w:r>
      <w:r>
        <w:rPr>
          <w:rFonts w:ascii="Arial" w:cs="Arial" w:eastAsia="Arial" w:hAnsi="Arial"/>
          <w:sz w:val="17"/>
          <w:szCs w:val="17"/>
          <w:color w:val="auto"/>
        </w:rPr>
        <w:t>If Mr. Kapoor’s employment is terminated by us without “cause” or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for “good reason” (in each case, as described above) within 12 months following a “change in control” or in specific contemplation of a change in control, the executive will receive, in lieu of the cash severance described above, (1) a lump sum payment equal to 24 months of base salary and (2) his actual bonus, if any, earned for the year of termination, determined as if he had been employed for the full year of termination, paid ratably over the remaining period of base salary payments.</w:t>
      </w:r>
    </w:p>
    <w:p>
      <w:pPr>
        <w:spacing w:after="0" w:line="106" w:lineRule="exact"/>
        <w:rPr>
          <w:sz w:val="20"/>
          <w:szCs w:val="20"/>
          <w:color w:val="auto"/>
        </w:rPr>
      </w:pPr>
    </w:p>
    <w:p>
      <w:pPr>
        <w:jc w:val="both"/>
        <w:ind w:left="160" w:right="59"/>
        <w:spacing w:after="0" w:line="269" w:lineRule="auto"/>
        <w:rPr>
          <w:sz w:val="20"/>
          <w:szCs w:val="20"/>
          <w:color w:val="auto"/>
        </w:rPr>
      </w:pPr>
      <w:r>
        <w:rPr>
          <w:rFonts w:ascii="Arial" w:cs="Arial" w:eastAsia="Arial" w:hAnsi="Arial"/>
          <w:sz w:val="17"/>
          <w:szCs w:val="17"/>
          <w:b w:val="1"/>
          <w:bCs w:val="1"/>
          <w:i w:val="1"/>
          <w:iCs w:val="1"/>
          <w:color w:val="auto"/>
        </w:rPr>
        <w:t xml:space="preserve">Death or Disability. </w:t>
      </w:r>
      <w:r>
        <w:rPr>
          <w:rFonts w:ascii="Arial" w:cs="Arial" w:eastAsia="Arial" w:hAnsi="Arial"/>
          <w:sz w:val="17"/>
          <w:szCs w:val="17"/>
          <w:color w:val="auto"/>
        </w:rPr>
        <w:t>If Mr. Kapoor’s employment terminates due to his death or is terminated by either the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us due to his disability, he (or his estate) will be entitled to a prorated portion of his projected bonus amount for the year of termination.</w:t>
      </w:r>
    </w:p>
    <w:p>
      <w:pPr>
        <w:spacing w:after="0" w:line="86" w:lineRule="exact"/>
        <w:rPr>
          <w:sz w:val="20"/>
          <w:szCs w:val="20"/>
          <w:color w:val="auto"/>
        </w:rPr>
      </w:pPr>
    </w:p>
    <w:p>
      <w:pPr>
        <w:jc w:val="both"/>
        <w:ind w:left="160" w:right="59"/>
        <w:spacing w:after="0" w:line="269" w:lineRule="auto"/>
        <w:rPr>
          <w:sz w:val="20"/>
          <w:szCs w:val="20"/>
          <w:color w:val="auto"/>
        </w:rPr>
      </w:pPr>
      <w:r>
        <w:rPr>
          <w:rFonts w:ascii="Arial" w:cs="Arial" w:eastAsia="Arial" w:hAnsi="Arial"/>
          <w:sz w:val="17"/>
          <w:szCs w:val="17"/>
          <w:b w:val="1"/>
          <w:bCs w:val="1"/>
          <w:i w:val="1"/>
          <w:iCs w:val="1"/>
          <w:color w:val="auto"/>
        </w:rPr>
        <w:t xml:space="preserve">Noncompetition and Nonsolicitation Provisions. </w:t>
      </w:r>
      <w:r>
        <w:rPr>
          <w:rFonts w:ascii="Arial" w:cs="Arial" w:eastAsia="Arial" w:hAnsi="Arial"/>
          <w:sz w:val="17"/>
          <w:szCs w:val="17"/>
          <w:color w:val="auto"/>
        </w:rPr>
        <w:t>Mr. Kapoor is subject to confidentiality and nondisparagement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restrictions at all times, as well as noncompetition and nonsolicitation restrictions during his employment and for one year thereafter.</w:t>
      </w:r>
    </w:p>
    <w:p>
      <w:pPr>
        <w:spacing w:after="0" w:line="99" w:lineRule="exact"/>
        <w:rPr>
          <w:sz w:val="20"/>
          <w:szCs w:val="20"/>
          <w:color w:val="auto"/>
        </w:rPr>
      </w:pPr>
    </w:p>
    <w:p>
      <w:pPr>
        <w:jc w:val="both"/>
        <w:ind w:left="160" w:right="59"/>
        <w:spacing w:after="0" w:line="263" w:lineRule="auto"/>
        <w:rPr>
          <w:sz w:val="20"/>
          <w:szCs w:val="20"/>
          <w:color w:val="auto"/>
        </w:rPr>
      </w:pPr>
      <w:r>
        <w:rPr>
          <w:rFonts w:ascii="Arial" w:cs="Arial" w:eastAsia="Arial" w:hAnsi="Arial"/>
          <w:sz w:val="17"/>
          <w:szCs w:val="17"/>
          <w:b w:val="1"/>
          <w:bCs w:val="1"/>
          <w:i w:val="1"/>
          <w:iCs w:val="1"/>
          <w:color w:val="auto"/>
        </w:rPr>
        <w:t>Annual Equity Awards</w:t>
      </w:r>
      <w:r>
        <w:rPr>
          <w:rFonts w:ascii="Arial" w:cs="Arial" w:eastAsia="Arial" w:hAnsi="Arial"/>
          <w:sz w:val="17"/>
          <w:szCs w:val="17"/>
          <w:color w:val="auto"/>
        </w:rPr>
        <w:t>. If Mr. Kapoor’s employment is terminated by us without cause or by Mr. Kapoor for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 Mr. Kapoor shall be treated as if he were still employed by the Company for a period of two years following the termination date. On a “change in control” (as defined in the 2006 Plan or 2015 Plan, as applicable) or on death, Mr. Kapoor’s outstanding annual equity awards will vest as described below:</w:t>
      </w:r>
    </w:p>
    <w:p>
      <w:pPr>
        <w:spacing w:after="0" w:line="92" w:lineRule="exact"/>
        <w:rPr>
          <w:sz w:val="20"/>
          <w:szCs w:val="20"/>
          <w:color w:val="auto"/>
        </w:rPr>
      </w:pPr>
    </w:p>
    <w:p>
      <w:pPr>
        <w:jc w:val="both"/>
        <w:ind w:left="840" w:right="59" w:hanging="345"/>
        <w:spacing w:after="0" w:line="243" w:lineRule="auto"/>
        <w:tabs>
          <w:tab w:leader="none" w:pos="840" w:val="left"/>
        </w:tabs>
        <w:numPr>
          <w:ilvl w:val="0"/>
          <w:numId w:val="89"/>
        </w:numPr>
        <w:rPr>
          <w:rFonts w:ascii="Arial" w:cs="Arial" w:eastAsia="Arial" w:hAnsi="Arial"/>
          <w:sz w:val="17"/>
          <w:szCs w:val="17"/>
          <w:color w:val="DD924E"/>
        </w:rPr>
      </w:pPr>
      <w:r>
        <w:rPr>
          <w:rFonts w:ascii="Arial" w:cs="Arial" w:eastAsia="Arial" w:hAnsi="Arial"/>
          <w:sz w:val="17"/>
          <w:szCs w:val="17"/>
          <w:b w:val="1"/>
          <w:bCs w:val="1"/>
          <w:color w:val="auto"/>
        </w:rPr>
        <w:t xml:space="preserve">Time-Vested RSUs: </w:t>
      </w:r>
      <w:r>
        <w:rPr>
          <w:rFonts w:ascii="Arial" w:cs="Arial" w:eastAsia="Arial" w:hAnsi="Arial"/>
          <w:sz w:val="17"/>
          <w:szCs w:val="17"/>
          <w:color w:val="auto"/>
        </w:rPr>
        <w:t>If a change in control occurs prior to the end of the four-year vesting period, Mr.</w:t>
      </w:r>
      <w:r>
        <w:rPr>
          <w:rFonts w:ascii="Arial" w:cs="Arial" w:eastAsia="Arial" w:hAnsi="Arial"/>
          <w:sz w:val="17"/>
          <w:szCs w:val="17"/>
          <w:b w:val="1"/>
          <w:bCs w:val="1"/>
          <w:color w:val="auto"/>
        </w:rPr>
        <w:t xml:space="preserve"> </w:t>
      </w:r>
      <w:r>
        <w:rPr>
          <w:rFonts w:ascii="Arial" w:cs="Arial" w:eastAsia="Arial" w:hAnsi="Arial"/>
          <w:sz w:val="17"/>
          <w:szCs w:val="17"/>
          <w:color w:val="auto"/>
        </w:rPr>
        <w:t>Kapoor’s Time-Vested RSUs will be advanced by one year. In addition, all of Mr. Kapoor’s outstanding Time-Vested RSUs will become fully vested if, he is terminated without cause in specific contemplation of or within 12 months following a change in control or, he voluntarily terminates his employment for good reason within 12 months following a change in control. For the 2017 award only, if Mr. Kapoor dies before the end of the four-year vesting period, all of Mr. Kapoor’s outstanding Time-Vested RSUs will become fully vested.</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0" w:name="page61"/>
    <w:bookmarkEnd w:id="60"/>
    <w:p>
      <w:pPr>
        <w:spacing w:after="0" w:line="38" w:lineRule="exact"/>
        <w:rPr>
          <w:sz w:val="20"/>
          <w:szCs w:val="20"/>
          <w:color w:val="auto"/>
        </w:rPr>
      </w:pPr>
    </w:p>
    <w:p>
      <w:pPr>
        <w:jc w:val="both"/>
        <w:ind w:left="840" w:right="59" w:hanging="345"/>
        <w:spacing w:after="0" w:line="238" w:lineRule="auto"/>
        <w:tabs>
          <w:tab w:leader="none" w:pos="840" w:val="left"/>
        </w:tabs>
        <w:numPr>
          <w:ilvl w:val="0"/>
          <w:numId w:val="90"/>
        </w:numPr>
        <w:rPr>
          <w:rFonts w:ascii="Arial" w:cs="Arial" w:eastAsia="Arial" w:hAnsi="Arial"/>
          <w:sz w:val="17"/>
          <w:szCs w:val="17"/>
          <w:color w:val="DD924E"/>
        </w:rPr>
      </w:pPr>
      <w:r>
        <w:rPr>
          <w:rFonts w:ascii="Arial" w:cs="Arial" w:eastAsia="Arial" w:hAnsi="Arial"/>
          <w:sz w:val="17"/>
          <w:szCs w:val="17"/>
          <w:b w:val="1"/>
          <w:bCs w:val="1"/>
          <w:color w:val="auto"/>
        </w:rPr>
        <w:t xml:space="preserve">Revenue-Linked PRSUs: </w:t>
      </w:r>
      <w:r>
        <w:rPr>
          <w:rFonts w:ascii="Arial" w:cs="Arial" w:eastAsia="Arial" w:hAnsi="Arial"/>
          <w:sz w:val="17"/>
          <w:szCs w:val="17"/>
          <w:color w:val="auto"/>
        </w:rPr>
        <w:t>If a change in control occurs prior to the end of the performance period, 100% of</w:t>
      </w:r>
      <w:r>
        <w:rPr>
          <w:rFonts w:ascii="Arial" w:cs="Arial" w:eastAsia="Arial" w:hAnsi="Arial"/>
          <w:sz w:val="17"/>
          <w:szCs w:val="17"/>
          <w:b w:val="1"/>
          <w:bCs w:val="1"/>
          <w:color w:val="auto"/>
        </w:rPr>
        <w:t xml:space="preserve"> </w:t>
      </w:r>
      <w:r>
        <w:rPr>
          <w:rFonts w:ascii="Arial" w:cs="Arial" w:eastAsia="Arial" w:hAnsi="Arial"/>
          <w:sz w:val="17"/>
          <w:szCs w:val="17"/>
          <w:color w:val="auto"/>
        </w:rPr>
        <w:t>target of Mr. Kapoor’s Revenue-Linked PRSUs will be deemed earned, will be subject to a three year installment vesting schedule and will be advanced by one year under such schedule. In addition, all of Mr. Kapoor’s outstanding Revenue-Linked PRSUs will become fully vested if, (i) he is terminated without cause in specific contemplation of or within 12 months following a change in control; (ii) he voluntarily terminates his employment for good reason within 12 months following a change in control; or (iii) solely with respect to the 2017 award, he dies following a change in control. Solely with respect to the 2017 award, if Mr. Kapoor dies prior to the end of the performance period and no change in control has occurred, Mr. Kapoor will become vested in a portion of the outstanding Revenue-Linked PRSUs equal to (x) the number of completed full months during the 3 year performance period up to the date of Mr. Kapoor’s death divided by</w:t>
      </w:r>
    </w:p>
    <w:p>
      <w:pPr>
        <w:spacing w:after="0" w:line="4" w:lineRule="exact"/>
        <w:rPr>
          <w:rFonts w:ascii="Arial" w:cs="Arial" w:eastAsia="Arial" w:hAnsi="Arial"/>
          <w:sz w:val="17"/>
          <w:szCs w:val="17"/>
          <w:color w:val="DD924E"/>
        </w:rPr>
      </w:pPr>
    </w:p>
    <w:p>
      <w:pPr>
        <w:ind w:left="840"/>
        <w:spacing w:after="0"/>
        <w:rPr>
          <w:rFonts w:ascii="Arial" w:cs="Arial" w:eastAsia="Arial" w:hAnsi="Arial"/>
          <w:sz w:val="17"/>
          <w:szCs w:val="17"/>
          <w:color w:val="DD924E"/>
        </w:rPr>
      </w:pPr>
      <w:r>
        <w:rPr>
          <w:rFonts w:ascii="Arial" w:cs="Arial" w:eastAsia="Arial" w:hAnsi="Arial"/>
          <w:sz w:val="17"/>
          <w:szCs w:val="17"/>
          <w:color w:val="auto"/>
        </w:rPr>
        <w:t>(y) 36 multiplied by (z) 100% of Mr. Kapoor’s Revenue-Linked PRSUs.</w:t>
      </w:r>
    </w:p>
    <w:p>
      <w:pPr>
        <w:spacing w:after="0" w:line="105" w:lineRule="exact"/>
        <w:rPr>
          <w:rFonts w:ascii="Arial" w:cs="Arial" w:eastAsia="Arial" w:hAnsi="Arial"/>
          <w:sz w:val="17"/>
          <w:szCs w:val="17"/>
          <w:color w:val="DD924E"/>
        </w:rPr>
      </w:pPr>
    </w:p>
    <w:p>
      <w:pPr>
        <w:jc w:val="both"/>
        <w:ind w:left="840" w:right="59" w:hanging="345"/>
        <w:spacing w:after="0" w:line="238" w:lineRule="auto"/>
        <w:tabs>
          <w:tab w:leader="none" w:pos="840" w:val="left"/>
        </w:tabs>
        <w:numPr>
          <w:ilvl w:val="0"/>
          <w:numId w:val="90"/>
        </w:numPr>
        <w:rPr>
          <w:rFonts w:ascii="Arial" w:cs="Arial" w:eastAsia="Arial" w:hAnsi="Arial"/>
          <w:sz w:val="17"/>
          <w:szCs w:val="17"/>
          <w:color w:val="DD924E"/>
        </w:rPr>
      </w:pPr>
      <w:r>
        <w:rPr>
          <w:rFonts w:ascii="Arial" w:cs="Arial" w:eastAsia="Arial" w:hAnsi="Arial"/>
          <w:sz w:val="17"/>
          <w:szCs w:val="17"/>
          <w:b w:val="1"/>
          <w:bCs w:val="1"/>
          <w:color w:val="auto"/>
        </w:rPr>
        <w:t xml:space="preserve">Relative TSR-Linked PRSUs: </w:t>
      </w:r>
      <w:r>
        <w:rPr>
          <w:rFonts w:ascii="Arial" w:cs="Arial" w:eastAsia="Arial" w:hAnsi="Arial"/>
          <w:sz w:val="17"/>
          <w:szCs w:val="17"/>
          <w:color w:val="auto"/>
        </w:rPr>
        <w:t>If a change in control occurs on or prior to the first anniversary of the grant</w:t>
      </w:r>
      <w:r>
        <w:rPr>
          <w:rFonts w:ascii="Arial" w:cs="Arial" w:eastAsia="Arial" w:hAnsi="Arial"/>
          <w:sz w:val="17"/>
          <w:szCs w:val="17"/>
          <w:b w:val="1"/>
          <w:bCs w:val="1"/>
          <w:color w:val="auto"/>
        </w:rPr>
        <w:t xml:space="preserve"> </w:t>
      </w:r>
      <w:r>
        <w:rPr>
          <w:rFonts w:ascii="Arial" w:cs="Arial" w:eastAsia="Arial" w:hAnsi="Arial"/>
          <w:sz w:val="17"/>
          <w:szCs w:val="17"/>
          <w:color w:val="auto"/>
        </w:rPr>
        <w:t>date, 100% of target of Mr. Kapoor’s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three year installment vesting schedule and will be advanced by one year under such schedule. In addition, all of Mr. Kapoor’s outstanding Relative TSR-Linked PRSUs will become fully vested if, following or in specific contemplation of a change in control, he is terminated without cause or, following a change in control, he (i) voluntarily terminates his employment for good reason or (ii) solely with respect to the 2017 award, dies. Solely with respect to the 2017 award, if Mr. Kapoor dies prior to the end of the performance period and no change in control has occurred, Mr. Kapoor will become vested in a portion of the outstanding Relative TSR-Linked PRSUs equal to (x) the number of completed full months during the 3 year performance period up to the date of Mr. Kapoor’s death divided by (y) 36 multiplied by (z) 100% of Mr. Kapoor’s Relative TSR-Linked PRSUs.</w:t>
      </w:r>
    </w:p>
    <w:p>
      <w:pPr>
        <w:spacing w:after="0" w:line="118" w:lineRule="exact"/>
        <w:rPr>
          <w:sz w:val="20"/>
          <w:szCs w:val="20"/>
          <w:color w:val="auto"/>
        </w:rPr>
      </w:pPr>
    </w:p>
    <w:p>
      <w:pPr>
        <w:jc w:val="both"/>
        <w:ind w:left="160" w:right="59"/>
        <w:spacing w:after="0" w:line="263" w:lineRule="auto"/>
        <w:rPr>
          <w:sz w:val="20"/>
          <w:szCs w:val="20"/>
          <w:color w:val="auto"/>
        </w:rPr>
      </w:pPr>
      <w:r>
        <w:rPr>
          <w:rFonts w:ascii="Arial" w:cs="Arial" w:eastAsia="Arial" w:hAnsi="Arial"/>
          <w:sz w:val="17"/>
          <w:szCs w:val="17"/>
          <w:b w:val="1"/>
          <w:bCs w:val="1"/>
          <w:i w:val="1"/>
          <w:iCs w:val="1"/>
          <w:color w:val="auto"/>
        </w:rPr>
        <w:t xml:space="preserve">Release of Claims. </w:t>
      </w:r>
      <w:r>
        <w:rPr>
          <w:rFonts w:ascii="Arial" w:cs="Arial" w:eastAsia="Arial" w:hAnsi="Arial"/>
          <w:sz w:val="17"/>
          <w:szCs w:val="17"/>
          <w:color w:val="auto"/>
        </w:rPr>
        <w:t>Mr. Kapoor’s severance payments and termination-related equity acceleration are subject to 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execution of a release of claims against us, his not having committed a material breach of the restrictive covenants that has remained uncured for 15 days after we have given him notice of such breach and his resignation from the board of directors and all committees thereof, if requested by the Company.</w:t>
      </w:r>
    </w:p>
    <w:p>
      <w:pPr>
        <w:spacing w:after="0" w:line="105" w:lineRule="exact"/>
        <w:rPr>
          <w:sz w:val="20"/>
          <w:szCs w:val="20"/>
          <w:color w:val="auto"/>
        </w:rPr>
      </w:pPr>
    </w:p>
    <w:p>
      <w:pPr>
        <w:jc w:val="both"/>
        <w:ind w:left="160" w:right="59"/>
        <w:spacing w:after="0" w:line="260" w:lineRule="auto"/>
        <w:rPr>
          <w:sz w:val="20"/>
          <w:szCs w:val="20"/>
          <w:color w:val="auto"/>
        </w:rPr>
      </w:pPr>
      <w:r>
        <w:rPr>
          <w:rFonts w:ascii="Arial" w:cs="Arial" w:eastAsia="Arial" w:hAnsi="Arial"/>
          <w:sz w:val="17"/>
          <w:szCs w:val="17"/>
          <w:b w:val="1"/>
          <w:bCs w:val="1"/>
          <w:i w:val="1"/>
          <w:iCs w:val="1"/>
          <w:color w:val="auto"/>
        </w:rPr>
        <w:t xml:space="preserve">Code Section 280G. </w:t>
      </w:r>
      <w:r>
        <w:rPr>
          <w:rFonts w:ascii="Arial" w:cs="Arial" w:eastAsia="Arial" w:hAnsi="Arial"/>
          <w:sz w:val="17"/>
          <w:szCs w:val="17"/>
          <w:color w:val="auto"/>
        </w:rPr>
        <w:t>Mr. Kapoor’s employment agreement also contains a “modified cut-back” provision such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payments that constitute “excess parachute payments” under Section 280G of the Code will be reduced to an amount that does not trigger the applicable excise taxes, to the extent such reduced amount is larger than the amount Mr. Kapoor would have received on a present-value net-after-tax basis (including excise taxes) absent such a reduction.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1" w:name="page62"/>
    <w:bookmarkEnd w:id="61"/>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Indicative Payouts for Rohit Kapoor</w:t>
      </w:r>
    </w:p>
    <w:p>
      <w:pPr>
        <w:spacing w:after="0" w:line="159" w:lineRule="exact"/>
        <w:rPr>
          <w:sz w:val="20"/>
          <w:szCs w:val="20"/>
          <w:color w:val="auto"/>
        </w:rPr>
      </w:pPr>
    </w:p>
    <w:tbl>
      <w:tblPr>
        <w:tblLayout w:type="fixed"/>
        <w:tblInd w:w="170" w:type="dxa"/>
        <w:tblCellMar>
          <w:top w:w="0" w:type="dxa"/>
          <w:left w:w="0" w:type="dxa"/>
          <w:bottom w:w="0" w:type="dxa"/>
          <w:right w:w="0" w:type="dxa"/>
        </w:tblCellMar>
      </w:tblPr>
      <w:tr>
        <w:trPr>
          <w:trHeight w:val="181"/>
        </w:trPr>
        <w:tc>
          <w:tcPr>
            <w:tcW w:w="60" w:type="dxa"/>
            <w:vAlign w:val="bottom"/>
            <w:tcBorders>
              <w:left w:val="single" w:sz="8" w:color="DD924E"/>
            </w:tcBorders>
            <w:shd w:val="clear" w:color="auto" w:fill="DD924E"/>
          </w:tcPr>
          <w:p>
            <w:pPr>
              <w:spacing w:after="0"/>
              <w:rPr>
                <w:sz w:val="15"/>
                <w:szCs w:val="15"/>
                <w:color w:val="auto"/>
              </w:rPr>
            </w:pPr>
          </w:p>
        </w:tc>
        <w:tc>
          <w:tcPr>
            <w:tcW w:w="170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84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820" w:type="dxa"/>
            <w:vAlign w:val="bottom"/>
            <w:shd w:val="clear" w:color="auto" w:fill="DD924E"/>
          </w:tcPr>
          <w:p>
            <w:pPr>
              <w:spacing w:after="0"/>
              <w:rPr>
                <w:sz w:val="15"/>
                <w:szCs w:val="15"/>
                <w:color w:val="auto"/>
              </w:rPr>
            </w:pPr>
          </w:p>
        </w:tc>
        <w:tc>
          <w:tcPr>
            <w:tcW w:w="120" w:type="dxa"/>
            <w:vAlign w:val="bottom"/>
            <w:shd w:val="clear" w:color="auto" w:fill="DD924E"/>
          </w:tcPr>
          <w:p>
            <w:pPr>
              <w:spacing w:after="0"/>
              <w:rPr>
                <w:sz w:val="15"/>
                <w:szCs w:val="15"/>
                <w:color w:val="auto"/>
              </w:rPr>
            </w:pPr>
          </w:p>
        </w:tc>
        <w:tc>
          <w:tcPr>
            <w:tcW w:w="68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98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78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2340" w:type="dxa"/>
            <w:vAlign w:val="bottom"/>
            <w:tcBorders>
              <w:right w:val="single" w:sz="8" w:color="DD924E"/>
            </w:tcBorders>
            <w:shd w:val="clear" w:color="auto" w:fill="DD924E"/>
          </w:tcPr>
          <w:p>
            <w:pPr>
              <w:jc w:val="center"/>
              <w:ind w:right="12"/>
              <w:spacing w:after="0"/>
              <w:rPr>
                <w:sz w:val="20"/>
                <w:szCs w:val="20"/>
                <w:color w:val="auto"/>
              </w:rPr>
            </w:pPr>
            <w:r>
              <w:rPr>
                <w:rFonts w:ascii="Arial" w:cs="Arial" w:eastAsia="Arial" w:hAnsi="Arial"/>
                <w:sz w:val="14"/>
                <w:szCs w:val="14"/>
                <w:b w:val="1"/>
                <w:bCs w:val="1"/>
                <w:color w:val="FFFFFF"/>
                <w:w w:val="97"/>
              </w:rPr>
              <w:t>Termination Without Cause or</w:t>
            </w:r>
          </w:p>
        </w:tc>
        <w:tc>
          <w:tcPr>
            <w:tcW w:w="0" w:type="dxa"/>
            <w:vAlign w:val="bottom"/>
          </w:tcPr>
          <w:p>
            <w:pPr>
              <w:spacing w:after="0"/>
              <w:rPr>
                <w:sz w:val="1"/>
                <w:szCs w:val="1"/>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70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8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820" w:type="dxa"/>
            <w:vAlign w:val="bottom"/>
            <w:shd w:val="clear" w:color="auto" w:fill="DD924E"/>
          </w:tcPr>
          <w:p>
            <w:pPr>
              <w:spacing w:after="0"/>
              <w:rPr>
                <w:sz w:val="13"/>
                <w:szCs w:val="13"/>
                <w:color w:val="auto"/>
              </w:rPr>
            </w:pPr>
          </w:p>
        </w:tc>
        <w:tc>
          <w:tcPr>
            <w:tcW w:w="120" w:type="dxa"/>
            <w:vAlign w:val="bottom"/>
            <w:shd w:val="clear" w:color="auto" w:fill="DD924E"/>
          </w:tcPr>
          <w:p>
            <w:pPr>
              <w:spacing w:after="0"/>
              <w:rPr>
                <w:sz w:val="13"/>
                <w:szCs w:val="13"/>
                <w:color w:val="auto"/>
              </w:rPr>
            </w:pPr>
          </w:p>
        </w:tc>
        <w:tc>
          <w:tcPr>
            <w:tcW w:w="68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9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Termination</w:t>
            </w:r>
          </w:p>
        </w:tc>
        <w:tc>
          <w:tcPr>
            <w:tcW w:w="100" w:type="dxa"/>
            <w:vAlign w:val="bottom"/>
            <w:shd w:val="clear" w:color="auto" w:fill="DD924E"/>
          </w:tcPr>
          <w:p>
            <w:pPr>
              <w:spacing w:after="0"/>
              <w:rPr>
                <w:sz w:val="13"/>
                <w:szCs w:val="13"/>
                <w:color w:val="auto"/>
              </w:rPr>
            </w:pPr>
          </w:p>
        </w:tc>
        <w:tc>
          <w:tcPr>
            <w:tcW w:w="78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2340" w:type="dxa"/>
            <w:vAlign w:val="bottom"/>
            <w:tcBorders>
              <w:right w:val="single" w:sz="8" w:color="DD924E"/>
            </w:tcBorders>
            <w:shd w:val="clear" w:color="auto" w:fill="DD924E"/>
          </w:tcPr>
          <w:p>
            <w:pPr>
              <w:jc w:val="center"/>
              <w:ind w:right="12"/>
              <w:spacing w:after="0" w:line="154" w:lineRule="exact"/>
              <w:rPr>
                <w:sz w:val="20"/>
                <w:szCs w:val="20"/>
                <w:color w:val="auto"/>
              </w:rPr>
            </w:pPr>
            <w:r>
              <w:rPr>
                <w:rFonts w:ascii="Arial" w:cs="Arial" w:eastAsia="Arial" w:hAnsi="Arial"/>
                <w:sz w:val="14"/>
                <w:szCs w:val="14"/>
                <w:b w:val="1"/>
                <w:bCs w:val="1"/>
                <w:color w:val="FFFFFF"/>
                <w:w w:val="97"/>
              </w:rPr>
              <w:t>for Good Reason Following</w:t>
            </w:r>
          </w:p>
        </w:tc>
        <w:tc>
          <w:tcPr>
            <w:tcW w:w="0" w:type="dxa"/>
            <w:vAlign w:val="bottom"/>
          </w:tcPr>
          <w:p>
            <w:pPr>
              <w:spacing w:after="0"/>
              <w:rPr>
                <w:sz w:val="1"/>
                <w:szCs w:val="1"/>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70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8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82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Death</w:t>
            </w:r>
          </w:p>
        </w:tc>
        <w:tc>
          <w:tcPr>
            <w:tcW w:w="120" w:type="dxa"/>
            <w:vAlign w:val="bottom"/>
            <w:shd w:val="clear" w:color="auto" w:fill="DD924E"/>
          </w:tcPr>
          <w:p>
            <w:pPr>
              <w:spacing w:after="0"/>
              <w:rPr>
                <w:sz w:val="13"/>
                <w:szCs w:val="13"/>
                <w:color w:val="auto"/>
              </w:rPr>
            </w:pPr>
          </w:p>
        </w:tc>
        <w:tc>
          <w:tcPr>
            <w:tcW w:w="68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9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8"/>
              </w:rPr>
              <w:t>for Good</w:t>
            </w:r>
          </w:p>
        </w:tc>
        <w:tc>
          <w:tcPr>
            <w:tcW w:w="100" w:type="dxa"/>
            <w:vAlign w:val="bottom"/>
            <w:shd w:val="clear" w:color="auto" w:fill="DD924E"/>
          </w:tcPr>
          <w:p>
            <w:pPr>
              <w:spacing w:after="0"/>
              <w:rPr>
                <w:sz w:val="13"/>
                <w:szCs w:val="13"/>
                <w:color w:val="auto"/>
              </w:rPr>
            </w:pPr>
          </w:p>
        </w:tc>
        <w:tc>
          <w:tcPr>
            <w:tcW w:w="78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2340" w:type="dxa"/>
            <w:vAlign w:val="bottom"/>
            <w:tcBorders>
              <w:right w:val="single" w:sz="8" w:color="DD924E"/>
            </w:tcBorders>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Change in Control or</w:t>
            </w:r>
          </w:p>
        </w:tc>
        <w:tc>
          <w:tcPr>
            <w:tcW w:w="0" w:type="dxa"/>
            <w:vAlign w:val="bottom"/>
          </w:tcPr>
          <w:p>
            <w:pPr>
              <w:spacing w:after="0"/>
              <w:rPr>
                <w:sz w:val="1"/>
                <w:szCs w:val="1"/>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70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84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8"/>
              </w:rPr>
              <w:t>Death Prior</w:t>
            </w:r>
          </w:p>
        </w:tc>
        <w:tc>
          <w:tcPr>
            <w:tcW w:w="100" w:type="dxa"/>
            <w:vAlign w:val="bottom"/>
            <w:shd w:val="clear" w:color="auto" w:fill="DD924E"/>
          </w:tcPr>
          <w:p>
            <w:pPr>
              <w:spacing w:after="0"/>
              <w:rPr>
                <w:sz w:val="13"/>
                <w:szCs w:val="13"/>
                <w:color w:val="auto"/>
              </w:rPr>
            </w:pPr>
          </w:p>
        </w:tc>
        <w:tc>
          <w:tcPr>
            <w:tcW w:w="82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4"/>
              </w:rPr>
              <w:t>After a</w:t>
            </w:r>
          </w:p>
        </w:tc>
        <w:tc>
          <w:tcPr>
            <w:tcW w:w="120" w:type="dxa"/>
            <w:vAlign w:val="bottom"/>
            <w:shd w:val="clear" w:color="auto" w:fill="DD924E"/>
          </w:tcPr>
          <w:p>
            <w:pPr>
              <w:spacing w:after="0"/>
              <w:rPr>
                <w:sz w:val="13"/>
                <w:szCs w:val="13"/>
                <w:color w:val="auto"/>
              </w:rPr>
            </w:pPr>
          </w:p>
        </w:tc>
        <w:tc>
          <w:tcPr>
            <w:tcW w:w="68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9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Reason or</w:t>
            </w:r>
          </w:p>
        </w:tc>
        <w:tc>
          <w:tcPr>
            <w:tcW w:w="100" w:type="dxa"/>
            <w:vAlign w:val="bottom"/>
            <w:shd w:val="clear" w:color="auto" w:fill="DD924E"/>
          </w:tcPr>
          <w:p>
            <w:pPr>
              <w:spacing w:after="0"/>
              <w:rPr>
                <w:sz w:val="13"/>
                <w:szCs w:val="13"/>
                <w:color w:val="auto"/>
              </w:rPr>
            </w:pPr>
          </w:p>
        </w:tc>
        <w:tc>
          <w:tcPr>
            <w:tcW w:w="78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2340" w:type="dxa"/>
            <w:vAlign w:val="bottom"/>
            <w:tcBorders>
              <w:right w:val="single" w:sz="8" w:color="DD924E"/>
            </w:tcBorders>
            <w:shd w:val="clear" w:color="auto" w:fill="DD924E"/>
          </w:tcPr>
          <w:p>
            <w:pPr>
              <w:jc w:val="center"/>
              <w:ind w:right="12"/>
              <w:spacing w:after="0" w:line="154" w:lineRule="exact"/>
              <w:rPr>
                <w:sz w:val="20"/>
                <w:szCs w:val="20"/>
                <w:color w:val="auto"/>
              </w:rPr>
            </w:pPr>
            <w:r>
              <w:rPr>
                <w:rFonts w:ascii="Arial" w:cs="Arial" w:eastAsia="Arial" w:hAnsi="Arial"/>
                <w:sz w:val="14"/>
                <w:szCs w:val="14"/>
                <w:b w:val="1"/>
                <w:bCs w:val="1"/>
                <w:color w:val="FFFFFF"/>
                <w:w w:val="97"/>
              </w:rPr>
              <w:t>Termination Without Cause</w:t>
            </w:r>
          </w:p>
        </w:tc>
        <w:tc>
          <w:tcPr>
            <w:tcW w:w="0" w:type="dxa"/>
            <w:vAlign w:val="bottom"/>
          </w:tcPr>
          <w:p>
            <w:pPr>
              <w:spacing w:after="0"/>
              <w:rPr>
                <w:sz w:val="1"/>
                <w:szCs w:val="1"/>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70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84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to a Change</w:t>
            </w:r>
          </w:p>
        </w:tc>
        <w:tc>
          <w:tcPr>
            <w:tcW w:w="100" w:type="dxa"/>
            <w:vAlign w:val="bottom"/>
            <w:shd w:val="clear" w:color="auto" w:fill="DD924E"/>
          </w:tcPr>
          <w:p>
            <w:pPr>
              <w:spacing w:after="0"/>
              <w:rPr>
                <w:sz w:val="13"/>
                <w:szCs w:val="13"/>
                <w:color w:val="auto"/>
              </w:rPr>
            </w:pPr>
          </w:p>
        </w:tc>
        <w:tc>
          <w:tcPr>
            <w:tcW w:w="82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Change in</w:t>
            </w:r>
          </w:p>
        </w:tc>
        <w:tc>
          <w:tcPr>
            <w:tcW w:w="120" w:type="dxa"/>
            <w:vAlign w:val="bottom"/>
            <w:shd w:val="clear" w:color="auto" w:fill="DD924E"/>
          </w:tcPr>
          <w:p>
            <w:pPr>
              <w:spacing w:after="0"/>
              <w:rPr>
                <w:sz w:val="13"/>
                <w:szCs w:val="13"/>
                <w:color w:val="auto"/>
              </w:rPr>
            </w:pPr>
          </w:p>
        </w:tc>
        <w:tc>
          <w:tcPr>
            <w:tcW w:w="68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9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5"/>
              </w:rPr>
              <w:t>Without</w:t>
            </w:r>
          </w:p>
        </w:tc>
        <w:tc>
          <w:tcPr>
            <w:tcW w:w="10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Change in</w:t>
            </w:r>
          </w:p>
        </w:tc>
        <w:tc>
          <w:tcPr>
            <w:tcW w:w="100" w:type="dxa"/>
            <w:vAlign w:val="bottom"/>
            <w:shd w:val="clear" w:color="auto" w:fill="DD924E"/>
          </w:tcPr>
          <w:p>
            <w:pPr>
              <w:spacing w:after="0"/>
              <w:rPr>
                <w:sz w:val="13"/>
                <w:szCs w:val="13"/>
                <w:color w:val="auto"/>
              </w:rPr>
            </w:pPr>
          </w:p>
        </w:tc>
        <w:tc>
          <w:tcPr>
            <w:tcW w:w="2340" w:type="dxa"/>
            <w:vAlign w:val="bottom"/>
            <w:tcBorders>
              <w:right w:val="single" w:sz="8" w:color="DD924E"/>
            </w:tcBorders>
            <w:shd w:val="clear" w:color="auto" w:fill="DD924E"/>
          </w:tcPr>
          <w:p>
            <w:pPr>
              <w:jc w:val="center"/>
              <w:ind w:right="12"/>
              <w:spacing w:after="0" w:line="154" w:lineRule="exact"/>
              <w:rPr>
                <w:sz w:val="20"/>
                <w:szCs w:val="20"/>
                <w:color w:val="auto"/>
              </w:rPr>
            </w:pPr>
            <w:r>
              <w:rPr>
                <w:rFonts w:ascii="Arial" w:cs="Arial" w:eastAsia="Arial" w:hAnsi="Arial"/>
                <w:sz w:val="14"/>
                <w:szCs w:val="14"/>
                <w:b w:val="1"/>
                <w:bCs w:val="1"/>
                <w:color w:val="FFFFFF"/>
                <w:w w:val="98"/>
              </w:rPr>
              <w:t>in Specific Contemplation of</w:t>
            </w:r>
          </w:p>
        </w:tc>
        <w:tc>
          <w:tcPr>
            <w:tcW w:w="0" w:type="dxa"/>
            <w:vAlign w:val="bottom"/>
          </w:tcPr>
          <w:p>
            <w:pPr>
              <w:spacing w:after="0"/>
              <w:rPr>
                <w:sz w:val="1"/>
                <w:szCs w:val="1"/>
                <w:color w:val="auto"/>
              </w:rPr>
            </w:pP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7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Payments upon</w:t>
            </w:r>
          </w:p>
        </w:tc>
        <w:tc>
          <w:tcPr>
            <w:tcW w:w="100" w:type="dxa"/>
            <w:vAlign w:val="bottom"/>
            <w:shd w:val="clear" w:color="auto" w:fill="DD924E"/>
          </w:tcPr>
          <w:p>
            <w:pPr>
              <w:spacing w:after="0"/>
              <w:rPr>
                <w:sz w:val="13"/>
                <w:szCs w:val="13"/>
                <w:color w:val="auto"/>
              </w:rPr>
            </w:pPr>
          </w:p>
        </w:tc>
        <w:tc>
          <w:tcPr>
            <w:tcW w:w="84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9"/>
              </w:rPr>
              <w:t>in Control</w:t>
            </w:r>
          </w:p>
        </w:tc>
        <w:tc>
          <w:tcPr>
            <w:tcW w:w="100" w:type="dxa"/>
            <w:vAlign w:val="bottom"/>
            <w:shd w:val="clear" w:color="auto" w:fill="DD924E"/>
          </w:tcPr>
          <w:p>
            <w:pPr>
              <w:spacing w:after="0"/>
              <w:rPr>
                <w:sz w:val="13"/>
                <w:szCs w:val="13"/>
                <w:color w:val="auto"/>
              </w:rPr>
            </w:pPr>
          </w:p>
        </w:tc>
        <w:tc>
          <w:tcPr>
            <w:tcW w:w="82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rPr>
              <w:t>Control</w:t>
            </w:r>
          </w:p>
        </w:tc>
        <w:tc>
          <w:tcPr>
            <w:tcW w:w="120" w:type="dxa"/>
            <w:vAlign w:val="bottom"/>
            <w:shd w:val="clear" w:color="auto" w:fill="DD924E"/>
          </w:tcPr>
          <w:p>
            <w:pPr>
              <w:spacing w:after="0"/>
              <w:rPr>
                <w:sz w:val="13"/>
                <w:szCs w:val="13"/>
                <w:color w:val="auto"/>
              </w:rPr>
            </w:pPr>
          </w:p>
        </w:tc>
        <w:tc>
          <w:tcPr>
            <w:tcW w:w="680" w:type="dxa"/>
            <w:vAlign w:val="bottom"/>
            <w:shd w:val="clear" w:color="auto" w:fill="DD924E"/>
          </w:tcPr>
          <w:p>
            <w:pPr>
              <w:jc w:val="right"/>
              <w:spacing w:after="0" w:line="154" w:lineRule="exact"/>
              <w:rPr>
                <w:sz w:val="20"/>
                <w:szCs w:val="20"/>
                <w:color w:val="auto"/>
              </w:rPr>
            </w:pPr>
            <w:r>
              <w:rPr>
                <w:rFonts w:ascii="Arial" w:cs="Arial" w:eastAsia="Arial" w:hAnsi="Arial"/>
                <w:sz w:val="14"/>
                <w:szCs w:val="14"/>
                <w:b w:val="1"/>
                <w:bCs w:val="1"/>
                <w:color w:val="FFFFFF"/>
                <w:w w:val="99"/>
              </w:rPr>
              <w:t>Disability</w:t>
            </w:r>
          </w:p>
        </w:tc>
        <w:tc>
          <w:tcPr>
            <w:tcW w:w="100" w:type="dxa"/>
            <w:vAlign w:val="bottom"/>
            <w:shd w:val="clear" w:color="auto" w:fill="DD924E"/>
          </w:tcPr>
          <w:p>
            <w:pPr>
              <w:spacing w:after="0"/>
              <w:rPr>
                <w:sz w:val="13"/>
                <w:szCs w:val="13"/>
                <w:color w:val="auto"/>
              </w:rPr>
            </w:pPr>
          </w:p>
        </w:tc>
        <w:tc>
          <w:tcPr>
            <w:tcW w:w="9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9"/>
              </w:rPr>
              <w:t>Cause</w:t>
            </w:r>
          </w:p>
        </w:tc>
        <w:tc>
          <w:tcPr>
            <w:tcW w:w="10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rPr>
              <w:t>Control</w:t>
            </w:r>
          </w:p>
        </w:tc>
        <w:tc>
          <w:tcPr>
            <w:tcW w:w="100" w:type="dxa"/>
            <w:vAlign w:val="bottom"/>
            <w:shd w:val="clear" w:color="auto" w:fill="DD924E"/>
          </w:tcPr>
          <w:p>
            <w:pPr>
              <w:spacing w:after="0"/>
              <w:rPr>
                <w:sz w:val="13"/>
                <w:szCs w:val="13"/>
                <w:color w:val="auto"/>
              </w:rPr>
            </w:pPr>
          </w:p>
        </w:tc>
        <w:tc>
          <w:tcPr>
            <w:tcW w:w="2340" w:type="dxa"/>
            <w:vAlign w:val="bottom"/>
            <w:tcBorders>
              <w:right w:val="single" w:sz="8" w:color="DD924E"/>
            </w:tcBorders>
            <w:shd w:val="clear" w:color="auto" w:fill="DD924E"/>
          </w:tcPr>
          <w:p>
            <w:pPr>
              <w:jc w:val="center"/>
              <w:ind w:right="12"/>
              <w:spacing w:after="0" w:line="154" w:lineRule="exact"/>
              <w:rPr>
                <w:sz w:val="20"/>
                <w:szCs w:val="20"/>
                <w:color w:val="auto"/>
              </w:rPr>
            </w:pPr>
            <w:r>
              <w:rPr>
                <w:rFonts w:ascii="Arial" w:cs="Arial" w:eastAsia="Arial" w:hAnsi="Arial"/>
                <w:sz w:val="14"/>
                <w:szCs w:val="14"/>
                <w:b w:val="1"/>
                <w:bCs w:val="1"/>
                <w:color w:val="FFFFFF"/>
                <w:w w:val="97"/>
              </w:rPr>
              <w:t>Change in Control</w:t>
            </w:r>
          </w:p>
        </w:tc>
        <w:tc>
          <w:tcPr>
            <w:tcW w:w="0" w:type="dxa"/>
            <w:vAlign w:val="bottom"/>
          </w:tcPr>
          <w:p>
            <w:pPr>
              <w:spacing w:after="0"/>
              <w:rPr>
                <w:sz w:val="1"/>
                <w:szCs w:val="1"/>
                <w:color w:val="auto"/>
              </w:rPr>
            </w:pPr>
          </w:p>
        </w:tc>
      </w:tr>
      <w:tr>
        <w:trPr>
          <w:trHeight w:val="184"/>
        </w:trPr>
        <w:tc>
          <w:tcPr>
            <w:tcW w:w="60" w:type="dxa"/>
            <w:vAlign w:val="bottom"/>
            <w:tcBorders>
              <w:left w:val="single" w:sz="8" w:color="DD924E"/>
              <w:bottom w:val="single" w:sz="8" w:color="DD924E"/>
            </w:tcBorders>
            <w:shd w:val="clear" w:color="auto" w:fill="DD924E"/>
          </w:tcPr>
          <w:p>
            <w:pPr>
              <w:spacing w:after="0"/>
              <w:rPr>
                <w:sz w:val="15"/>
                <w:szCs w:val="15"/>
                <w:color w:val="auto"/>
              </w:rPr>
            </w:pPr>
          </w:p>
        </w:tc>
        <w:tc>
          <w:tcPr>
            <w:tcW w:w="170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Termination</w:t>
            </w:r>
          </w:p>
        </w:tc>
        <w:tc>
          <w:tcPr>
            <w:tcW w:w="100" w:type="dxa"/>
            <w:vAlign w:val="bottom"/>
            <w:tcBorders>
              <w:bottom w:val="single" w:sz="8" w:color="DD924E"/>
            </w:tcBorders>
            <w:shd w:val="clear" w:color="auto" w:fill="DD924E"/>
          </w:tcPr>
          <w:p>
            <w:pPr>
              <w:spacing w:after="0"/>
              <w:rPr>
                <w:sz w:val="15"/>
                <w:szCs w:val="15"/>
                <w:color w:val="auto"/>
              </w:rPr>
            </w:pPr>
          </w:p>
        </w:tc>
        <w:tc>
          <w:tcPr>
            <w:tcW w:w="84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D924E"/>
            </w:tcBorders>
            <w:shd w:val="clear" w:color="auto" w:fill="DD924E"/>
          </w:tcPr>
          <w:p>
            <w:pPr>
              <w:spacing w:after="0"/>
              <w:rPr>
                <w:sz w:val="15"/>
                <w:szCs w:val="15"/>
                <w:color w:val="auto"/>
              </w:rPr>
            </w:pPr>
          </w:p>
        </w:tc>
        <w:tc>
          <w:tcPr>
            <w:tcW w:w="82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D924E"/>
            </w:tcBorders>
            <w:shd w:val="clear" w:color="auto" w:fill="DD924E"/>
          </w:tcPr>
          <w:p>
            <w:pPr>
              <w:spacing w:after="0"/>
              <w:rPr>
                <w:sz w:val="15"/>
                <w:szCs w:val="15"/>
                <w:color w:val="auto"/>
              </w:rPr>
            </w:pPr>
          </w:p>
        </w:tc>
        <w:tc>
          <w:tcPr>
            <w:tcW w:w="680" w:type="dxa"/>
            <w:vAlign w:val="bottom"/>
            <w:tcBorders>
              <w:bottom w:val="single" w:sz="8" w:color="auto"/>
            </w:tcBorders>
            <w:shd w:val="clear" w:color="auto" w:fill="DD924E"/>
          </w:tcPr>
          <w:p>
            <w:pPr>
              <w:jc w:val="right"/>
              <w:ind w:right="186"/>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D924E"/>
            </w:tcBorders>
            <w:shd w:val="clear" w:color="auto" w:fill="DD924E"/>
          </w:tcPr>
          <w:p>
            <w:pPr>
              <w:spacing w:after="0"/>
              <w:rPr>
                <w:sz w:val="15"/>
                <w:szCs w:val="15"/>
                <w:color w:val="auto"/>
              </w:rPr>
            </w:pPr>
          </w:p>
        </w:tc>
        <w:tc>
          <w:tcPr>
            <w:tcW w:w="98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D924E"/>
            </w:tcBorders>
            <w:shd w:val="clear" w:color="auto" w:fill="DD924E"/>
          </w:tcPr>
          <w:p>
            <w:pPr>
              <w:spacing w:after="0"/>
              <w:rPr>
                <w:sz w:val="15"/>
                <w:szCs w:val="15"/>
                <w:color w:val="auto"/>
              </w:rPr>
            </w:pPr>
          </w:p>
        </w:tc>
        <w:tc>
          <w:tcPr>
            <w:tcW w:w="78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D924E"/>
            </w:tcBorders>
            <w:shd w:val="clear" w:color="auto" w:fill="DD924E"/>
          </w:tcPr>
          <w:p>
            <w:pPr>
              <w:spacing w:after="0"/>
              <w:rPr>
                <w:sz w:val="15"/>
                <w:szCs w:val="15"/>
                <w:color w:val="auto"/>
              </w:rPr>
            </w:pPr>
          </w:p>
        </w:tc>
        <w:tc>
          <w:tcPr>
            <w:tcW w:w="2340" w:type="dxa"/>
            <w:vAlign w:val="bottom"/>
            <w:tcBorders>
              <w:bottom w:val="single" w:sz="8" w:color="auto"/>
              <w:right w:val="single" w:sz="8" w:color="DD924E"/>
            </w:tcBorders>
            <w:shd w:val="clear" w:color="auto" w:fill="DD924E"/>
          </w:tcPr>
          <w:p>
            <w:pPr>
              <w:jc w:val="center"/>
              <w:ind w:right="12"/>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31"/>
        </w:trPr>
        <w:tc>
          <w:tcPr>
            <w:tcW w:w="176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5"/>
                <w:szCs w:val="15"/>
                <w:color w:val="auto"/>
              </w:rPr>
              <w:t>Base salary payout</w:t>
            </w:r>
          </w:p>
        </w:tc>
        <w:tc>
          <w:tcPr>
            <w:tcW w:w="100" w:type="dxa"/>
            <w:vAlign w:val="bottom"/>
            <w:shd w:val="clear" w:color="auto" w:fill="FBF4ED"/>
          </w:tcPr>
          <w:p>
            <w:pPr>
              <w:spacing w:after="0"/>
              <w:rPr>
                <w:sz w:val="20"/>
                <w:szCs w:val="20"/>
                <w:color w:val="auto"/>
              </w:rPr>
            </w:pPr>
          </w:p>
        </w:tc>
        <w:tc>
          <w:tcPr>
            <w:tcW w:w="84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FBF4ED"/>
          </w:tcPr>
          <w:p>
            <w:pPr>
              <w:spacing w:after="0"/>
              <w:rPr>
                <w:sz w:val="20"/>
                <w:szCs w:val="20"/>
                <w:color w:val="auto"/>
              </w:rPr>
            </w:pPr>
          </w:p>
        </w:tc>
        <w:tc>
          <w:tcPr>
            <w:tcW w:w="82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FBF4ED"/>
          </w:tcPr>
          <w:p>
            <w:pPr>
              <w:spacing w:after="0"/>
              <w:rPr>
                <w:sz w:val="20"/>
                <w:szCs w:val="20"/>
                <w:color w:val="auto"/>
              </w:rPr>
            </w:pPr>
          </w:p>
        </w:tc>
        <w:tc>
          <w:tcPr>
            <w:tcW w:w="68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FBF4ED"/>
          </w:tcPr>
          <w:p>
            <w:pPr>
              <w:jc w:val="right"/>
              <w:spacing w:after="0"/>
              <w:rPr>
                <w:sz w:val="20"/>
                <w:szCs w:val="20"/>
                <w:color w:val="auto"/>
              </w:rPr>
            </w:pPr>
            <w:r>
              <w:rPr>
                <w:rFonts w:ascii="Arial" w:cs="Arial" w:eastAsia="Arial" w:hAnsi="Arial"/>
                <w:sz w:val="15"/>
                <w:szCs w:val="15"/>
                <w:color w:val="auto"/>
              </w:rPr>
              <w:t>1,240,000</w:t>
            </w:r>
          </w:p>
        </w:tc>
        <w:tc>
          <w:tcPr>
            <w:tcW w:w="100" w:type="dxa"/>
            <w:vAlign w:val="bottom"/>
            <w:shd w:val="clear" w:color="auto" w:fill="FBF4ED"/>
          </w:tcPr>
          <w:p>
            <w:pPr>
              <w:spacing w:after="0"/>
              <w:rPr>
                <w:sz w:val="20"/>
                <w:szCs w:val="20"/>
                <w:color w:val="auto"/>
              </w:rPr>
            </w:pPr>
          </w:p>
        </w:tc>
        <w:tc>
          <w:tcPr>
            <w:tcW w:w="78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2440" w:type="dxa"/>
            <w:vAlign w:val="bottom"/>
            <w:tcBorders>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5"/>
                <w:szCs w:val="15"/>
                <w:color w:val="auto"/>
              </w:rPr>
              <w:t>1,240,000</w:t>
            </w:r>
          </w:p>
        </w:tc>
        <w:tc>
          <w:tcPr>
            <w:tcW w:w="0" w:type="dxa"/>
            <w:vAlign w:val="bottom"/>
          </w:tcPr>
          <w:p>
            <w:pPr>
              <w:spacing w:after="0"/>
              <w:rPr>
                <w:sz w:val="1"/>
                <w:szCs w:val="1"/>
                <w:color w:val="auto"/>
              </w:rPr>
            </w:pPr>
          </w:p>
        </w:tc>
      </w:tr>
      <w:tr>
        <w:trPr>
          <w:trHeight w:val="222"/>
        </w:trPr>
        <w:tc>
          <w:tcPr>
            <w:tcW w:w="1760" w:type="dxa"/>
            <w:vAlign w:val="bottom"/>
            <w:tcBorders>
              <w:left w:val="single" w:sz="8" w:color="DD924E"/>
            </w:tcBorders>
            <w:gridSpan w:val="2"/>
          </w:tcPr>
          <w:p>
            <w:pPr>
              <w:ind w:left="60"/>
              <w:spacing w:after="0"/>
              <w:rPr>
                <w:sz w:val="20"/>
                <w:szCs w:val="20"/>
                <w:color w:val="auto"/>
              </w:rPr>
            </w:pPr>
            <w:r>
              <w:rPr>
                <w:rFonts w:ascii="Arial" w:cs="Arial" w:eastAsia="Arial" w:hAnsi="Arial"/>
                <w:sz w:val="15"/>
                <w:szCs w:val="15"/>
                <w:color w:val="auto"/>
              </w:rPr>
              <w:t>Bonus payout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591,028</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591,028</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591,028</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591,028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44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5"/>
                <w:szCs w:val="15"/>
                <w:color w:val="auto"/>
              </w:rPr>
              <w:t>591,028</w:t>
            </w:r>
          </w:p>
        </w:tc>
        <w:tc>
          <w:tcPr>
            <w:tcW w:w="0" w:type="dxa"/>
            <w:vAlign w:val="bottom"/>
          </w:tcPr>
          <w:p>
            <w:pPr>
              <w:spacing w:after="0"/>
              <w:rPr>
                <w:sz w:val="1"/>
                <w:szCs w:val="1"/>
                <w:color w:val="auto"/>
              </w:rPr>
            </w:pPr>
          </w:p>
        </w:tc>
      </w:tr>
      <w:tr>
        <w:trPr>
          <w:trHeight w:val="240"/>
        </w:trPr>
        <w:tc>
          <w:tcPr>
            <w:tcW w:w="176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5"/>
                <w:szCs w:val="15"/>
                <w:color w:val="auto"/>
              </w:rPr>
              <w:t>Life insurance</w:t>
            </w:r>
          </w:p>
        </w:tc>
        <w:tc>
          <w:tcPr>
            <w:tcW w:w="100" w:type="dxa"/>
            <w:vAlign w:val="bottom"/>
            <w:shd w:val="clear" w:color="auto" w:fill="FBF4ED"/>
          </w:tcPr>
          <w:p>
            <w:pPr>
              <w:spacing w:after="0"/>
              <w:rPr>
                <w:sz w:val="20"/>
                <w:szCs w:val="20"/>
                <w:color w:val="auto"/>
              </w:rPr>
            </w:pPr>
          </w:p>
        </w:tc>
        <w:tc>
          <w:tcPr>
            <w:tcW w:w="84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FBF4ED"/>
          </w:tcPr>
          <w:p>
            <w:pPr>
              <w:spacing w:after="0"/>
              <w:rPr>
                <w:sz w:val="20"/>
                <w:szCs w:val="20"/>
                <w:color w:val="auto"/>
              </w:rPr>
            </w:pPr>
          </w:p>
        </w:tc>
        <w:tc>
          <w:tcPr>
            <w:tcW w:w="82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FBF4ED"/>
          </w:tcPr>
          <w:p>
            <w:pPr>
              <w:spacing w:after="0"/>
              <w:rPr>
                <w:sz w:val="20"/>
                <w:szCs w:val="20"/>
                <w:color w:val="auto"/>
              </w:rPr>
            </w:pPr>
          </w:p>
        </w:tc>
        <w:tc>
          <w:tcPr>
            <w:tcW w:w="68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FBF4ED"/>
          </w:tcPr>
          <w:p>
            <w:pPr>
              <w:jc w:val="right"/>
              <w:spacing w:after="0"/>
              <w:rPr>
                <w:sz w:val="20"/>
                <w:szCs w:val="20"/>
                <w:color w:val="auto"/>
              </w:rPr>
            </w:pPr>
            <w:r>
              <w:rPr>
                <w:rFonts w:ascii="Arial" w:cs="Arial" w:eastAsia="Arial" w:hAnsi="Arial"/>
                <w:sz w:val="15"/>
                <w:szCs w:val="15"/>
                <w:color w:val="auto"/>
              </w:rPr>
              <w:t>2,448</w:t>
            </w:r>
          </w:p>
        </w:tc>
        <w:tc>
          <w:tcPr>
            <w:tcW w:w="100" w:type="dxa"/>
            <w:vAlign w:val="bottom"/>
            <w:shd w:val="clear" w:color="auto" w:fill="FBF4ED"/>
          </w:tcPr>
          <w:p>
            <w:pPr>
              <w:spacing w:after="0"/>
              <w:rPr>
                <w:sz w:val="20"/>
                <w:szCs w:val="20"/>
                <w:color w:val="auto"/>
              </w:rPr>
            </w:pPr>
          </w:p>
        </w:tc>
        <w:tc>
          <w:tcPr>
            <w:tcW w:w="78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2440" w:type="dxa"/>
            <w:vAlign w:val="bottom"/>
            <w:tcBorders>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5"/>
                <w:szCs w:val="15"/>
                <w:color w:val="auto"/>
              </w:rPr>
              <w:t>2,448</w:t>
            </w:r>
          </w:p>
        </w:tc>
        <w:tc>
          <w:tcPr>
            <w:tcW w:w="0" w:type="dxa"/>
            <w:vAlign w:val="bottom"/>
          </w:tcPr>
          <w:p>
            <w:pPr>
              <w:spacing w:after="0"/>
              <w:rPr>
                <w:sz w:val="1"/>
                <w:szCs w:val="1"/>
                <w:color w:val="auto"/>
              </w:rPr>
            </w:pPr>
          </w:p>
        </w:tc>
      </w:tr>
      <w:tr>
        <w:trPr>
          <w:trHeight w:val="222"/>
        </w:trPr>
        <w:tc>
          <w:tcPr>
            <w:tcW w:w="1760" w:type="dxa"/>
            <w:vAlign w:val="bottom"/>
            <w:tcBorders>
              <w:left w:val="single" w:sz="8" w:color="DD924E"/>
            </w:tcBorders>
            <w:gridSpan w:val="2"/>
          </w:tcPr>
          <w:p>
            <w:pPr>
              <w:ind w:left="60"/>
              <w:spacing w:after="0"/>
              <w:rPr>
                <w:sz w:val="20"/>
                <w:szCs w:val="20"/>
                <w:color w:val="auto"/>
              </w:rPr>
            </w:pPr>
            <w:r>
              <w:rPr>
                <w:rFonts w:ascii="Arial" w:cs="Arial" w:eastAsia="Arial" w:hAnsi="Arial"/>
                <w:sz w:val="15"/>
                <w:szCs w:val="15"/>
                <w:color w:val="auto"/>
              </w:rPr>
              <w:t>Health insurance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30,217</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44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5"/>
                <w:szCs w:val="15"/>
                <w:color w:val="auto"/>
              </w:rPr>
              <w:t>30,217</w:t>
            </w:r>
          </w:p>
        </w:tc>
        <w:tc>
          <w:tcPr>
            <w:tcW w:w="0" w:type="dxa"/>
            <w:vAlign w:val="bottom"/>
          </w:tcPr>
          <w:p>
            <w:pPr>
              <w:spacing w:after="0"/>
              <w:rPr>
                <w:sz w:val="1"/>
                <w:szCs w:val="1"/>
                <w:color w:val="auto"/>
              </w:rPr>
            </w:pPr>
          </w:p>
        </w:tc>
      </w:tr>
      <w:tr>
        <w:trPr>
          <w:trHeight w:val="240"/>
        </w:trPr>
        <w:tc>
          <w:tcPr>
            <w:tcW w:w="176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5"/>
                <w:szCs w:val="15"/>
                <w:color w:val="auto"/>
              </w:rPr>
              <w:t>Restricted stock units</w:t>
            </w:r>
          </w:p>
        </w:tc>
        <w:tc>
          <w:tcPr>
            <w:tcW w:w="940" w:type="dxa"/>
            <w:vAlign w:val="bottom"/>
            <w:gridSpan w:val="2"/>
            <w:shd w:val="clear" w:color="auto" w:fill="FBF4ED"/>
          </w:tcPr>
          <w:p>
            <w:pPr>
              <w:jc w:val="right"/>
              <w:spacing w:after="0"/>
              <w:rPr>
                <w:sz w:val="20"/>
                <w:szCs w:val="20"/>
                <w:color w:val="auto"/>
              </w:rPr>
            </w:pPr>
            <w:r>
              <w:rPr>
                <w:rFonts w:ascii="Arial" w:cs="Arial" w:eastAsia="Arial" w:hAnsi="Arial"/>
                <w:sz w:val="15"/>
                <w:szCs w:val="15"/>
                <w:color w:val="auto"/>
              </w:rPr>
              <w:t>1,924,501</w:t>
            </w:r>
          </w:p>
        </w:tc>
        <w:tc>
          <w:tcPr>
            <w:tcW w:w="920" w:type="dxa"/>
            <w:vAlign w:val="bottom"/>
            <w:gridSpan w:val="2"/>
            <w:shd w:val="clear" w:color="auto" w:fill="FBF4ED"/>
          </w:tcPr>
          <w:p>
            <w:pPr>
              <w:jc w:val="right"/>
              <w:spacing w:after="0"/>
              <w:rPr>
                <w:sz w:val="20"/>
                <w:szCs w:val="20"/>
                <w:color w:val="auto"/>
              </w:rPr>
            </w:pPr>
            <w:r>
              <w:rPr>
                <w:rFonts w:ascii="Arial" w:cs="Arial" w:eastAsia="Arial" w:hAnsi="Arial"/>
                <w:sz w:val="15"/>
                <w:szCs w:val="15"/>
                <w:color w:val="auto"/>
              </w:rPr>
              <w:t>1,924,501</w:t>
            </w:r>
          </w:p>
        </w:tc>
        <w:tc>
          <w:tcPr>
            <w:tcW w:w="120" w:type="dxa"/>
            <w:vAlign w:val="bottom"/>
            <w:shd w:val="clear" w:color="auto" w:fill="FBF4ED"/>
          </w:tcPr>
          <w:p>
            <w:pPr>
              <w:spacing w:after="0"/>
              <w:rPr>
                <w:sz w:val="20"/>
                <w:szCs w:val="20"/>
                <w:color w:val="auto"/>
              </w:rPr>
            </w:pPr>
          </w:p>
        </w:tc>
        <w:tc>
          <w:tcPr>
            <w:tcW w:w="68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FBF4ED"/>
          </w:tcPr>
          <w:p>
            <w:pPr>
              <w:jc w:val="right"/>
              <w:spacing w:after="0"/>
              <w:rPr>
                <w:sz w:val="20"/>
                <w:szCs w:val="20"/>
                <w:color w:val="auto"/>
              </w:rPr>
            </w:pPr>
            <w:r>
              <w:rPr>
                <w:rFonts w:ascii="Arial" w:cs="Arial" w:eastAsia="Arial" w:hAnsi="Arial"/>
                <w:sz w:val="15"/>
                <w:szCs w:val="15"/>
                <w:color w:val="auto"/>
              </w:rPr>
              <w:t>3,791,157</w:t>
            </w:r>
          </w:p>
        </w:tc>
        <w:tc>
          <w:tcPr>
            <w:tcW w:w="880" w:type="dxa"/>
            <w:vAlign w:val="bottom"/>
            <w:gridSpan w:val="2"/>
            <w:shd w:val="clear" w:color="auto" w:fill="FBF4ED"/>
          </w:tcPr>
          <w:p>
            <w:pPr>
              <w:jc w:val="right"/>
              <w:spacing w:after="0"/>
              <w:rPr>
                <w:sz w:val="20"/>
                <w:szCs w:val="20"/>
                <w:color w:val="auto"/>
              </w:rPr>
            </w:pPr>
            <w:r>
              <w:rPr>
                <w:rFonts w:ascii="Arial" w:cs="Arial" w:eastAsia="Arial" w:hAnsi="Arial"/>
                <w:sz w:val="15"/>
                <w:szCs w:val="15"/>
                <w:color w:val="auto"/>
              </w:rPr>
              <w:t>2,178,469</w:t>
            </w:r>
          </w:p>
        </w:tc>
        <w:tc>
          <w:tcPr>
            <w:tcW w:w="2440" w:type="dxa"/>
            <w:vAlign w:val="bottom"/>
            <w:tcBorders>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5"/>
                <w:szCs w:val="15"/>
                <w:color w:val="auto"/>
              </w:rPr>
              <w:t>5,319,189</w:t>
            </w:r>
          </w:p>
        </w:tc>
        <w:tc>
          <w:tcPr>
            <w:tcW w:w="0" w:type="dxa"/>
            <w:vAlign w:val="bottom"/>
          </w:tcPr>
          <w:p>
            <w:pPr>
              <w:spacing w:after="0"/>
              <w:rPr>
                <w:sz w:val="1"/>
                <w:szCs w:val="1"/>
                <w:color w:val="auto"/>
              </w:rPr>
            </w:pPr>
          </w:p>
        </w:tc>
      </w:tr>
      <w:tr>
        <w:trPr>
          <w:trHeight w:val="207"/>
        </w:trPr>
        <w:tc>
          <w:tcPr>
            <w:tcW w:w="1760" w:type="dxa"/>
            <w:vAlign w:val="bottom"/>
            <w:tcBorders>
              <w:left w:val="single" w:sz="8" w:color="DD924E"/>
            </w:tcBorders>
            <w:gridSpan w:val="2"/>
          </w:tcPr>
          <w:p>
            <w:pPr>
              <w:ind w:left="60"/>
              <w:spacing w:after="0"/>
              <w:rPr>
                <w:sz w:val="20"/>
                <w:szCs w:val="20"/>
                <w:color w:val="auto"/>
              </w:rPr>
            </w:pPr>
            <w:r>
              <w:rPr>
                <w:rFonts w:ascii="Arial" w:cs="Arial" w:eastAsia="Arial" w:hAnsi="Arial"/>
                <w:sz w:val="15"/>
                <w:szCs w:val="15"/>
                <w:color w:val="auto"/>
              </w:rPr>
              <w:t>Performance restricted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5"/>
                <w:szCs w:val="15"/>
                <w:color w:val="auto"/>
              </w:rPr>
              <w:t>4,187,626</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right w:val="single" w:sz="8" w:color="DD924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Borders>
              <w:left w:val="single" w:sz="8" w:color="DD924E"/>
              <w:bottom w:val="single" w:sz="8" w:color="DD924E"/>
            </w:tcBorders>
          </w:tcPr>
          <w:p>
            <w:pPr>
              <w:spacing w:after="0"/>
              <w:rPr>
                <w:sz w:val="17"/>
                <w:szCs w:val="17"/>
                <w:color w:val="auto"/>
              </w:rPr>
            </w:pPr>
          </w:p>
        </w:tc>
        <w:tc>
          <w:tcPr>
            <w:tcW w:w="1700" w:type="dxa"/>
            <w:vAlign w:val="bottom"/>
            <w:tcBorders>
              <w:bottom w:val="single" w:sz="8" w:color="DD924E"/>
            </w:tcBorders>
          </w:tcPr>
          <w:p>
            <w:pPr>
              <w:ind w:left="160"/>
              <w:spacing w:after="0"/>
              <w:rPr>
                <w:sz w:val="20"/>
                <w:szCs w:val="20"/>
                <w:color w:val="auto"/>
              </w:rPr>
            </w:pPr>
            <w:r>
              <w:rPr>
                <w:rFonts w:ascii="Arial" w:cs="Arial" w:eastAsia="Arial" w:hAnsi="Arial"/>
                <w:sz w:val="15"/>
                <w:szCs w:val="15"/>
                <w:color w:val="auto"/>
              </w:rPr>
              <w:t>stock units</w:t>
            </w:r>
          </w:p>
        </w:tc>
        <w:tc>
          <w:tcPr>
            <w:tcW w:w="940" w:type="dxa"/>
            <w:vAlign w:val="bottom"/>
            <w:tcBorders>
              <w:bottom w:val="single" w:sz="8" w:color="DD924E"/>
            </w:tcBorders>
            <w:gridSpan w:val="2"/>
          </w:tcPr>
          <w:p>
            <w:pPr>
              <w:jc w:val="right"/>
              <w:spacing w:after="0"/>
              <w:rPr>
                <w:sz w:val="20"/>
                <w:szCs w:val="20"/>
                <w:color w:val="auto"/>
              </w:rPr>
            </w:pPr>
            <w:r>
              <w:rPr>
                <w:rFonts w:ascii="Arial" w:cs="Arial" w:eastAsia="Arial" w:hAnsi="Arial"/>
                <w:sz w:val="15"/>
                <w:szCs w:val="15"/>
                <w:color w:val="auto"/>
              </w:rPr>
              <w:t>641,400</w:t>
            </w:r>
          </w:p>
        </w:tc>
        <w:tc>
          <w:tcPr>
            <w:tcW w:w="920" w:type="dxa"/>
            <w:vAlign w:val="bottom"/>
            <w:tcBorders>
              <w:bottom w:val="single" w:sz="8" w:color="DD924E"/>
            </w:tcBorders>
            <w:gridSpan w:val="2"/>
          </w:tcPr>
          <w:p>
            <w:pPr>
              <w:jc w:val="right"/>
              <w:spacing w:after="0"/>
              <w:rPr>
                <w:sz w:val="20"/>
                <w:szCs w:val="20"/>
                <w:color w:val="auto"/>
              </w:rPr>
            </w:pPr>
            <w:r>
              <w:rPr>
                <w:rFonts w:ascii="Arial" w:cs="Arial" w:eastAsia="Arial" w:hAnsi="Arial"/>
                <w:sz w:val="15"/>
                <w:szCs w:val="15"/>
                <w:color w:val="auto"/>
              </w:rPr>
              <w:t>1,924,501</w:t>
            </w:r>
          </w:p>
        </w:tc>
        <w:tc>
          <w:tcPr>
            <w:tcW w:w="120" w:type="dxa"/>
            <w:vAlign w:val="bottom"/>
            <w:tcBorders>
              <w:bottom w:val="single" w:sz="8" w:color="DD924E"/>
            </w:tcBorders>
          </w:tcPr>
          <w:p>
            <w:pPr>
              <w:spacing w:after="0"/>
              <w:rPr>
                <w:sz w:val="17"/>
                <w:szCs w:val="17"/>
                <w:color w:val="auto"/>
              </w:rPr>
            </w:pPr>
          </w:p>
        </w:tc>
        <w:tc>
          <w:tcPr>
            <w:tcW w:w="680" w:type="dxa"/>
            <w:vAlign w:val="bottom"/>
            <w:tcBorders>
              <w:bottom w:val="single" w:sz="8" w:color="DD924E"/>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DD924E"/>
            </w:tcBorders>
            <w:gridSpan w:val="2"/>
            <w:vMerge w:val="continue"/>
          </w:tcPr>
          <w:p>
            <w:pPr>
              <w:spacing w:after="0"/>
              <w:rPr>
                <w:sz w:val="17"/>
                <w:szCs w:val="17"/>
                <w:color w:val="auto"/>
              </w:rPr>
            </w:pPr>
          </w:p>
        </w:tc>
        <w:tc>
          <w:tcPr>
            <w:tcW w:w="880" w:type="dxa"/>
            <w:vAlign w:val="bottom"/>
            <w:tcBorders>
              <w:bottom w:val="single" w:sz="8" w:color="DD924E"/>
            </w:tcBorders>
            <w:gridSpan w:val="2"/>
          </w:tcPr>
          <w:p>
            <w:pPr>
              <w:jc w:val="right"/>
              <w:spacing w:after="0"/>
              <w:rPr>
                <w:sz w:val="20"/>
                <w:szCs w:val="20"/>
                <w:color w:val="auto"/>
              </w:rPr>
            </w:pPr>
            <w:r>
              <w:rPr>
                <w:rFonts w:ascii="Arial" w:cs="Arial" w:eastAsia="Arial" w:hAnsi="Arial"/>
                <w:sz w:val="15"/>
                <w:szCs w:val="15"/>
                <w:color w:val="auto"/>
              </w:rPr>
              <w:t>3,734,820</w:t>
            </w:r>
          </w:p>
        </w:tc>
        <w:tc>
          <w:tcPr>
            <w:tcW w:w="2440" w:type="dxa"/>
            <w:vAlign w:val="bottom"/>
            <w:tcBorders>
              <w:bottom w:val="single" w:sz="8" w:color="DD924E"/>
              <w:right w:val="single" w:sz="8" w:color="DD924E"/>
            </w:tcBorders>
            <w:gridSpan w:val="2"/>
          </w:tcPr>
          <w:p>
            <w:pPr>
              <w:jc w:val="right"/>
              <w:ind w:right="12"/>
              <w:spacing w:after="0"/>
              <w:rPr>
                <w:sz w:val="20"/>
                <w:szCs w:val="20"/>
                <w:color w:val="auto"/>
              </w:rPr>
            </w:pPr>
            <w:r>
              <w:rPr>
                <w:rFonts w:ascii="Arial" w:cs="Arial" w:eastAsia="Arial" w:hAnsi="Arial"/>
                <w:sz w:val="15"/>
                <w:szCs w:val="15"/>
                <w:color w:val="auto"/>
              </w:rPr>
              <w:t>4,376,220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130175</wp:posOffset>
            </wp:positionV>
            <wp:extent cx="12865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261" w:lineRule="exact"/>
        <w:rPr>
          <w:sz w:val="20"/>
          <w:szCs w:val="20"/>
          <w:color w:val="auto"/>
        </w:rPr>
      </w:pPr>
    </w:p>
    <w:p>
      <w:pPr>
        <w:jc w:val="both"/>
        <w:ind w:left="840" w:right="59" w:hanging="345"/>
        <w:spacing w:after="0" w:line="239" w:lineRule="auto"/>
        <w:tabs>
          <w:tab w:leader="none" w:pos="8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As described above, upon his termination for good reason or without cause, Mr. Kapoor is treated as having continued his employment for two additional years for purposes of his annual equity awards. The information in this table was calculated assuming target performance over the additional two year-period, however, the actual payment would depend upon the Company’s actual performance following Mr. Kapoor’s termination.</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Vishal Chhibbar</w:t>
      </w:r>
    </w:p>
    <w:p>
      <w:pPr>
        <w:spacing w:after="0" w:line="30"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Either Mr. Chhibbar or we may terminate Mr. Chhibbar’s employment at any time (though we must give Mr. Chhibbar 30 days’ notice if the termination is without “cause” and Mr. Chhibbar must give us 90 days’ advance notice upon any resignation). If Mr. Chhibbar’s employment with the Company is terminated by the Company without “cause” or by Mr. Chhibbar for “good reason,” as summarized below, Mr. Chhibbar will receive a cash severance payment equal to 12 months base salary, with 25% payable as a lump sum payment and the remaining 75% payable in accordance with the Company’s regular payroll practices.</w:t>
      </w:r>
    </w:p>
    <w:p>
      <w:pPr>
        <w:spacing w:after="0" w:line="118" w:lineRule="exact"/>
        <w:rPr>
          <w:sz w:val="20"/>
          <w:szCs w:val="20"/>
          <w:color w:val="auto"/>
        </w:rPr>
      </w:pPr>
    </w:p>
    <w:p>
      <w:pPr>
        <w:jc w:val="both"/>
        <w:ind w:left="160" w:right="59"/>
        <w:spacing w:after="0" w:line="263" w:lineRule="auto"/>
        <w:rPr>
          <w:sz w:val="20"/>
          <w:szCs w:val="20"/>
          <w:color w:val="auto"/>
        </w:rPr>
      </w:pPr>
      <w:r>
        <w:rPr>
          <w:rFonts w:ascii="Arial" w:cs="Arial" w:eastAsia="Arial" w:hAnsi="Arial"/>
          <w:sz w:val="17"/>
          <w:szCs w:val="17"/>
          <w:color w:val="auto"/>
        </w:rPr>
        <w:t>On a “change in control” (as defined in the 2006 Plan or 2015 Plan, as applicable) or on death, Mr. Chhibbar’s outstanding equity awards will vest as described below:</w:t>
      </w:r>
    </w:p>
    <w:p>
      <w:pPr>
        <w:spacing w:after="0" w:line="103" w:lineRule="exact"/>
        <w:rPr>
          <w:sz w:val="20"/>
          <w:szCs w:val="20"/>
          <w:color w:val="auto"/>
        </w:rPr>
      </w:pPr>
    </w:p>
    <w:p>
      <w:pPr>
        <w:jc w:val="both"/>
        <w:ind w:left="1180" w:right="59" w:hanging="347"/>
        <w:spacing w:after="0" w:line="243" w:lineRule="auto"/>
        <w:tabs>
          <w:tab w:leader="none" w:pos="1180" w:val="left"/>
        </w:tabs>
        <w:numPr>
          <w:ilvl w:val="0"/>
          <w:numId w:val="92"/>
        </w:numPr>
        <w:rPr>
          <w:rFonts w:ascii="Arial" w:cs="Arial" w:eastAsia="Arial" w:hAnsi="Arial"/>
          <w:sz w:val="17"/>
          <w:szCs w:val="17"/>
          <w:color w:val="DD924E"/>
        </w:rPr>
      </w:pPr>
      <w:r>
        <w:rPr>
          <w:rFonts w:ascii="Arial" w:cs="Arial" w:eastAsia="Arial" w:hAnsi="Arial"/>
          <w:sz w:val="17"/>
          <w:szCs w:val="17"/>
          <w:b w:val="1"/>
          <w:bCs w:val="1"/>
          <w:i w:val="1"/>
          <w:iCs w:val="1"/>
          <w:color w:val="auto"/>
        </w:rPr>
        <w:t xml:space="preserve">Time-Vested RSUs: </w:t>
      </w:r>
      <w:r>
        <w:rPr>
          <w:rFonts w:ascii="Arial" w:cs="Arial" w:eastAsia="Arial" w:hAnsi="Arial"/>
          <w:sz w:val="17"/>
          <w:szCs w:val="17"/>
          <w:color w:val="auto"/>
        </w:rPr>
        <w:t>If a change in control occurs prior to the end of the four-year vesting period,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Chhibbar’s Time-Vested RSUs will be advanced by one year. In addition, all of Mr. Chhibbar’s outstanding Time-Vested RSUs will become fully vested if, following or in specific contemplation of a change in control, he is terminated without cause or, following a change in control, he terminates his employment for good reason. For the 2017 award only, if Mr. Chhibbar dies before the end of the four-year vesting period, all of Mr. Chhibbar’s outstanding Time-Vested RSUs will become fully vested.</w:t>
      </w:r>
    </w:p>
    <w:p>
      <w:pPr>
        <w:spacing w:after="0" w:line="107" w:lineRule="exact"/>
        <w:rPr>
          <w:rFonts w:ascii="Arial" w:cs="Arial" w:eastAsia="Arial" w:hAnsi="Arial"/>
          <w:sz w:val="17"/>
          <w:szCs w:val="17"/>
          <w:color w:val="DD924E"/>
        </w:rPr>
      </w:pPr>
    </w:p>
    <w:p>
      <w:pPr>
        <w:jc w:val="both"/>
        <w:ind w:left="1180" w:right="59" w:hanging="347"/>
        <w:spacing w:after="0"/>
        <w:tabs>
          <w:tab w:leader="none" w:pos="1180" w:val="left"/>
        </w:tabs>
        <w:numPr>
          <w:ilvl w:val="0"/>
          <w:numId w:val="92"/>
        </w:numPr>
        <w:rPr>
          <w:rFonts w:ascii="Arial" w:cs="Arial" w:eastAsia="Arial" w:hAnsi="Arial"/>
          <w:sz w:val="17"/>
          <w:szCs w:val="17"/>
          <w:color w:val="DD924E"/>
        </w:rPr>
      </w:pPr>
      <w:r>
        <w:rPr>
          <w:rFonts w:ascii="Arial" w:cs="Arial" w:eastAsia="Arial" w:hAnsi="Arial"/>
          <w:sz w:val="17"/>
          <w:szCs w:val="17"/>
          <w:b w:val="1"/>
          <w:bCs w:val="1"/>
          <w:i w:val="1"/>
          <w:iCs w:val="1"/>
          <w:color w:val="auto"/>
        </w:rPr>
        <w:t xml:space="preserve">Revenue-Linked PRSUs: </w:t>
      </w:r>
      <w:r>
        <w:rPr>
          <w:rFonts w:ascii="Arial" w:cs="Arial" w:eastAsia="Arial" w:hAnsi="Arial"/>
          <w:sz w:val="17"/>
          <w:szCs w:val="17"/>
          <w:color w:val="auto"/>
        </w:rPr>
        <w:t>If a change in control occurs prior to the end of the performance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100% of Mr. Chhibbar’s Revenue-Linked PRSUs will be deemed earned, will be subject to a new three year installment vesting schedule and will be advanced by one year under such schedule. In addition, all of Mr. Chhibbar’s outstanding Revenue-Linked PRSUs will become fully vested if, following or in specific contemplation of a change in control, he is terminated without cause or, following a change in control, he (i) terminates his employment for good reason or, (ii) solely with respect to the 2017 award, dies. Solely with respect to the 2017 award, if Mr. Chhibbar dies prior to the end of the performance period and no change in control has occurred, Mr. Chhibbar will become vested in a portion of the outstanding Revenue-Linked PRSUs equal to (x)</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2" w:name="page63"/>
    <w:bookmarkEnd w:id="62"/>
    <w:p>
      <w:pPr>
        <w:spacing w:after="0" w:line="5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number of completed full months during the 3 year performance period up to the date of Mr.</w:t>
      </w:r>
    </w:p>
    <w:p>
      <w:pPr>
        <w:ind w:left="1180"/>
        <w:spacing w:after="0"/>
        <w:rPr>
          <w:sz w:val="20"/>
          <w:szCs w:val="20"/>
          <w:color w:val="auto"/>
        </w:rPr>
      </w:pPr>
      <w:r>
        <w:rPr>
          <w:rFonts w:ascii="Arial" w:cs="Arial" w:eastAsia="Arial" w:hAnsi="Arial"/>
          <w:sz w:val="17"/>
          <w:szCs w:val="17"/>
          <w:color w:val="auto"/>
        </w:rPr>
        <w:t>Chhibbar’s death divided by (y) 36 multiplied by (z) 100% of Mr. Chhibbar’s Revenue-Linked PRSUs.</w:t>
      </w:r>
    </w:p>
    <w:p>
      <w:pPr>
        <w:spacing w:after="0" w:line="105" w:lineRule="exact"/>
        <w:rPr>
          <w:sz w:val="20"/>
          <w:szCs w:val="20"/>
          <w:color w:val="auto"/>
        </w:rPr>
      </w:pPr>
    </w:p>
    <w:p>
      <w:pPr>
        <w:jc w:val="both"/>
        <w:ind w:left="1180" w:right="59" w:hanging="347"/>
        <w:spacing w:after="0" w:line="238" w:lineRule="auto"/>
        <w:tabs>
          <w:tab w:leader="none" w:pos="1180" w:val="left"/>
        </w:tabs>
        <w:numPr>
          <w:ilvl w:val="0"/>
          <w:numId w:val="93"/>
        </w:numPr>
        <w:rPr>
          <w:rFonts w:ascii="Arial" w:cs="Arial" w:eastAsia="Arial" w:hAnsi="Arial"/>
          <w:sz w:val="17"/>
          <w:szCs w:val="17"/>
          <w:color w:val="DD924E"/>
        </w:rPr>
      </w:pPr>
      <w:r>
        <w:rPr>
          <w:rFonts w:ascii="Arial" w:cs="Arial" w:eastAsia="Arial" w:hAnsi="Arial"/>
          <w:sz w:val="17"/>
          <w:szCs w:val="17"/>
          <w:b w:val="1"/>
          <w:bCs w:val="1"/>
          <w:i w:val="1"/>
          <w:iCs w:val="1"/>
          <w:color w:val="auto"/>
        </w:rPr>
        <w:t xml:space="preserve">Relative TSR-Linked PRSUs: </w:t>
      </w:r>
      <w:r>
        <w:rPr>
          <w:rFonts w:ascii="Arial" w:cs="Arial" w:eastAsia="Arial" w:hAnsi="Arial"/>
          <w:sz w:val="17"/>
          <w:szCs w:val="17"/>
          <w:color w:val="auto"/>
        </w:rPr>
        <w:t>If a change in control occurs on or prior to the first anniversary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 date, 100% of Mr. Chhibbar’s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 year under such schedule. In addition, all of Mr. Chhibbar’s outstanding, earned TSR-Linked PRSUs will become fully vested if, following or in specific contemplation of a change in control, he is terminated without cause or, following a change in control, he (i) voluntarily terminates his employment for good reason or, (ii) solely with respect to the 2017 award, dies. Solely with respect to the 2017 award, if Mr. Chhibbar dies prior to the end of the performance period and no change in control has occurred, Mr. Chhibbar will become vested in a portion of the outstanding Relative TSR-Linked PRSUs equal to (x) the number of completed full months during the 3 year performance period up to the date of Mr. Chhibbar’s death divided by (y) 36 multiplied by (z) 100% of Mr. Chhibbar’s Relative TSR-Linked PRSUs.</w:t>
      </w:r>
    </w:p>
    <w:p>
      <w:pPr>
        <w:spacing w:after="0" w:line="138" w:lineRule="exact"/>
        <w:rPr>
          <w:sz w:val="20"/>
          <w:szCs w:val="20"/>
          <w:color w:val="auto"/>
        </w:rPr>
      </w:pPr>
    </w:p>
    <w:p>
      <w:pPr>
        <w:jc w:val="both"/>
        <w:ind w:left="160" w:right="59"/>
        <w:spacing w:after="0" w:line="255" w:lineRule="auto"/>
        <w:rPr>
          <w:sz w:val="20"/>
          <w:szCs w:val="20"/>
          <w:color w:val="auto"/>
        </w:rPr>
      </w:pPr>
      <w:r>
        <w:rPr>
          <w:rFonts w:ascii="Arial" w:cs="Arial" w:eastAsia="Arial" w:hAnsi="Arial"/>
          <w:sz w:val="17"/>
          <w:szCs w:val="17"/>
          <w:color w:val="auto"/>
        </w:rPr>
        <w:t>Mr. Chhibbar’s severance payments and termination-related equity acceleration are subject to his execution of a release of claims against us. Mr. Chhibbar is subject to confidentiality restrictions at all times, as well as noncompetition, nondisparagement and nonsolicitation restrictions during his employment and for one year thereafter.</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Indicative Payouts of Vishal Chhibbar</w:t>
      </w:r>
    </w:p>
    <w:p>
      <w:pPr>
        <w:spacing w:after="0" w:line="159" w:lineRule="exact"/>
        <w:rPr>
          <w:sz w:val="20"/>
          <w:szCs w:val="20"/>
          <w:color w:val="auto"/>
        </w:rPr>
      </w:pPr>
    </w:p>
    <w:tbl>
      <w:tblPr>
        <w:tblLayout w:type="fixed"/>
        <w:tblInd w:w="170" w:type="dxa"/>
        <w:tblCellMar>
          <w:top w:w="0" w:type="dxa"/>
          <w:left w:w="0" w:type="dxa"/>
          <w:bottom w:w="0" w:type="dxa"/>
          <w:right w:w="0" w:type="dxa"/>
        </w:tblCellMar>
      </w:tblPr>
      <w:tr>
        <w:trPr>
          <w:trHeight w:val="181"/>
        </w:trPr>
        <w:tc>
          <w:tcPr>
            <w:tcW w:w="60" w:type="dxa"/>
            <w:vAlign w:val="bottom"/>
            <w:tcBorders>
              <w:left w:val="single" w:sz="8" w:color="DD924E"/>
            </w:tcBorders>
            <w:shd w:val="clear" w:color="auto" w:fill="DD924E"/>
          </w:tcPr>
          <w:p>
            <w:pPr>
              <w:spacing w:after="0"/>
              <w:rPr>
                <w:sz w:val="15"/>
                <w:szCs w:val="15"/>
                <w:color w:val="auto"/>
              </w:rPr>
            </w:pPr>
          </w:p>
        </w:tc>
        <w:tc>
          <w:tcPr>
            <w:tcW w:w="1860" w:type="dxa"/>
            <w:vAlign w:val="bottom"/>
            <w:shd w:val="clear" w:color="auto" w:fill="DD924E"/>
          </w:tcPr>
          <w:p>
            <w:pPr>
              <w:spacing w:after="0"/>
              <w:rPr>
                <w:sz w:val="15"/>
                <w:szCs w:val="15"/>
                <w:color w:val="auto"/>
              </w:rPr>
            </w:pPr>
          </w:p>
        </w:tc>
        <w:tc>
          <w:tcPr>
            <w:tcW w:w="80" w:type="dxa"/>
            <w:vAlign w:val="bottom"/>
            <w:shd w:val="clear" w:color="auto" w:fill="DD924E"/>
          </w:tcPr>
          <w:p>
            <w:pPr>
              <w:spacing w:after="0"/>
              <w:rPr>
                <w:sz w:val="15"/>
                <w:szCs w:val="15"/>
                <w:color w:val="auto"/>
              </w:rPr>
            </w:pPr>
          </w:p>
        </w:tc>
        <w:tc>
          <w:tcPr>
            <w:tcW w:w="78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Death</w:t>
            </w:r>
          </w:p>
        </w:tc>
        <w:tc>
          <w:tcPr>
            <w:tcW w:w="60" w:type="dxa"/>
            <w:vAlign w:val="bottom"/>
            <w:shd w:val="clear" w:color="auto" w:fill="DD924E"/>
          </w:tcPr>
          <w:p>
            <w:pPr>
              <w:spacing w:after="0"/>
              <w:rPr>
                <w:sz w:val="15"/>
                <w:szCs w:val="15"/>
                <w:color w:val="auto"/>
              </w:rPr>
            </w:pPr>
          </w:p>
        </w:tc>
        <w:tc>
          <w:tcPr>
            <w:tcW w:w="78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2"/>
              </w:rPr>
              <w:t>Death</w:t>
            </w:r>
          </w:p>
        </w:tc>
        <w:tc>
          <w:tcPr>
            <w:tcW w:w="80" w:type="dxa"/>
            <w:vAlign w:val="bottom"/>
            <w:shd w:val="clear" w:color="auto" w:fill="DD924E"/>
          </w:tcPr>
          <w:p>
            <w:pPr>
              <w:spacing w:after="0"/>
              <w:rPr>
                <w:sz w:val="15"/>
                <w:szCs w:val="15"/>
                <w:color w:val="auto"/>
              </w:rPr>
            </w:pPr>
          </w:p>
        </w:tc>
        <w:tc>
          <w:tcPr>
            <w:tcW w:w="1180" w:type="dxa"/>
            <w:vAlign w:val="bottom"/>
            <w:shd w:val="clear" w:color="auto" w:fill="DD924E"/>
          </w:tcPr>
          <w:p>
            <w:pPr>
              <w:spacing w:after="0"/>
              <w:rPr>
                <w:sz w:val="15"/>
                <w:szCs w:val="15"/>
                <w:color w:val="auto"/>
              </w:rPr>
            </w:pPr>
          </w:p>
        </w:tc>
        <w:tc>
          <w:tcPr>
            <w:tcW w:w="80" w:type="dxa"/>
            <w:vAlign w:val="bottom"/>
            <w:shd w:val="clear" w:color="auto" w:fill="DD924E"/>
          </w:tcPr>
          <w:p>
            <w:pPr>
              <w:spacing w:after="0"/>
              <w:rPr>
                <w:sz w:val="15"/>
                <w:szCs w:val="15"/>
                <w:color w:val="auto"/>
              </w:rPr>
            </w:pPr>
          </w:p>
        </w:tc>
        <w:tc>
          <w:tcPr>
            <w:tcW w:w="800" w:type="dxa"/>
            <w:vAlign w:val="bottom"/>
            <w:shd w:val="clear" w:color="auto" w:fill="DD924E"/>
          </w:tcPr>
          <w:p>
            <w:pPr>
              <w:spacing w:after="0"/>
              <w:rPr>
                <w:sz w:val="15"/>
                <w:szCs w:val="15"/>
                <w:color w:val="auto"/>
              </w:rPr>
            </w:pPr>
          </w:p>
        </w:tc>
        <w:tc>
          <w:tcPr>
            <w:tcW w:w="60" w:type="dxa"/>
            <w:vAlign w:val="bottom"/>
            <w:shd w:val="clear" w:color="auto" w:fill="DD924E"/>
          </w:tcPr>
          <w:p>
            <w:pPr>
              <w:spacing w:after="0"/>
              <w:rPr>
                <w:sz w:val="15"/>
                <w:szCs w:val="15"/>
                <w:color w:val="auto"/>
              </w:rPr>
            </w:pPr>
          </w:p>
        </w:tc>
        <w:tc>
          <w:tcPr>
            <w:tcW w:w="2980" w:type="dxa"/>
            <w:vAlign w:val="bottom"/>
            <w:tcBorders>
              <w:right w:val="single" w:sz="8" w:color="DD924E"/>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Termination Without Cause or for Good</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860" w:type="dxa"/>
            <w:vAlign w:val="bottom"/>
            <w:shd w:val="clear" w:color="auto" w:fill="DD924E"/>
          </w:tcPr>
          <w:p>
            <w:pPr>
              <w:spacing w:after="0"/>
              <w:rPr>
                <w:sz w:val="13"/>
                <w:szCs w:val="13"/>
                <w:color w:val="auto"/>
              </w:rPr>
            </w:pPr>
          </w:p>
        </w:tc>
        <w:tc>
          <w:tcPr>
            <w:tcW w:w="8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Prior to a</w:t>
            </w:r>
          </w:p>
        </w:tc>
        <w:tc>
          <w:tcPr>
            <w:tcW w:w="6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9"/>
              </w:rPr>
              <w:t>After a</w:t>
            </w:r>
          </w:p>
        </w:tc>
        <w:tc>
          <w:tcPr>
            <w:tcW w:w="80" w:type="dxa"/>
            <w:vAlign w:val="bottom"/>
            <w:shd w:val="clear" w:color="auto" w:fill="DD924E"/>
          </w:tcPr>
          <w:p>
            <w:pPr>
              <w:spacing w:after="0"/>
              <w:rPr>
                <w:sz w:val="13"/>
                <w:szCs w:val="13"/>
                <w:color w:val="auto"/>
              </w:rPr>
            </w:pPr>
          </w:p>
        </w:tc>
        <w:tc>
          <w:tcPr>
            <w:tcW w:w="11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5"/>
              </w:rPr>
              <w:t>Termination for</w:t>
            </w:r>
          </w:p>
        </w:tc>
        <w:tc>
          <w:tcPr>
            <w:tcW w:w="80" w:type="dxa"/>
            <w:vAlign w:val="bottom"/>
            <w:shd w:val="clear" w:color="auto" w:fill="DD924E"/>
          </w:tcPr>
          <w:p>
            <w:pPr>
              <w:spacing w:after="0"/>
              <w:rPr>
                <w:sz w:val="13"/>
                <w:szCs w:val="13"/>
                <w:color w:val="auto"/>
              </w:rPr>
            </w:pPr>
          </w:p>
        </w:tc>
        <w:tc>
          <w:tcPr>
            <w:tcW w:w="80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2980" w:type="dxa"/>
            <w:vAlign w:val="bottom"/>
            <w:tcBorders>
              <w:right w:val="single" w:sz="8" w:color="DD924E"/>
            </w:tcBorders>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Reason Following Change in Control or</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860" w:type="dxa"/>
            <w:vAlign w:val="bottom"/>
            <w:shd w:val="clear" w:color="auto" w:fill="DD924E"/>
          </w:tcPr>
          <w:p>
            <w:pPr>
              <w:spacing w:after="0"/>
              <w:rPr>
                <w:sz w:val="13"/>
                <w:szCs w:val="13"/>
                <w:color w:val="auto"/>
              </w:rPr>
            </w:pPr>
          </w:p>
        </w:tc>
        <w:tc>
          <w:tcPr>
            <w:tcW w:w="8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Change</w:t>
            </w:r>
          </w:p>
        </w:tc>
        <w:tc>
          <w:tcPr>
            <w:tcW w:w="6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rPr>
              <w:t>Change</w:t>
            </w:r>
          </w:p>
        </w:tc>
        <w:tc>
          <w:tcPr>
            <w:tcW w:w="80" w:type="dxa"/>
            <w:vAlign w:val="bottom"/>
            <w:shd w:val="clear" w:color="auto" w:fill="DD924E"/>
          </w:tcPr>
          <w:p>
            <w:pPr>
              <w:spacing w:after="0"/>
              <w:rPr>
                <w:sz w:val="13"/>
                <w:szCs w:val="13"/>
                <w:color w:val="auto"/>
              </w:rPr>
            </w:pPr>
          </w:p>
        </w:tc>
        <w:tc>
          <w:tcPr>
            <w:tcW w:w="11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Good Reason or</w:t>
            </w:r>
          </w:p>
        </w:tc>
        <w:tc>
          <w:tcPr>
            <w:tcW w:w="80" w:type="dxa"/>
            <w:vAlign w:val="bottom"/>
            <w:shd w:val="clear" w:color="auto" w:fill="DD924E"/>
          </w:tcPr>
          <w:p>
            <w:pPr>
              <w:spacing w:after="0"/>
              <w:rPr>
                <w:sz w:val="13"/>
                <w:szCs w:val="13"/>
                <w:color w:val="auto"/>
              </w:rPr>
            </w:pPr>
          </w:p>
        </w:tc>
        <w:tc>
          <w:tcPr>
            <w:tcW w:w="8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Change in</w:t>
            </w:r>
          </w:p>
        </w:tc>
        <w:tc>
          <w:tcPr>
            <w:tcW w:w="60" w:type="dxa"/>
            <w:vAlign w:val="bottom"/>
            <w:shd w:val="clear" w:color="auto" w:fill="DD924E"/>
          </w:tcPr>
          <w:p>
            <w:pPr>
              <w:spacing w:after="0"/>
              <w:rPr>
                <w:sz w:val="13"/>
                <w:szCs w:val="13"/>
                <w:color w:val="auto"/>
              </w:rPr>
            </w:pPr>
          </w:p>
        </w:tc>
        <w:tc>
          <w:tcPr>
            <w:tcW w:w="2980" w:type="dxa"/>
            <w:vAlign w:val="bottom"/>
            <w:tcBorders>
              <w:right w:val="single" w:sz="8" w:color="DD924E"/>
            </w:tcBorders>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Termination Without Cause in Specific</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8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Payments upon</w:t>
            </w:r>
          </w:p>
        </w:tc>
        <w:tc>
          <w:tcPr>
            <w:tcW w:w="8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in Control</w:t>
            </w:r>
          </w:p>
        </w:tc>
        <w:tc>
          <w:tcPr>
            <w:tcW w:w="6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in Control</w:t>
            </w:r>
          </w:p>
        </w:tc>
        <w:tc>
          <w:tcPr>
            <w:tcW w:w="80" w:type="dxa"/>
            <w:vAlign w:val="bottom"/>
            <w:shd w:val="clear" w:color="auto" w:fill="DD924E"/>
          </w:tcPr>
          <w:p>
            <w:pPr>
              <w:spacing w:after="0"/>
              <w:rPr>
                <w:sz w:val="13"/>
                <w:szCs w:val="13"/>
                <w:color w:val="auto"/>
              </w:rPr>
            </w:pPr>
          </w:p>
        </w:tc>
        <w:tc>
          <w:tcPr>
            <w:tcW w:w="11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5"/>
              </w:rPr>
              <w:t>Without Cause</w:t>
            </w:r>
          </w:p>
        </w:tc>
        <w:tc>
          <w:tcPr>
            <w:tcW w:w="80" w:type="dxa"/>
            <w:vAlign w:val="bottom"/>
            <w:shd w:val="clear" w:color="auto" w:fill="DD924E"/>
          </w:tcPr>
          <w:p>
            <w:pPr>
              <w:spacing w:after="0"/>
              <w:rPr>
                <w:sz w:val="13"/>
                <w:szCs w:val="13"/>
                <w:color w:val="auto"/>
              </w:rPr>
            </w:pPr>
          </w:p>
        </w:tc>
        <w:tc>
          <w:tcPr>
            <w:tcW w:w="8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Control</w:t>
            </w:r>
          </w:p>
        </w:tc>
        <w:tc>
          <w:tcPr>
            <w:tcW w:w="60" w:type="dxa"/>
            <w:vAlign w:val="bottom"/>
            <w:shd w:val="clear" w:color="auto" w:fill="DD924E"/>
          </w:tcPr>
          <w:p>
            <w:pPr>
              <w:spacing w:after="0"/>
              <w:rPr>
                <w:sz w:val="13"/>
                <w:szCs w:val="13"/>
                <w:color w:val="auto"/>
              </w:rPr>
            </w:pPr>
          </w:p>
        </w:tc>
        <w:tc>
          <w:tcPr>
            <w:tcW w:w="2980" w:type="dxa"/>
            <w:vAlign w:val="bottom"/>
            <w:tcBorders>
              <w:right w:val="single" w:sz="8" w:color="DD924E"/>
            </w:tcBorders>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8"/>
              </w:rPr>
              <w:t>Contemplation of Change in Control</w:t>
            </w:r>
          </w:p>
        </w:tc>
      </w:tr>
      <w:tr>
        <w:trPr>
          <w:trHeight w:val="184"/>
        </w:trPr>
        <w:tc>
          <w:tcPr>
            <w:tcW w:w="60" w:type="dxa"/>
            <w:vAlign w:val="bottom"/>
            <w:tcBorders>
              <w:left w:val="single" w:sz="8" w:color="DD924E"/>
              <w:bottom w:val="single" w:sz="8" w:color="DD924E"/>
            </w:tcBorders>
            <w:shd w:val="clear" w:color="auto" w:fill="DD924E"/>
          </w:tcPr>
          <w:p>
            <w:pPr>
              <w:spacing w:after="0"/>
              <w:rPr>
                <w:sz w:val="15"/>
                <w:szCs w:val="15"/>
                <w:color w:val="auto"/>
              </w:rPr>
            </w:pPr>
          </w:p>
        </w:tc>
        <w:tc>
          <w:tcPr>
            <w:tcW w:w="186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Termination</w:t>
            </w:r>
          </w:p>
        </w:tc>
        <w:tc>
          <w:tcPr>
            <w:tcW w:w="80" w:type="dxa"/>
            <w:vAlign w:val="bottom"/>
            <w:tcBorders>
              <w:bottom w:val="single" w:sz="8" w:color="DD924E"/>
            </w:tcBorders>
            <w:shd w:val="clear" w:color="auto" w:fill="DD924E"/>
          </w:tcPr>
          <w:p>
            <w:pPr>
              <w:spacing w:after="0"/>
              <w:rPr>
                <w:sz w:val="15"/>
                <w:szCs w:val="15"/>
                <w:color w:val="auto"/>
              </w:rPr>
            </w:pPr>
          </w:p>
        </w:tc>
        <w:tc>
          <w:tcPr>
            <w:tcW w:w="78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3"/>
              </w:rPr>
              <w:t>($)</w:t>
            </w:r>
          </w:p>
        </w:tc>
        <w:tc>
          <w:tcPr>
            <w:tcW w:w="60" w:type="dxa"/>
            <w:vAlign w:val="bottom"/>
            <w:tcBorders>
              <w:bottom w:val="single" w:sz="8" w:color="DD924E"/>
            </w:tcBorders>
            <w:shd w:val="clear" w:color="auto" w:fill="DD924E"/>
          </w:tcPr>
          <w:p>
            <w:pPr>
              <w:spacing w:after="0"/>
              <w:rPr>
                <w:sz w:val="15"/>
                <w:szCs w:val="15"/>
                <w:color w:val="auto"/>
              </w:rPr>
            </w:pPr>
          </w:p>
        </w:tc>
        <w:tc>
          <w:tcPr>
            <w:tcW w:w="78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3"/>
              </w:rPr>
              <w:t>($)</w:t>
            </w:r>
          </w:p>
        </w:tc>
        <w:tc>
          <w:tcPr>
            <w:tcW w:w="80" w:type="dxa"/>
            <w:vAlign w:val="bottom"/>
            <w:tcBorders>
              <w:bottom w:val="single" w:sz="8" w:color="DD924E"/>
            </w:tcBorders>
            <w:shd w:val="clear" w:color="auto" w:fill="DD924E"/>
          </w:tcPr>
          <w:p>
            <w:pPr>
              <w:spacing w:after="0"/>
              <w:rPr>
                <w:sz w:val="15"/>
                <w:szCs w:val="15"/>
                <w:color w:val="auto"/>
              </w:rPr>
            </w:pPr>
          </w:p>
        </w:tc>
        <w:tc>
          <w:tcPr>
            <w:tcW w:w="118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D924E"/>
            </w:tcBorders>
            <w:shd w:val="clear" w:color="auto" w:fill="DD924E"/>
          </w:tcPr>
          <w:p>
            <w:pPr>
              <w:spacing w:after="0"/>
              <w:rPr>
                <w:sz w:val="15"/>
                <w:szCs w:val="15"/>
                <w:color w:val="auto"/>
              </w:rPr>
            </w:pPr>
          </w:p>
        </w:tc>
        <w:tc>
          <w:tcPr>
            <w:tcW w:w="80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3"/>
              </w:rPr>
              <w:t>($)</w:t>
            </w:r>
          </w:p>
        </w:tc>
        <w:tc>
          <w:tcPr>
            <w:tcW w:w="60" w:type="dxa"/>
            <w:vAlign w:val="bottom"/>
            <w:tcBorders>
              <w:bottom w:val="single" w:sz="8" w:color="DD924E"/>
            </w:tcBorders>
            <w:shd w:val="clear" w:color="auto" w:fill="DD924E"/>
          </w:tcPr>
          <w:p>
            <w:pPr>
              <w:spacing w:after="0"/>
              <w:rPr>
                <w:sz w:val="15"/>
                <w:szCs w:val="15"/>
                <w:color w:val="auto"/>
              </w:rPr>
            </w:pPr>
          </w:p>
        </w:tc>
        <w:tc>
          <w:tcPr>
            <w:tcW w:w="2980" w:type="dxa"/>
            <w:vAlign w:val="bottom"/>
            <w:tcBorders>
              <w:bottom w:val="single" w:sz="8" w:color="auto"/>
              <w:right w:val="single" w:sz="8" w:color="DD924E"/>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205"/>
        </w:trPr>
        <w:tc>
          <w:tcPr>
            <w:tcW w:w="192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Base salary payout</w:t>
            </w:r>
          </w:p>
        </w:tc>
        <w:tc>
          <w:tcPr>
            <w:tcW w:w="80" w:type="dxa"/>
            <w:vAlign w:val="bottom"/>
            <w:shd w:val="clear" w:color="auto" w:fill="FBF4ED"/>
          </w:tcPr>
          <w:p>
            <w:pPr>
              <w:spacing w:after="0"/>
              <w:rPr>
                <w:sz w:val="17"/>
                <w:szCs w:val="17"/>
                <w:color w:val="auto"/>
              </w:rPr>
            </w:pPr>
          </w:p>
        </w:tc>
        <w:tc>
          <w:tcPr>
            <w:tcW w:w="7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BF4ED"/>
          </w:tcPr>
          <w:p>
            <w:pPr>
              <w:spacing w:after="0"/>
              <w:rPr>
                <w:sz w:val="17"/>
                <w:szCs w:val="17"/>
                <w:color w:val="auto"/>
              </w:rPr>
            </w:pPr>
          </w:p>
        </w:tc>
        <w:tc>
          <w:tcPr>
            <w:tcW w:w="7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400,000</w:t>
            </w:r>
          </w:p>
        </w:tc>
        <w:tc>
          <w:tcPr>
            <w:tcW w:w="80" w:type="dxa"/>
            <w:vAlign w:val="bottom"/>
            <w:shd w:val="clear" w:color="auto" w:fill="FBF4ED"/>
          </w:tcPr>
          <w:p>
            <w:pPr>
              <w:spacing w:after="0"/>
              <w:rPr>
                <w:sz w:val="17"/>
                <w:szCs w:val="17"/>
                <w:color w:val="auto"/>
              </w:rPr>
            </w:pPr>
          </w:p>
        </w:tc>
        <w:tc>
          <w:tcPr>
            <w:tcW w:w="80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3040" w:type="dxa"/>
            <w:vAlign w:val="bottom"/>
            <w:tcBorders>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4"/>
                <w:szCs w:val="14"/>
                <w:color w:val="auto"/>
              </w:rPr>
              <w:t>400,000</w:t>
            </w:r>
          </w:p>
        </w:tc>
      </w:tr>
      <w:tr>
        <w:trPr>
          <w:trHeight w:val="199"/>
        </w:trPr>
        <w:tc>
          <w:tcPr>
            <w:tcW w:w="1920" w:type="dxa"/>
            <w:vAlign w:val="bottom"/>
            <w:tcBorders>
              <w:left w:val="single" w:sz="8" w:color="DD924E"/>
            </w:tcBorders>
            <w:gridSpan w:val="2"/>
          </w:tcPr>
          <w:p>
            <w:pPr>
              <w:ind w:left="60"/>
              <w:spacing w:after="0"/>
              <w:rPr>
                <w:sz w:val="20"/>
                <w:szCs w:val="20"/>
                <w:color w:val="auto"/>
              </w:rPr>
            </w:pPr>
            <w:r>
              <w:rPr>
                <w:rFonts w:ascii="Arial" w:cs="Arial" w:eastAsia="Arial" w:hAnsi="Arial"/>
                <w:sz w:val="14"/>
                <w:szCs w:val="14"/>
                <w:color w:val="auto"/>
              </w:rPr>
              <w:t>Restricted stock units</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439,046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439,046</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520,142</w:t>
            </w:r>
          </w:p>
        </w:tc>
        <w:tc>
          <w:tcPr>
            <w:tcW w:w="304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4"/>
                <w:szCs w:val="14"/>
                <w:color w:val="auto"/>
              </w:rPr>
              <w:t>1,241,701</w:t>
            </w:r>
          </w:p>
        </w:tc>
      </w:tr>
      <w:tr>
        <w:trPr>
          <w:trHeight w:val="228"/>
        </w:trPr>
        <w:tc>
          <w:tcPr>
            <w:tcW w:w="192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Performance restricted</w:t>
            </w:r>
          </w:p>
        </w:tc>
        <w:tc>
          <w:tcPr>
            <w:tcW w:w="80" w:type="dxa"/>
            <w:vAlign w:val="bottom"/>
            <w:shd w:val="clear" w:color="auto" w:fill="FBF4ED"/>
          </w:tcPr>
          <w:p>
            <w:pPr>
              <w:spacing w:after="0"/>
              <w:rPr>
                <w:sz w:val="19"/>
                <w:szCs w:val="19"/>
                <w:color w:val="auto"/>
              </w:rPr>
            </w:pPr>
          </w:p>
        </w:tc>
        <w:tc>
          <w:tcPr>
            <w:tcW w:w="78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780" w:type="dxa"/>
            <w:vAlign w:val="bottom"/>
            <w:shd w:val="clear" w:color="auto" w:fill="FBF4ED"/>
          </w:tcPr>
          <w:p>
            <w:pPr>
              <w:spacing w:after="0"/>
              <w:rPr>
                <w:sz w:val="19"/>
                <w:szCs w:val="19"/>
                <w:color w:val="auto"/>
              </w:rPr>
            </w:pPr>
          </w:p>
        </w:tc>
        <w:tc>
          <w:tcPr>
            <w:tcW w:w="80" w:type="dxa"/>
            <w:vAlign w:val="bottom"/>
            <w:shd w:val="clear" w:color="auto" w:fill="FBF4ED"/>
          </w:tcPr>
          <w:p>
            <w:pPr>
              <w:spacing w:after="0"/>
              <w:rPr>
                <w:sz w:val="19"/>
                <w:szCs w:val="19"/>
                <w:color w:val="auto"/>
              </w:rPr>
            </w:pPr>
          </w:p>
        </w:tc>
        <w:tc>
          <w:tcPr>
            <w:tcW w:w="1180" w:type="dxa"/>
            <w:vAlign w:val="bottom"/>
            <w:shd w:val="clear" w:color="auto" w:fill="FBF4ED"/>
          </w:tcPr>
          <w:p>
            <w:pPr>
              <w:spacing w:after="0"/>
              <w:rPr>
                <w:sz w:val="19"/>
                <w:szCs w:val="19"/>
                <w:color w:val="auto"/>
              </w:rPr>
            </w:pPr>
          </w:p>
        </w:tc>
        <w:tc>
          <w:tcPr>
            <w:tcW w:w="80" w:type="dxa"/>
            <w:vAlign w:val="bottom"/>
            <w:shd w:val="clear" w:color="auto" w:fill="FBF4ED"/>
          </w:tcPr>
          <w:p>
            <w:pPr>
              <w:spacing w:after="0"/>
              <w:rPr>
                <w:sz w:val="19"/>
                <w:szCs w:val="19"/>
                <w:color w:val="auto"/>
              </w:rPr>
            </w:pPr>
          </w:p>
        </w:tc>
        <w:tc>
          <w:tcPr>
            <w:tcW w:w="800" w:type="dxa"/>
            <w:vAlign w:val="bottom"/>
            <w:shd w:val="clear" w:color="auto" w:fill="FBF4ED"/>
          </w:tcPr>
          <w:p>
            <w:pPr>
              <w:spacing w:after="0"/>
              <w:rPr>
                <w:sz w:val="19"/>
                <w:szCs w:val="19"/>
                <w:color w:val="auto"/>
              </w:rPr>
            </w:pPr>
          </w:p>
        </w:tc>
        <w:tc>
          <w:tcPr>
            <w:tcW w:w="60" w:type="dxa"/>
            <w:vAlign w:val="bottom"/>
            <w:shd w:val="clear" w:color="auto" w:fill="FBF4ED"/>
          </w:tcPr>
          <w:p>
            <w:pPr>
              <w:spacing w:after="0"/>
              <w:rPr>
                <w:sz w:val="19"/>
                <w:szCs w:val="19"/>
                <w:color w:val="auto"/>
              </w:rPr>
            </w:pPr>
          </w:p>
        </w:tc>
        <w:tc>
          <w:tcPr>
            <w:tcW w:w="2980" w:type="dxa"/>
            <w:vAlign w:val="bottom"/>
            <w:tcBorders>
              <w:right w:val="single" w:sz="8" w:color="DD924E"/>
            </w:tcBorders>
            <w:shd w:val="clear" w:color="auto" w:fill="FBF4ED"/>
          </w:tcPr>
          <w:p>
            <w:pPr>
              <w:spacing w:after="0"/>
              <w:rPr>
                <w:sz w:val="19"/>
                <w:szCs w:val="19"/>
                <w:color w:val="auto"/>
              </w:rPr>
            </w:pPr>
          </w:p>
        </w:tc>
      </w:tr>
      <w:tr>
        <w:trPr>
          <w:trHeight w:val="169"/>
        </w:trPr>
        <w:tc>
          <w:tcPr>
            <w:tcW w:w="60" w:type="dxa"/>
            <w:vAlign w:val="bottom"/>
            <w:tcBorders>
              <w:left w:val="single" w:sz="8" w:color="DD924E"/>
              <w:bottom w:val="single" w:sz="8" w:color="DD924E"/>
            </w:tcBorders>
            <w:shd w:val="clear" w:color="auto" w:fill="FBF4ED"/>
          </w:tcPr>
          <w:p>
            <w:pPr>
              <w:spacing w:after="0"/>
              <w:rPr>
                <w:sz w:val="14"/>
                <w:szCs w:val="14"/>
                <w:color w:val="auto"/>
              </w:rPr>
            </w:pPr>
          </w:p>
        </w:tc>
        <w:tc>
          <w:tcPr>
            <w:tcW w:w="1860" w:type="dxa"/>
            <w:vAlign w:val="bottom"/>
            <w:tcBorders>
              <w:bottom w:val="single" w:sz="8" w:color="DD924E"/>
            </w:tcBorders>
            <w:shd w:val="clear" w:color="auto" w:fill="FBF4ED"/>
          </w:tcPr>
          <w:p>
            <w:pPr>
              <w:ind w:left="160"/>
              <w:spacing w:after="0"/>
              <w:rPr>
                <w:sz w:val="20"/>
                <w:szCs w:val="20"/>
                <w:color w:val="auto"/>
              </w:rPr>
            </w:pPr>
            <w:r>
              <w:rPr>
                <w:rFonts w:ascii="Arial" w:cs="Arial" w:eastAsia="Arial" w:hAnsi="Arial"/>
                <w:sz w:val="14"/>
                <w:szCs w:val="14"/>
                <w:color w:val="auto"/>
              </w:rPr>
              <w:t>stock units</w:t>
            </w:r>
          </w:p>
        </w:tc>
        <w:tc>
          <w:tcPr>
            <w:tcW w:w="860" w:type="dxa"/>
            <w:vAlign w:val="bottom"/>
            <w:tcBorders>
              <w:bottom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146,349</w:t>
            </w:r>
          </w:p>
        </w:tc>
        <w:tc>
          <w:tcPr>
            <w:tcW w:w="840" w:type="dxa"/>
            <w:vAlign w:val="bottom"/>
            <w:tcBorders>
              <w:bottom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439,046</w:t>
            </w:r>
          </w:p>
        </w:tc>
        <w:tc>
          <w:tcPr>
            <w:tcW w:w="80" w:type="dxa"/>
            <w:vAlign w:val="bottom"/>
            <w:tcBorders>
              <w:bottom w:val="single" w:sz="8" w:color="DD924E"/>
            </w:tcBorders>
            <w:shd w:val="clear" w:color="auto" w:fill="FBF4ED"/>
          </w:tcPr>
          <w:p>
            <w:pPr>
              <w:spacing w:after="0"/>
              <w:rPr>
                <w:sz w:val="14"/>
                <w:szCs w:val="14"/>
                <w:color w:val="auto"/>
              </w:rPr>
            </w:pPr>
          </w:p>
        </w:tc>
        <w:tc>
          <w:tcPr>
            <w:tcW w:w="1180" w:type="dxa"/>
            <w:vAlign w:val="bottom"/>
            <w:tcBorders>
              <w:bottom w:val="single" w:sz="8" w:color="DD924E"/>
            </w:tcBorders>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750,352</w:t>
            </w:r>
          </w:p>
        </w:tc>
        <w:tc>
          <w:tcPr>
            <w:tcW w:w="3040" w:type="dxa"/>
            <w:vAlign w:val="bottom"/>
            <w:tcBorders>
              <w:bottom w:val="single" w:sz="8" w:color="DD924E"/>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4"/>
                <w:szCs w:val="14"/>
                <w:color w:val="auto"/>
              </w:rPr>
              <w:t>896,700</w:t>
            </w:r>
          </w:p>
        </w:tc>
      </w:tr>
    </w:tbl>
    <w:p>
      <w:pPr>
        <w:spacing w:after="0" w:line="12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Pavan Bagai</w:t>
      </w:r>
    </w:p>
    <w:p>
      <w:pPr>
        <w:spacing w:after="0" w:line="171"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Either Mr. Bagai or we may terminate Mr. Bagai’s employment at any time with three months’ notice (or pay three months’ salary in lieu of notice). If Mr. Bagai is terminated by us without “cause” (other than due to disability) at any time following a change in control or in specific contemplation of a change in control, or if Mr. Bagai resigns for “good reason” following a “change in control” (as defined in the 2015 Plan), Mr. Bagai will receive a cash severance payment equal to twelve months’ of his then-current annual fixed compensation, payable in twelve equal monthly installments.</w:t>
      </w:r>
    </w:p>
    <w:p>
      <w:pPr>
        <w:spacing w:after="0" w:line="118"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On a “change in control” (as defined in the 2006 Plan or 2015 Plan, as applicable) or death, Mr. Bagai’s outstanding equity awards will vest in the same manner as described for Mr. Chhibbar’s outstanding equity awards beginning on page 58.</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3" w:name="page64"/>
    <w:bookmarkEnd w:id="63"/>
    <w:p>
      <w:pPr>
        <w:spacing w:after="0" w:line="58"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Mr. Bagai’s severance payments and termination-related equity acceleration are subject to his execution of a waiver and release of claims against us. Mr. Bagai is subject to confidentiality restrictions at all times, as well as noncompetition and nonsolicitation restrictions for two years following termination of his employment.</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Indicative Payouts for Pavan Bagai</w:t>
      </w:r>
    </w:p>
    <w:p>
      <w:pPr>
        <w:spacing w:after="0" w:line="171" w:lineRule="exact"/>
        <w:rPr>
          <w:sz w:val="20"/>
          <w:szCs w:val="20"/>
          <w:color w:val="auto"/>
        </w:rPr>
      </w:pPr>
    </w:p>
    <w:tbl>
      <w:tblPr>
        <w:tblLayout w:type="fixed"/>
        <w:tblInd w:w="170" w:type="dxa"/>
        <w:tblCellMar>
          <w:top w:w="0" w:type="dxa"/>
          <w:left w:w="0" w:type="dxa"/>
          <w:bottom w:w="0" w:type="dxa"/>
          <w:right w:w="0" w:type="dxa"/>
        </w:tblCellMar>
      </w:tblPr>
      <w:tr>
        <w:trPr>
          <w:trHeight w:val="181"/>
        </w:trPr>
        <w:tc>
          <w:tcPr>
            <w:tcW w:w="60" w:type="dxa"/>
            <w:vAlign w:val="bottom"/>
            <w:tcBorders>
              <w:left w:val="single" w:sz="8" w:color="DD924E"/>
            </w:tcBorders>
            <w:shd w:val="clear" w:color="auto" w:fill="DD924E"/>
          </w:tcPr>
          <w:p>
            <w:pPr>
              <w:spacing w:after="0"/>
              <w:rPr>
                <w:sz w:val="15"/>
                <w:szCs w:val="15"/>
                <w:color w:val="auto"/>
              </w:rPr>
            </w:pPr>
          </w:p>
        </w:tc>
        <w:tc>
          <w:tcPr>
            <w:tcW w:w="1600" w:type="dxa"/>
            <w:vAlign w:val="bottom"/>
            <w:shd w:val="clear" w:color="auto" w:fill="DD924E"/>
          </w:tcPr>
          <w:p>
            <w:pPr>
              <w:spacing w:after="0"/>
              <w:rPr>
                <w:sz w:val="15"/>
                <w:szCs w:val="15"/>
                <w:color w:val="auto"/>
              </w:rPr>
            </w:pPr>
          </w:p>
        </w:tc>
        <w:tc>
          <w:tcPr>
            <w:tcW w:w="80" w:type="dxa"/>
            <w:vAlign w:val="bottom"/>
            <w:shd w:val="clear" w:color="auto" w:fill="DD924E"/>
          </w:tcPr>
          <w:p>
            <w:pPr>
              <w:spacing w:after="0"/>
              <w:rPr>
                <w:sz w:val="15"/>
                <w:szCs w:val="15"/>
                <w:color w:val="auto"/>
              </w:rPr>
            </w:pPr>
          </w:p>
        </w:tc>
        <w:tc>
          <w:tcPr>
            <w:tcW w:w="780" w:type="dxa"/>
            <w:vAlign w:val="bottom"/>
            <w:shd w:val="clear" w:color="auto" w:fill="DD924E"/>
          </w:tcPr>
          <w:p>
            <w:pPr>
              <w:spacing w:after="0"/>
              <w:rPr>
                <w:sz w:val="15"/>
                <w:szCs w:val="15"/>
                <w:color w:val="auto"/>
              </w:rPr>
            </w:pPr>
          </w:p>
        </w:tc>
        <w:tc>
          <w:tcPr>
            <w:tcW w:w="60" w:type="dxa"/>
            <w:vAlign w:val="bottom"/>
            <w:shd w:val="clear" w:color="auto" w:fill="DD924E"/>
          </w:tcPr>
          <w:p>
            <w:pPr>
              <w:spacing w:after="0"/>
              <w:rPr>
                <w:sz w:val="15"/>
                <w:szCs w:val="15"/>
                <w:color w:val="auto"/>
              </w:rPr>
            </w:pPr>
          </w:p>
        </w:tc>
        <w:tc>
          <w:tcPr>
            <w:tcW w:w="780" w:type="dxa"/>
            <w:vAlign w:val="bottom"/>
            <w:shd w:val="clear" w:color="auto" w:fill="DD924E"/>
          </w:tcPr>
          <w:p>
            <w:pPr>
              <w:spacing w:after="0"/>
              <w:rPr>
                <w:sz w:val="15"/>
                <w:szCs w:val="15"/>
                <w:color w:val="auto"/>
              </w:rPr>
            </w:pPr>
          </w:p>
        </w:tc>
        <w:tc>
          <w:tcPr>
            <w:tcW w:w="60" w:type="dxa"/>
            <w:vAlign w:val="bottom"/>
            <w:shd w:val="clear" w:color="auto" w:fill="DD924E"/>
          </w:tcPr>
          <w:p>
            <w:pPr>
              <w:spacing w:after="0"/>
              <w:rPr>
                <w:sz w:val="15"/>
                <w:szCs w:val="15"/>
                <w:color w:val="auto"/>
              </w:rPr>
            </w:pPr>
          </w:p>
        </w:tc>
        <w:tc>
          <w:tcPr>
            <w:tcW w:w="680" w:type="dxa"/>
            <w:vAlign w:val="bottom"/>
            <w:shd w:val="clear" w:color="auto" w:fill="DD924E"/>
          </w:tcPr>
          <w:p>
            <w:pPr>
              <w:spacing w:after="0"/>
              <w:rPr>
                <w:sz w:val="15"/>
                <w:szCs w:val="15"/>
                <w:color w:val="auto"/>
              </w:rPr>
            </w:pPr>
          </w:p>
        </w:tc>
        <w:tc>
          <w:tcPr>
            <w:tcW w:w="60" w:type="dxa"/>
            <w:vAlign w:val="bottom"/>
            <w:shd w:val="clear" w:color="auto" w:fill="DD924E"/>
          </w:tcPr>
          <w:p>
            <w:pPr>
              <w:spacing w:after="0"/>
              <w:rPr>
                <w:sz w:val="15"/>
                <w:szCs w:val="15"/>
                <w:color w:val="auto"/>
              </w:rPr>
            </w:pPr>
          </w:p>
        </w:tc>
        <w:tc>
          <w:tcPr>
            <w:tcW w:w="1100" w:type="dxa"/>
            <w:vAlign w:val="bottom"/>
            <w:shd w:val="clear" w:color="auto" w:fill="DD924E"/>
          </w:tcPr>
          <w:p>
            <w:pPr>
              <w:spacing w:after="0"/>
              <w:rPr>
                <w:sz w:val="15"/>
                <w:szCs w:val="15"/>
                <w:color w:val="auto"/>
              </w:rPr>
            </w:pPr>
          </w:p>
        </w:tc>
        <w:tc>
          <w:tcPr>
            <w:tcW w:w="60" w:type="dxa"/>
            <w:vAlign w:val="bottom"/>
            <w:shd w:val="clear" w:color="auto" w:fill="DD924E"/>
          </w:tcPr>
          <w:p>
            <w:pPr>
              <w:spacing w:after="0"/>
              <w:rPr>
                <w:sz w:val="15"/>
                <w:szCs w:val="15"/>
                <w:color w:val="auto"/>
              </w:rPr>
            </w:pPr>
          </w:p>
        </w:tc>
        <w:tc>
          <w:tcPr>
            <w:tcW w:w="780" w:type="dxa"/>
            <w:vAlign w:val="bottom"/>
            <w:shd w:val="clear" w:color="auto" w:fill="DD924E"/>
          </w:tcPr>
          <w:p>
            <w:pPr>
              <w:spacing w:after="0"/>
              <w:rPr>
                <w:sz w:val="15"/>
                <w:szCs w:val="15"/>
                <w:color w:val="auto"/>
              </w:rPr>
            </w:pPr>
          </w:p>
        </w:tc>
        <w:tc>
          <w:tcPr>
            <w:tcW w:w="60" w:type="dxa"/>
            <w:vAlign w:val="bottom"/>
            <w:shd w:val="clear" w:color="auto" w:fill="DD924E"/>
          </w:tcPr>
          <w:p>
            <w:pPr>
              <w:spacing w:after="0"/>
              <w:rPr>
                <w:sz w:val="15"/>
                <w:szCs w:val="15"/>
                <w:color w:val="auto"/>
              </w:rPr>
            </w:pPr>
          </w:p>
        </w:tc>
        <w:tc>
          <w:tcPr>
            <w:tcW w:w="2660" w:type="dxa"/>
            <w:vAlign w:val="bottom"/>
            <w:tcBorders>
              <w:right w:val="single" w:sz="8" w:color="DD924E"/>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Termination Without Cause or for</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600" w:type="dxa"/>
            <w:vAlign w:val="bottom"/>
            <w:shd w:val="clear" w:color="auto" w:fill="DD924E"/>
          </w:tcPr>
          <w:p>
            <w:pPr>
              <w:spacing w:after="0"/>
              <w:rPr>
                <w:sz w:val="13"/>
                <w:szCs w:val="13"/>
                <w:color w:val="auto"/>
              </w:rPr>
            </w:pPr>
          </w:p>
        </w:tc>
        <w:tc>
          <w:tcPr>
            <w:tcW w:w="8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Death</w:t>
            </w:r>
          </w:p>
        </w:tc>
        <w:tc>
          <w:tcPr>
            <w:tcW w:w="6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Death</w:t>
            </w:r>
          </w:p>
        </w:tc>
        <w:tc>
          <w:tcPr>
            <w:tcW w:w="60" w:type="dxa"/>
            <w:vAlign w:val="bottom"/>
            <w:shd w:val="clear" w:color="auto" w:fill="DD924E"/>
          </w:tcPr>
          <w:p>
            <w:pPr>
              <w:spacing w:after="0"/>
              <w:rPr>
                <w:sz w:val="13"/>
                <w:szCs w:val="13"/>
                <w:color w:val="auto"/>
              </w:rPr>
            </w:pPr>
          </w:p>
        </w:tc>
        <w:tc>
          <w:tcPr>
            <w:tcW w:w="68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11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5"/>
              </w:rPr>
              <w:t>Termination for</w:t>
            </w:r>
          </w:p>
        </w:tc>
        <w:tc>
          <w:tcPr>
            <w:tcW w:w="60" w:type="dxa"/>
            <w:vAlign w:val="bottom"/>
            <w:shd w:val="clear" w:color="auto" w:fill="DD924E"/>
          </w:tcPr>
          <w:p>
            <w:pPr>
              <w:spacing w:after="0"/>
              <w:rPr>
                <w:sz w:val="13"/>
                <w:szCs w:val="13"/>
                <w:color w:val="auto"/>
              </w:rPr>
            </w:pPr>
          </w:p>
        </w:tc>
        <w:tc>
          <w:tcPr>
            <w:tcW w:w="78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2660" w:type="dxa"/>
            <w:vAlign w:val="bottom"/>
            <w:tcBorders>
              <w:right w:val="single" w:sz="8" w:color="DD924E"/>
            </w:tcBorders>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Good Reason Following Change</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600" w:type="dxa"/>
            <w:vAlign w:val="bottom"/>
            <w:shd w:val="clear" w:color="auto" w:fill="DD924E"/>
          </w:tcPr>
          <w:p>
            <w:pPr>
              <w:spacing w:after="0"/>
              <w:rPr>
                <w:sz w:val="13"/>
                <w:szCs w:val="13"/>
                <w:color w:val="auto"/>
              </w:rPr>
            </w:pPr>
          </w:p>
        </w:tc>
        <w:tc>
          <w:tcPr>
            <w:tcW w:w="8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Prior to a</w:t>
            </w:r>
          </w:p>
        </w:tc>
        <w:tc>
          <w:tcPr>
            <w:tcW w:w="6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4"/>
              </w:rPr>
              <w:t>After a</w:t>
            </w:r>
          </w:p>
        </w:tc>
        <w:tc>
          <w:tcPr>
            <w:tcW w:w="60" w:type="dxa"/>
            <w:vAlign w:val="bottom"/>
            <w:shd w:val="clear" w:color="auto" w:fill="DD924E"/>
          </w:tcPr>
          <w:p>
            <w:pPr>
              <w:spacing w:after="0"/>
              <w:rPr>
                <w:sz w:val="13"/>
                <w:szCs w:val="13"/>
                <w:color w:val="auto"/>
              </w:rPr>
            </w:pPr>
          </w:p>
        </w:tc>
        <w:tc>
          <w:tcPr>
            <w:tcW w:w="68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11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8"/>
              </w:rPr>
              <w:t>Good Reason</w:t>
            </w:r>
          </w:p>
        </w:tc>
        <w:tc>
          <w:tcPr>
            <w:tcW w:w="60" w:type="dxa"/>
            <w:vAlign w:val="bottom"/>
            <w:shd w:val="clear" w:color="auto" w:fill="DD924E"/>
          </w:tcPr>
          <w:p>
            <w:pPr>
              <w:spacing w:after="0"/>
              <w:rPr>
                <w:sz w:val="13"/>
                <w:szCs w:val="13"/>
                <w:color w:val="auto"/>
              </w:rPr>
            </w:pPr>
          </w:p>
        </w:tc>
        <w:tc>
          <w:tcPr>
            <w:tcW w:w="78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2660" w:type="dxa"/>
            <w:vAlign w:val="bottom"/>
            <w:tcBorders>
              <w:right w:val="single" w:sz="8" w:color="DD924E"/>
            </w:tcBorders>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in Control or Termination Without</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600" w:type="dxa"/>
            <w:vAlign w:val="bottom"/>
            <w:shd w:val="clear" w:color="auto" w:fill="DD924E"/>
          </w:tcPr>
          <w:p>
            <w:pPr>
              <w:spacing w:after="0"/>
              <w:rPr>
                <w:sz w:val="13"/>
                <w:szCs w:val="13"/>
                <w:color w:val="auto"/>
              </w:rPr>
            </w:pPr>
          </w:p>
        </w:tc>
        <w:tc>
          <w:tcPr>
            <w:tcW w:w="8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Change</w:t>
            </w:r>
          </w:p>
        </w:tc>
        <w:tc>
          <w:tcPr>
            <w:tcW w:w="6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Change</w:t>
            </w:r>
          </w:p>
        </w:tc>
        <w:tc>
          <w:tcPr>
            <w:tcW w:w="60" w:type="dxa"/>
            <w:vAlign w:val="bottom"/>
            <w:shd w:val="clear" w:color="auto" w:fill="DD924E"/>
          </w:tcPr>
          <w:p>
            <w:pPr>
              <w:spacing w:after="0"/>
              <w:rPr>
                <w:sz w:val="13"/>
                <w:szCs w:val="13"/>
                <w:color w:val="auto"/>
              </w:rPr>
            </w:pPr>
          </w:p>
        </w:tc>
        <w:tc>
          <w:tcPr>
            <w:tcW w:w="68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11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or Without</w:t>
            </w:r>
          </w:p>
        </w:tc>
        <w:tc>
          <w:tcPr>
            <w:tcW w:w="6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Change in</w:t>
            </w:r>
          </w:p>
        </w:tc>
        <w:tc>
          <w:tcPr>
            <w:tcW w:w="60" w:type="dxa"/>
            <w:vAlign w:val="bottom"/>
            <w:shd w:val="clear" w:color="auto" w:fill="DD924E"/>
          </w:tcPr>
          <w:p>
            <w:pPr>
              <w:spacing w:after="0"/>
              <w:rPr>
                <w:sz w:val="13"/>
                <w:szCs w:val="13"/>
                <w:color w:val="auto"/>
              </w:rPr>
            </w:pPr>
          </w:p>
        </w:tc>
        <w:tc>
          <w:tcPr>
            <w:tcW w:w="2660" w:type="dxa"/>
            <w:vAlign w:val="bottom"/>
            <w:tcBorders>
              <w:right w:val="single" w:sz="8" w:color="DD924E"/>
            </w:tcBorders>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Cause in Specific Contemplation of</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6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Payments upon</w:t>
            </w:r>
          </w:p>
        </w:tc>
        <w:tc>
          <w:tcPr>
            <w:tcW w:w="8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in Control</w:t>
            </w:r>
          </w:p>
        </w:tc>
        <w:tc>
          <w:tcPr>
            <w:tcW w:w="6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9"/>
              </w:rPr>
              <w:t>in Control</w:t>
            </w:r>
          </w:p>
        </w:tc>
        <w:tc>
          <w:tcPr>
            <w:tcW w:w="60" w:type="dxa"/>
            <w:vAlign w:val="bottom"/>
            <w:shd w:val="clear" w:color="auto" w:fill="DD924E"/>
          </w:tcPr>
          <w:p>
            <w:pPr>
              <w:spacing w:after="0"/>
              <w:rPr>
                <w:sz w:val="13"/>
                <w:szCs w:val="13"/>
                <w:color w:val="auto"/>
              </w:rPr>
            </w:pPr>
          </w:p>
        </w:tc>
        <w:tc>
          <w:tcPr>
            <w:tcW w:w="680" w:type="dxa"/>
            <w:vAlign w:val="bottom"/>
            <w:shd w:val="clear" w:color="auto" w:fill="DD924E"/>
          </w:tcPr>
          <w:p>
            <w:pPr>
              <w:jc w:val="right"/>
              <w:spacing w:after="0" w:line="154" w:lineRule="exact"/>
              <w:rPr>
                <w:sz w:val="20"/>
                <w:szCs w:val="20"/>
                <w:color w:val="auto"/>
              </w:rPr>
            </w:pPr>
            <w:r>
              <w:rPr>
                <w:rFonts w:ascii="Arial" w:cs="Arial" w:eastAsia="Arial" w:hAnsi="Arial"/>
                <w:sz w:val="14"/>
                <w:szCs w:val="14"/>
                <w:b w:val="1"/>
                <w:bCs w:val="1"/>
                <w:color w:val="FFFFFF"/>
                <w:w w:val="99"/>
              </w:rPr>
              <w:t>Disability</w:t>
            </w:r>
          </w:p>
        </w:tc>
        <w:tc>
          <w:tcPr>
            <w:tcW w:w="60" w:type="dxa"/>
            <w:vAlign w:val="bottom"/>
            <w:shd w:val="clear" w:color="auto" w:fill="DD924E"/>
          </w:tcPr>
          <w:p>
            <w:pPr>
              <w:spacing w:after="0"/>
              <w:rPr>
                <w:sz w:val="13"/>
                <w:szCs w:val="13"/>
                <w:color w:val="auto"/>
              </w:rPr>
            </w:pPr>
          </w:p>
        </w:tc>
        <w:tc>
          <w:tcPr>
            <w:tcW w:w="11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9"/>
              </w:rPr>
              <w:t>Cause</w:t>
            </w:r>
          </w:p>
        </w:tc>
        <w:tc>
          <w:tcPr>
            <w:tcW w:w="6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Control</w:t>
            </w:r>
          </w:p>
        </w:tc>
        <w:tc>
          <w:tcPr>
            <w:tcW w:w="60" w:type="dxa"/>
            <w:vAlign w:val="bottom"/>
            <w:shd w:val="clear" w:color="auto" w:fill="DD924E"/>
          </w:tcPr>
          <w:p>
            <w:pPr>
              <w:spacing w:after="0"/>
              <w:rPr>
                <w:sz w:val="13"/>
                <w:szCs w:val="13"/>
                <w:color w:val="auto"/>
              </w:rPr>
            </w:pPr>
          </w:p>
        </w:tc>
        <w:tc>
          <w:tcPr>
            <w:tcW w:w="2660" w:type="dxa"/>
            <w:vAlign w:val="bottom"/>
            <w:tcBorders>
              <w:right w:val="single" w:sz="8" w:color="DD924E"/>
            </w:tcBorders>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Change in Control</w:t>
            </w:r>
          </w:p>
        </w:tc>
      </w:tr>
      <w:tr>
        <w:trPr>
          <w:trHeight w:val="184"/>
        </w:trPr>
        <w:tc>
          <w:tcPr>
            <w:tcW w:w="60" w:type="dxa"/>
            <w:vAlign w:val="bottom"/>
            <w:tcBorders>
              <w:left w:val="single" w:sz="8" w:color="DD924E"/>
              <w:bottom w:val="single" w:sz="8" w:color="DD924E"/>
            </w:tcBorders>
            <w:shd w:val="clear" w:color="auto" w:fill="DD924E"/>
          </w:tcPr>
          <w:p>
            <w:pPr>
              <w:spacing w:after="0"/>
              <w:rPr>
                <w:sz w:val="15"/>
                <w:szCs w:val="15"/>
                <w:color w:val="auto"/>
              </w:rPr>
            </w:pPr>
          </w:p>
        </w:tc>
        <w:tc>
          <w:tcPr>
            <w:tcW w:w="160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Termination</w:t>
            </w:r>
          </w:p>
        </w:tc>
        <w:tc>
          <w:tcPr>
            <w:tcW w:w="80" w:type="dxa"/>
            <w:vAlign w:val="bottom"/>
            <w:tcBorders>
              <w:bottom w:val="single" w:sz="8" w:color="DD924E"/>
            </w:tcBorders>
            <w:shd w:val="clear" w:color="auto" w:fill="DD924E"/>
          </w:tcPr>
          <w:p>
            <w:pPr>
              <w:spacing w:after="0"/>
              <w:rPr>
                <w:sz w:val="15"/>
                <w:szCs w:val="15"/>
                <w:color w:val="auto"/>
              </w:rPr>
            </w:pPr>
          </w:p>
        </w:tc>
        <w:tc>
          <w:tcPr>
            <w:tcW w:w="78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3"/>
              </w:rPr>
              <w:t>($)</w:t>
            </w:r>
          </w:p>
        </w:tc>
        <w:tc>
          <w:tcPr>
            <w:tcW w:w="60" w:type="dxa"/>
            <w:vAlign w:val="bottom"/>
            <w:tcBorders>
              <w:bottom w:val="single" w:sz="8" w:color="DD924E"/>
            </w:tcBorders>
            <w:shd w:val="clear" w:color="auto" w:fill="DD924E"/>
          </w:tcPr>
          <w:p>
            <w:pPr>
              <w:spacing w:after="0"/>
              <w:rPr>
                <w:sz w:val="15"/>
                <w:szCs w:val="15"/>
                <w:color w:val="auto"/>
              </w:rPr>
            </w:pPr>
          </w:p>
        </w:tc>
        <w:tc>
          <w:tcPr>
            <w:tcW w:w="78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rPr>
              <w:t>($)</w:t>
            </w:r>
          </w:p>
        </w:tc>
        <w:tc>
          <w:tcPr>
            <w:tcW w:w="60" w:type="dxa"/>
            <w:vAlign w:val="bottom"/>
            <w:tcBorders>
              <w:bottom w:val="single" w:sz="8" w:color="DD924E"/>
            </w:tcBorders>
            <w:shd w:val="clear" w:color="auto" w:fill="DD924E"/>
          </w:tcPr>
          <w:p>
            <w:pPr>
              <w:spacing w:after="0"/>
              <w:rPr>
                <w:sz w:val="15"/>
                <w:szCs w:val="15"/>
                <w:color w:val="auto"/>
              </w:rPr>
            </w:pPr>
          </w:p>
        </w:tc>
        <w:tc>
          <w:tcPr>
            <w:tcW w:w="680" w:type="dxa"/>
            <w:vAlign w:val="bottom"/>
            <w:tcBorders>
              <w:bottom w:val="single" w:sz="8" w:color="auto"/>
            </w:tcBorders>
            <w:shd w:val="clear" w:color="auto" w:fill="DD924E"/>
          </w:tcPr>
          <w:p>
            <w:pPr>
              <w:jc w:val="right"/>
              <w:ind w:right="192"/>
              <w:spacing w:after="0"/>
              <w:rPr>
                <w:sz w:val="20"/>
                <w:szCs w:val="20"/>
                <w:color w:val="auto"/>
              </w:rPr>
            </w:pPr>
            <w:r>
              <w:rPr>
                <w:rFonts w:ascii="Arial" w:cs="Arial" w:eastAsia="Arial" w:hAnsi="Arial"/>
                <w:sz w:val="14"/>
                <w:szCs w:val="14"/>
                <w:b w:val="1"/>
                <w:bCs w:val="1"/>
                <w:color w:val="FFFFFF"/>
              </w:rPr>
              <w:t>($)</w:t>
            </w:r>
          </w:p>
        </w:tc>
        <w:tc>
          <w:tcPr>
            <w:tcW w:w="60" w:type="dxa"/>
            <w:vAlign w:val="bottom"/>
            <w:tcBorders>
              <w:bottom w:val="single" w:sz="8" w:color="DD924E"/>
            </w:tcBorders>
            <w:shd w:val="clear" w:color="auto" w:fill="DD924E"/>
          </w:tcPr>
          <w:p>
            <w:pPr>
              <w:spacing w:after="0"/>
              <w:rPr>
                <w:sz w:val="15"/>
                <w:szCs w:val="15"/>
                <w:color w:val="auto"/>
              </w:rPr>
            </w:pPr>
          </w:p>
        </w:tc>
        <w:tc>
          <w:tcPr>
            <w:tcW w:w="110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rPr>
              <w:t>($)</w:t>
            </w:r>
          </w:p>
        </w:tc>
        <w:tc>
          <w:tcPr>
            <w:tcW w:w="60" w:type="dxa"/>
            <w:vAlign w:val="bottom"/>
            <w:tcBorders>
              <w:bottom w:val="single" w:sz="8" w:color="DD924E"/>
            </w:tcBorders>
            <w:shd w:val="clear" w:color="auto" w:fill="DD924E"/>
          </w:tcPr>
          <w:p>
            <w:pPr>
              <w:spacing w:after="0"/>
              <w:rPr>
                <w:sz w:val="15"/>
                <w:szCs w:val="15"/>
                <w:color w:val="auto"/>
              </w:rPr>
            </w:pPr>
          </w:p>
        </w:tc>
        <w:tc>
          <w:tcPr>
            <w:tcW w:w="78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3"/>
              </w:rPr>
              <w:t>($)</w:t>
            </w:r>
          </w:p>
        </w:tc>
        <w:tc>
          <w:tcPr>
            <w:tcW w:w="60" w:type="dxa"/>
            <w:vAlign w:val="bottom"/>
            <w:tcBorders>
              <w:bottom w:val="single" w:sz="8" w:color="DD924E"/>
            </w:tcBorders>
            <w:shd w:val="clear" w:color="auto" w:fill="DD924E"/>
          </w:tcPr>
          <w:p>
            <w:pPr>
              <w:spacing w:after="0"/>
              <w:rPr>
                <w:sz w:val="15"/>
                <w:szCs w:val="15"/>
                <w:color w:val="auto"/>
              </w:rPr>
            </w:pPr>
          </w:p>
        </w:tc>
        <w:tc>
          <w:tcPr>
            <w:tcW w:w="2660" w:type="dxa"/>
            <w:vAlign w:val="bottom"/>
            <w:tcBorders>
              <w:bottom w:val="single" w:sz="8" w:color="auto"/>
              <w:right w:val="single" w:sz="8" w:color="DD924E"/>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205"/>
        </w:trPr>
        <w:tc>
          <w:tcPr>
            <w:tcW w:w="166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Base salary payout</w:t>
            </w:r>
          </w:p>
        </w:tc>
        <w:tc>
          <w:tcPr>
            <w:tcW w:w="80" w:type="dxa"/>
            <w:vAlign w:val="bottom"/>
            <w:shd w:val="clear" w:color="auto" w:fill="FBF4ED"/>
          </w:tcPr>
          <w:p>
            <w:pPr>
              <w:spacing w:after="0"/>
              <w:rPr>
                <w:sz w:val="17"/>
                <w:szCs w:val="17"/>
                <w:color w:val="auto"/>
              </w:rPr>
            </w:pPr>
          </w:p>
        </w:tc>
        <w:tc>
          <w:tcPr>
            <w:tcW w:w="7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BF4ED"/>
          </w:tcPr>
          <w:p>
            <w:pPr>
              <w:spacing w:after="0"/>
              <w:rPr>
                <w:sz w:val="17"/>
                <w:szCs w:val="17"/>
                <w:color w:val="auto"/>
              </w:rPr>
            </w:pPr>
          </w:p>
        </w:tc>
        <w:tc>
          <w:tcPr>
            <w:tcW w:w="7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BF4ED"/>
          </w:tcPr>
          <w:p>
            <w:pPr>
              <w:spacing w:after="0"/>
              <w:rPr>
                <w:sz w:val="17"/>
                <w:szCs w:val="17"/>
                <w:color w:val="auto"/>
              </w:rPr>
            </w:pPr>
          </w:p>
        </w:tc>
        <w:tc>
          <w:tcPr>
            <w:tcW w:w="6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360,106</w:t>
            </w:r>
          </w:p>
        </w:tc>
        <w:tc>
          <w:tcPr>
            <w:tcW w:w="60" w:type="dxa"/>
            <w:vAlign w:val="bottom"/>
            <w:shd w:val="clear" w:color="auto" w:fill="FBF4ED"/>
          </w:tcPr>
          <w:p>
            <w:pPr>
              <w:spacing w:after="0"/>
              <w:rPr>
                <w:sz w:val="17"/>
                <w:szCs w:val="17"/>
                <w:color w:val="auto"/>
              </w:rPr>
            </w:pPr>
          </w:p>
        </w:tc>
        <w:tc>
          <w:tcPr>
            <w:tcW w:w="7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2720" w:type="dxa"/>
            <w:vAlign w:val="bottom"/>
            <w:tcBorders>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4"/>
                <w:szCs w:val="14"/>
                <w:color w:val="auto"/>
              </w:rPr>
              <w:t>360,106</w:t>
            </w:r>
          </w:p>
        </w:tc>
      </w:tr>
      <w:tr>
        <w:trPr>
          <w:trHeight w:val="222"/>
        </w:trPr>
        <w:tc>
          <w:tcPr>
            <w:tcW w:w="1660" w:type="dxa"/>
            <w:vAlign w:val="bottom"/>
            <w:tcBorders>
              <w:left w:val="single" w:sz="8" w:color="DD924E"/>
            </w:tcBorders>
            <w:gridSpan w:val="2"/>
          </w:tcPr>
          <w:p>
            <w:pPr>
              <w:ind w:left="60"/>
              <w:spacing w:after="0"/>
              <w:rPr>
                <w:sz w:val="20"/>
                <w:szCs w:val="20"/>
                <w:color w:val="auto"/>
              </w:rPr>
            </w:pPr>
            <w:r>
              <w:rPr>
                <w:rFonts w:ascii="Arial" w:cs="Arial" w:eastAsia="Arial" w:hAnsi="Arial"/>
                <w:sz w:val="14"/>
                <w:szCs w:val="14"/>
                <w:color w:val="auto"/>
              </w:rPr>
              <w:t>Restricted</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tcBorders>
              <w:right w:val="single" w:sz="8" w:color="DD924E"/>
            </w:tcBorders>
          </w:tcPr>
          <w:p>
            <w:pPr>
              <w:spacing w:after="0"/>
              <w:rPr>
                <w:sz w:val="19"/>
                <w:szCs w:val="19"/>
                <w:color w:val="auto"/>
              </w:rPr>
            </w:pPr>
          </w:p>
        </w:tc>
      </w:tr>
      <w:tr>
        <w:trPr>
          <w:trHeight w:val="169"/>
        </w:trPr>
        <w:tc>
          <w:tcPr>
            <w:tcW w:w="1660" w:type="dxa"/>
            <w:vAlign w:val="bottom"/>
            <w:tcBorders>
              <w:left w:val="single" w:sz="8" w:color="DD924E"/>
            </w:tcBorders>
            <w:gridSpan w:val="2"/>
          </w:tcPr>
          <w:p>
            <w:pPr>
              <w:ind w:left="60"/>
              <w:spacing w:after="0"/>
              <w:rPr>
                <w:sz w:val="20"/>
                <w:szCs w:val="20"/>
                <w:color w:val="auto"/>
              </w:rPr>
            </w:pPr>
            <w:r>
              <w:rPr>
                <w:rFonts w:ascii="Arial" w:cs="Arial" w:eastAsia="Arial" w:hAnsi="Arial"/>
                <w:sz w:val="14"/>
                <w:szCs w:val="14"/>
                <w:color w:val="auto"/>
              </w:rPr>
              <w:t>stock units</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694,025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694,025</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866,023</w:t>
            </w:r>
          </w:p>
        </w:tc>
        <w:tc>
          <w:tcPr>
            <w:tcW w:w="272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4"/>
                <w:szCs w:val="14"/>
                <w:color w:val="auto"/>
              </w:rPr>
              <w:t>2,065,479</w:t>
            </w:r>
          </w:p>
        </w:tc>
      </w:tr>
      <w:tr>
        <w:trPr>
          <w:trHeight w:val="190"/>
        </w:trPr>
        <w:tc>
          <w:tcPr>
            <w:tcW w:w="166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Performance</w:t>
            </w:r>
          </w:p>
        </w:tc>
        <w:tc>
          <w:tcPr>
            <w:tcW w:w="80" w:type="dxa"/>
            <w:vAlign w:val="bottom"/>
            <w:shd w:val="clear" w:color="auto" w:fill="FBF4ED"/>
          </w:tcPr>
          <w:p>
            <w:pPr>
              <w:spacing w:after="0"/>
              <w:rPr>
                <w:sz w:val="16"/>
                <w:szCs w:val="16"/>
                <w:color w:val="auto"/>
              </w:rPr>
            </w:pPr>
          </w:p>
        </w:tc>
        <w:tc>
          <w:tcPr>
            <w:tcW w:w="78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78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68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110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78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2660" w:type="dxa"/>
            <w:vAlign w:val="bottom"/>
            <w:tcBorders>
              <w:right w:val="single" w:sz="8" w:color="DD924E"/>
            </w:tcBorders>
            <w:shd w:val="clear" w:color="auto" w:fill="FBF4ED"/>
          </w:tcPr>
          <w:p>
            <w:pPr>
              <w:spacing w:after="0"/>
              <w:rPr>
                <w:sz w:val="16"/>
                <w:szCs w:val="16"/>
                <w:color w:val="auto"/>
              </w:rPr>
            </w:pPr>
          </w:p>
        </w:tc>
      </w:tr>
      <w:tr>
        <w:trPr>
          <w:trHeight w:val="154"/>
        </w:trPr>
        <w:tc>
          <w:tcPr>
            <w:tcW w:w="1660" w:type="dxa"/>
            <w:vAlign w:val="bottom"/>
            <w:tcBorders>
              <w:left w:val="single" w:sz="8" w:color="DD924E"/>
            </w:tcBorders>
            <w:gridSpan w:val="2"/>
            <w:shd w:val="clear" w:color="auto" w:fill="FBF4ED"/>
          </w:tcPr>
          <w:p>
            <w:pPr>
              <w:ind w:left="60"/>
              <w:spacing w:after="0" w:line="154" w:lineRule="exact"/>
              <w:rPr>
                <w:sz w:val="20"/>
                <w:szCs w:val="20"/>
                <w:color w:val="auto"/>
              </w:rPr>
            </w:pPr>
            <w:r>
              <w:rPr>
                <w:rFonts w:ascii="Arial" w:cs="Arial" w:eastAsia="Arial" w:hAnsi="Arial"/>
                <w:sz w:val="14"/>
                <w:szCs w:val="14"/>
                <w:color w:val="auto"/>
              </w:rPr>
              <w:t>restricted</w:t>
            </w:r>
          </w:p>
        </w:tc>
        <w:tc>
          <w:tcPr>
            <w:tcW w:w="80" w:type="dxa"/>
            <w:vAlign w:val="bottom"/>
            <w:shd w:val="clear" w:color="auto" w:fill="FBF4ED"/>
          </w:tcPr>
          <w:p>
            <w:pPr>
              <w:spacing w:after="0"/>
              <w:rPr>
                <w:sz w:val="13"/>
                <w:szCs w:val="13"/>
                <w:color w:val="auto"/>
              </w:rPr>
            </w:pPr>
          </w:p>
        </w:tc>
        <w:tc>
          <w:tcPr>
            <w:tcW w:w="780" w:type="dxa"/>
            <w:vAlign w:val="bottom"/>
            <w:shd w:val="clear" w:color="auto" w:fill="FBF4ED"/>
          </w:tcPr>
          <w:p>
            <w:pPr>
              <w:spacing w:after="0"/>
              <w:rPr>
                <w:sz w:val="13"/>
                <w:szCs w:val="13"/>
                <w:color w:val="auto"/>
              </w:rPr>
            </w:pPr>
          </w:p>
        </w:tc>
        <w:tc>
          <w:tcPr>
            <w:tcW w:w="60" w:type="dxa"/>
            <w:vAlign w:val="bottom"/>
            <w:shd w:val="clear" w:color="auto" w:fill="FBF4ED"/>
          </w:tcPr>
          <w:p>
            <w:pPr>
              <w:spacing w:after="0"/>
              <w:rPr>
                <w:sz w:val="13"/>
                <w:szCs w:val="13"/>
                <w:color w:val="auto"/>
              </w:rPr>
            </w:pPr>
          </w:p>
        </w:tc>
        <w:tc>
          <w:tcPr>
            <w:tcW w:w="780" w:type="dxa"/>
            <w:vAlign w:val="bottom"/>
            <w:shd w:val="clear" w:color="auto" w:fill="FBF4ED"/>
          </w:tcPr>
          <w:p>
            <w:pPr>
              <w:spacing w:after="0"/>
              <w:rPr>
                <w:sz w:val="13"/>
                <w:szCs w:val="13"/>
                <w:color w:val="auto"/>
              </w:rPr>
            </w:pPr>
          </w:p>
        </w:tc>
        <w:tc>
          <w:tcPr>
            <w:tcW w:w="60" w:type="dxa"/>
            <w:vAlign w:val="bottom"/>
            <w:shd w:val="clear" w:color="auto" w:fill="FBF4ED"/>
          </w:tcPr>
          <w:p>
            <w:pPr>
              <w:spacing w:after="0"/>
              <w:rPr>
                <w:sz w:val="13"/>
                <w:szCs w:val="13"/>
                <w:color w:val="auto"/>
              </w:rPr>
            </w:pPr>
          </w:p>
        </w:tc>
        <w:tc>
          <w:tcPr>
            <w:tcW w:w="680" w:type="dxa"/>
            <w:vAlign w:val="bottom"/>
            <w:shd w:val="clear" w:color="auto" w:fill="FBF4ED"/>
          </w:tcPr>
          <w:p>
            <w:pPr>
              <w:spacing w:after="0"/>
              <w:rPr>
                <w:sz w:val="13"/>
                <w:szCs w:val="13"/>
                <w:color w:val="auto"/>
              </w:rPr>
            </w:pPr>
          </w:p>
        </w:tc>
        <w:tc>
          <w:tcPr>
            <w:tcW w:w="60" w:type="dxa"/>
            <w:vAlign w:val="bottom"/>
            <w:shd w:val="clear" w:color="auto" w:fill="FBF4ED"/>
          </w:tcPr>
          <w:p>
            <w:pPr>
              <w:spacing w:after="0"/>
              <w:rPr>
                <w:sz w:val="13"/>
                <w:szCs w:val="13"/>
                <w:color w:val="auto"/>
              </w:rPr>
            </w:pPr>
          </w:p>
        </w:tc>
        <w:tc>
          <w:tcPr>
            <w:tcW w:w="1100" w:type="dxa"/>
            <w:vAlign w:val="bottom"/>
            <w:shd w:val="clear" w:color="auto" w:fill="FBF4ED"/>
          </w:tcPr>
          <w:p>
            <w:pPr>
              <w:spacing w:after="0"/>
              <w:rPr>
                <w:sz w:val="13"/>
                <w:szCs w:val="13"/>
                <w:color w:val="auto"/>
              </w:rPr>
            </w:pPr>
          </w:p>
        </w:tc>
        <w:tc>
          <w:tcPr>
            <w:tcW w:w="60" w:type="dxa"/>
            <w:vAlign w:val="bottom"/>
            <w:shd w:val="clear" w:color="auto" w:fill="FBF4ED"/>
          </w:tcPr>
          <w:p>
            <w:pPr>
              <w:spacing w:after="0"/>
              <w:rPr>
                <w:sz w:val="13"/>
                <w:szCs w:val="13"/>
                <w:color w:val="auto"/>
              </w:rPr>
            </w:pPr>
          </w:p>
        </w:tc>
        <w:tc>
          <w:tcPr>
            <w:tcW w:w="780" w:type="dxa"/>
            <w:vAlign w:val="bottom"/>
            <w:shd w:val="clear" w:color="auto" w:fill="FBF4ED"/>
          </w:tcPr>
          <w:p>
            <w:pPr>
              <w:spacing w:after="0"/>
              <w:rPr>
                <w:sz w:val="13"/>
                <w:szCs w:val="13"/>
                <w:color w:val="auto"/>
              </w:rPr>
            </w:pPr>
          </w:p>
        </w:tc>
        <w:tc>
          <w:tcPr>
            <w:tcW w:w="60" w:type="dxa"/>
            <w:vAlign w:val="bottom"/>
            <w:shd w:val="clear" w:color="auto" w:fill="FBF4ED"/>
          </w:tcPr>
          <w:p>
            <w:pPr>
              <w:spacing w:after="0"/>
              <w:rPr>
                <w:sz w:val="13"/>
                <w:szCs w:val="13"/>
                <w:color w:val="auto"/>
              </w:rPr>
            </w:pPr>
          </w:p>
        </w:tc>
        <w:tc>
          <w:tcPr>
            <w:tcW w:w="2660" w:type="dxa"/>
            <w:vAlign w:val="bottom"/>
            <w:tcBorders>
              <w:right w:val="single" w:sz="8" w:color="DD924E"/>
            </w:tcBorders>
            <w:shd w:val="clear" w:color="auto" w:fill="FBF4ED"/>
          </w:tcPr>
          <w:p>
            <w:pPr>
              <w:spacing w:after="0"/>
              <w:rPr>
                <w:sz w:val="13"/>
                <w:szCs w:val="13"/>
                <w:color w:val="auto"/>
              </w:rPr>
            </w:pPr>
          </w:p>
        </w:tc>
      </w:tr>
      <w:tr>
        <w:trPr>
          <w:trHeight w:val="175"/>
        </w:trPr>
        <w:tc>
          <w:tcPr>
            <w:tcW w:w="166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stock units</w:t>
            </w:r>
          </w:p>
        </w:tc>
        <w:tc>
          <w:tcPr>
            <w:tcW w:w="86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231,261</w:t>
            </w:r>
          </w:p>
        </w:tc>
        <w:tc>
          <w:tcPr>
            <w:tcW w:w="84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694,025</w:t>
            </w:r>
          </w:p>
        </w:tc>
        <w:tc>
          <w:tcPr>
            <w:tcW w:w="60" w:type="dxa"/>
            <w:vAlign w:val="bottom"/>
            <w:shd w:val="clear" w:color="auto" w:fill="FBF4ED"/>
          </w:tcPr>
          <w:p>
            <w:pPr>
              <w:spacing w:after="0"/>
              <w:rPr>
                <w:sz w:val="15"/>
                <w:szCs w:val="15"/>
                <w:color w:val="auto"/>
              </w:rPr>
            </w:pPr>
          </w:p>
        </w:tc>
        <w:tc>
          <w:tcPr>
            <w:tcW w:w="6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BF4ED"/>
          </w:tcPr>
          <w:p>
            <w:pPr>
              <w:spacing w:after="0"/>
              <w:rPr>
                <w:sz w:val="15"/>
                <w:szCs w:val="15"/>
                <w:color w:val="auto"/>
              </w:rPr>
            </w:pPr>
          </w:p>
        </w:tc>
        <w:tc>
          <w:tcPr>
            <w:tcW w:w="110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1,280,003</w:t>
            </w:r>
          </w:p>
        </w:tc>
        <w:tc>
          <w:tcPr>
            <w:tcW w:w="2720" w:type="dxa"/>
            <w:vAlign w:val="bottom"/>
            <w:tcBorders>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4"/>
                <w:szCs w:val="14"/>
                <w:color w:val="auto"/>
              </w:rPr>
              <w:t>1,511,265</w:t>
            </w:r>
          </w:p>
        </w:tc>
      </w:tr>
      <w:tr>
        <w:trPr>
          <w:trHeight w:val="164"/>
        </w:trPr>
        <w:tc>
          <w:tcPr>
            <w:tcW w:w="1660" w:type="dxa"/>
            <w:vAlign w:val="bottom"/>
            <w:tcBorders>
              <w:left w:val="single" w:sz="8" w:color="DD924E"/>
            </w:tcBorders>
            <w:gridSpan w:val="2"/>
          </w:tcPr>
          <w:p>
            <w:pPr>
              <w:ind w:left="60"/>
              <w:spacing w:after="0"/>
              <w:rPr>
                <w:sz w:val="20"/>
                <w:szCs w:val="20"/>
                <w:color w:val="auto"/>
              </w:rPr>
            </w:pPr>
            <w:r>
              <w:rPr>
                <w:rFonts w:ascii="Arial" w:cs="Arial" w:eastAsia="Arial" w:hAnsi="Arial"/>
                <w:sz w:val="14"/>
                <w:szCs w:val="14"/>
                <w:color w:val="auto"/>
              </w:rPr>
              <w:t>Government-required</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60" w:type="dxa"/>
            <w:vAlign w:val="bottom"/>
            <w:tcBorders>
              <w:right w:val="single" w:sz="8" w:color="DD924E"/>
            </w:tcBorders>
          </w:tcPr>
          <w:p>
            <w:pPr>
              <w:spacing w:after="0"/>
              <w:rPr>
                <w:sz w:val="14"/>
                <w:szCs w:val="14"/>
                <w:color w:val="auto"/>
              </w:rPr>
            </w:pPr>
          </w:p>
        </w:tc>
      </w:tr>
      <w:tr>
        <w:trPr>
          <w:trHeight w:val="221"/>
        </w:trPr>
        <w:tc>
          <w:tcPr>
            <w:tcW w:w="1660" w:type="dxa"/>
            <w:vAlign w:val="bottom"/>
            <w:tcBorders>
              <w:left w:val="single" w:sz="8" w:color="DD924E"/>
              <w:bottom w:val="single" w:sz="8" w:color="DD924E"/>
            </w:tcBorders>
            <w:gridSpan w:val="2"/>
          </w:tcPr>
          <w:p>
            <w:pPr>
              <w:ind w:left="60"/>
              <w:spacing w:after="0" w:line="221" w:lineRule="exact"/>
              <w:rPr>
                <w:sz w:val="20"/>
                <w:szCs w:val="20"/>
                <w:color w:val="auto"/>
              </w:rPr>
            </w:pPr>
            <w:r>
              <w:rPr>
                <w:rFonts w:ascii="Arial" w:cs="Arial" w:eastAsia="Arial" w:hAnsi="Arial"/>
                <w:sz w:val="14"/>
                <w:szCs w:val="14"/>
                <w:color w:val="auto"/>
              </w:rPr>
              <w:t>payouts</w:t>
            </w:r>
            <w:r>
              <w:rPr>
                <w:rFonts w:ascii="Arial" w:cs="Arial" w:eastAsia="Arial" w:hAnsi="Arial"/>
                <w:sz w:val="20"/>
                <w:szCs w:val="20"/>
                <w:color w:val="auto"/>
                <w:vertAlign w:val="superscript"/>
              </w:rPr>
              <w:t>(1)</w:t>
            </w:r>
          </w:p>
        </w:tc>
        <w:tc>
          <w:tcPr>
            <w:tcW w:w="860" w:type="dxa"/>
            <w:vAlign w:val="bottom"/>
            <w:tcBorders>
              <w:bottom w:val="single" w:sz="8" w:color="DD924E"/>
            </w:tcBorders>
            <w:gridSpan w:val="2"/>
          </w:tcPr>
          <w:p>
            <w:pPr>
              <w:jc w:val="right"/>
              <w:spacing w:after="0"/>
              <w:rPr>
                <w:sz w:val="20"/>
                <w:szCs w:val="20"/>
                <w:color w:val="auto"/>
              </w:rPr>
            </w:pPr>
            <w:r>
              <w:rPr>
                <w:rFonts w:ascii="Arial" w:cs="Arial" w:eastAsia="Arial" w:hAnsi="Arial"/>
                <w:sz w:val="14"/>
                <w:szCs w:val="14"/>
                <w:color w:val="auto"/>
              </w:rPr>
              <w:t>90,892</w:t>
            </w:r>
          </w:p>
        </w:tc>
        <w:tc>
          <w:tcPr>
            <w:tcW w:w="840" w:type="dxa"/>
            <w:vAlign w:val="bottom"/>
            <w:tcBorders>
              <w:bottom w:val="single" w:sz="8" w:color="DD924E"/>
            </w:tcBorders>
            <w:gridSpan w:val="2"/>
          </w:tcPr>
          <w:p>
            <w:pPr>
              <w:jc w:val="right"/>
              <w:spacing w:after="0"/>
              <w:rPr>
                <w:sz w:val="20"/>
                <w:szCs w:val="20"/>
                <w:color w:val="auto"/>
              </w:rPr>
            </w:pPr>
            <w:r>
              <w:rPr>
                <w:rFonts w:ascii="Arial" w:cs="Arial" w:eastAsia="Arial" w:hAnsi="Arial"/>
                <w:sz w:val="14"/>
                <w:szCs w:val="14"/>
                <w:color w:val="auto"/>
              </w:rPr>
              <w:t>90,892</w:t>
            </w:r>
          </w:p>
        </w:tc>
        <w:tc>
          <w:tcPr>
            <w:tcW w:w="740" w:type="dxa"/>
            <w:vAlign w:val="bottom"/>
            <w:tcBorders>
              <w:bottom w:val="single" w:sz="8" w:color="DD924E"/>
            </w:tcBorders>
            <w:gridSpan w:val="2"/>
          </w:tcPr>
          <w:p>
            <w:pPr>
              <w:jc w:val="right"/>
              <w:spacing w:after="0"/>
              <w:rPr>
                <w:sz w:val="20"/>
                <w:szCs w:val="20"/>
                <w:color w:val="auto"/>
              </w:rPr>
            </w:pPr>
            <w:r>
              <w:rPr>
                <w:rFonts w:ascii="Arial" w:cs="Arial" w:eastAsia="Arial" w:hAnsi="Arial"/>
                <w:sz w:val="14"/>
                <w:szCs w:val="14"/>
                <w:color w:val="auto"/>
              </w:rPr>
              <w:t>90,892</w:t>
            </w:r>
          </w:p>
        </w:tc>
        <w:tc>
          <w:tcPr>
            <w:tcW w:w="1160" w:type="dxa"/>
            <w:vAlign w:val="bottom"/>
            <w:tcBorders>
              <w:bottom w:val="single" w:sz="8" w:color="DD924E"/>
            </w:tcBorders>
            <w:gridSpan w:val="2"/>
          </w:tcPr>
          <w:p>
            <w:pPr>
              <w:jc w:val="right"/>
              <w:spacing w:after="0"/>
              <w:rPr>
                <w:sz w:val="20"/>
                <w:szCs w:val="20"/>
                <w:color w:val="auto"/>
              </w:rPr>
            </w:pPr>
            <w:r>
              <w:rPr>
                <w:rFonts w:ascii="Arial" w:cs="Arial" w:eastAsia="Arial" w:hAnsi="Arial"/>
                <w:sz w:val="14"/>
                <w:szCs w:val="14"/>
                <w:color w:val="auto"/>
              </w:rPr>
              <w:t>90,892</w:t>
            </w:r>
          </w:p>
        </w:tc>
        <w:tc>
          <w:tcPr>
            <w:tcW w:w="60" w:type="dxa"/>
            <w:vAlign w:val="bottom"/>
            <w:tcBorders>
              <w:bottom w:val="single" w:sz="8" w:color="DD924E"/>
            </w:tcBorders>
          </w:tcPr>
          <w:p>
            <w:pPr>
              <w:spacing w:after="0"/>
              <w:rPr>
                <w:sz w:val="19"/>
                <w:szCs w:val="19"/>
                <w:color w:val="auto"/>
              </w:rPr>
            </w:pPr>
          </w:p>
        </w:tc>
        <w:tc>
          <w:tcPr>
            <w:tcW w:w="780" w:type="dxa"/>
            <w:vAlign w:val="bottom"/>
            <w:tcBorders>
              <w:bottom w:val="single" w:sz="8" w:color="DD924E"/>
            </w:tcBorders>
          </w:tcPr>
          <w:p>
            <w:pPr>
              <w:jc w:val="right"/>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DD924E"/>
              <w:right w:val="single" w:sz="8" w:color="DD924E"/>
            </w:tcBorders>
            <w:gridSpan w:val="2"/>
          </w:tcPr>
          <w:p>
            <w:pPr>
              <w:jc w:val="right"/>
              <w:ind w:right="12"/>
              <w:spacing w:after="0"/>
              <w:rPr>
                <w:sz w:val="20"/>
                <w:szCs w:val="20"/>
                <w:color w:val="auto"/>
              </w:rPr>
            </w:pPr>
            <w:r>
              <w:rPr>
                <w:rFonts w:ascii="Arial" w:cs="Arial" w:eastAsia="Arial" w:hAnsi="Arial"/>
                <w:sz w:val="14"/>
                <w:szCs w:val="14"/>
                <w:color w:val="auto"/>
              </w:rPr>
              <w:t>90,892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121920</wp:posOffset>
            </wp:positionV>
            <wp:extent cx="12865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267" w:lineRule="exact"/>
        <w:rPr>
          <w:sz w:val="20"/>
          <w:szCs w:val="20"/>
          <w:color w:val="auto"/>
        </w:rPr>
      </w:pPr>
    </w:p>
    <w:p>
      <w:pPr>
        <w:ind w:left="840" w:hanging="345"/>
        <w:spacing w:after="0"/>
        <w:tabs>
          <w:tab w:leader="none" w:pos="840"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distributions under the Gratuity Plan, which is due to Mr. Bagai because he has earned over five years of credited service.</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Nagaraja Srivatsan</w:t>
      </w:r>
    </w:p>
    <w:p>
      <w:pPr>
        <w:spacing w:after="0" w:line="171"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Either Mr. Srivatsan or we may terminate Mr. Srivatsan’s employment at any time (though we must give Mr. Srivatsan 30 days’ notice if the termination is without “cause” and Mr. Srivatsan must give us 90 days’ advance notice upon any resignation). If Mr. Srivatsan’s employment with the Company is terminated by the Company without “cause” or by Mr. Srivatsan for “good reason,” as summarized below, Mr. Srivatsan will receive a cash severance payment equal to 12 months base salary, payable in accordance with the Company’s regular payroll practices.</w:t>
      </w:r>
    </w:p>
    <w:p>
      <w:pPr>
        <w:spacing w:after="0" w:line="337" w:lineRule="exact"/>
        <w:rPr>
          <w:sz w:val="20"/>
          <w:szCs w:val="20"/>
          <w:color w:val="auto"/>
        </w:rPr>
      </w:pPr>
    </w:p>
    <w:p>
      <w:pPr>
        <w:jc w:val="both"/>
        <w:ind w:left="160" w:right="79"/>
        <w:spacing w:after="0" w:line="257" w:lineRule="auto"/>
        <w:rPr>
          <w:sz w:val="20"/>
          <w:szCs w:val="20"/>
          <w:color w:val="auto"/>
        </w:rPr>
      </w:pPr>
      <w:r>
        <w:rPr>
          <w:rFonts w:ascii="Arial" w:cs="Arial" w:eastAsia="Arial" w:hAnsi="Arial"/>
          <w:sz w:val="17"/>
          <w:szCs w:val="17"/>
          <w:color w:val="auto"/>
        </w:rPr>
        <w:t>On a “change in control” (as defined in the 2006 Plan or 2015 Plan, as applicable) or death, Mr. Srivatsan’s outstanding equity awards will vest in the same manner as described for Mr. Chhibbar’s outstanding equity awards beginning on page 58.</w:t>
      </w:r>
    </w:p>
    <w:p>
      <w:pPr>
        <w:spacing w:after="0" w:line="116" w:lineRule="exact"/>
        <w:rPr>
          <w:sz w:val="20"/>
          <w:szCs w:val="20"/>
          <w:color w:val="auto"/>
        </w:rPr>
      </w:pPr>
    </w:p>
    <w:p>
      <w:pPr>
        <w:jc w:val="both"/>
        <w:ind w:left="160" w:right="59"/>
        <w:spacing w:after="0" w:line="255" w:lineRule="auto"/>
        <w:rPr>
          <w:sz w:val="20"/>
          <w:szCs w:val="20"/>
          <w:color w:val="auto"/>
        </w:rPr>
      </w:pPr>
      <w:r>
        <w:rPr>
          <w:rFonts w:ascii="Arial" w:cs="Arial" w:eastAsia="Arial" w:hAnsi="Arial"/>
          <w:sz w:val="17"/>
          <w:szCs w:val="17"/>
          <w:color w:val="auto"/>
        </w:rPr>
        <w:t>Mr. Srivatsan’s severance payments and termination-related equity acceleration are subject to his execution of a release of claims against us. Mr. Srivatsan is subject to confidentiality restrictions at all times, as well as noncompetition, nondisparagement and nonsolicitation restrictions during his employment and for one year thereafter.</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Indicative Payouts for Nagaraja Srivatsan</w:t>
      </w:r>
    </w:p>
    <w:p>
      <w:pPr>
        <w:spacing w:after="0" w:line="171" w:lineRule="exact"/>
        <w:rPr>
          <w:sz w:val="20"/>
          <w:szCs w:val="20"/>
          <w:color w:val="auto"/>
        </w:rPr>
      </w:pPr>
    </w:p>
    <w:tbl>
      <w:tblPr>
        <w:tblLayout w:type="fixed"/>
        <w:tblInd w:w="170" w:type="dxa"/>
        <w:tblCellMar>
          <w:top w:w="0" w:type="dxa"/>
          <w:left w:w="0" w:type="dxa"/>
          <w:bottom w:w="0" w:type="dxa"/>
          <w:right w:w="0" w:type="dxa"/>
        </w:tblCellMar>
      </w:tblPr>
      <w:tr>
        <w:trPr>
          <w:trHeight w:val="181"/>
        </w:trPr>
        <w:tc>
          <w:tcPr>
            <w:tcW w:w="60" w:type="dxa"/>
            <w:vAlign w:val="bottom"/>
            <w:tcBorders>
              <w:left w:val="single" w:sz="8" w:color="DD924E"/>
            </w:tcBorders>
            <w:shd w:val="clear" w:color="auto" w:fill="DD924E"/>
          </w:tcPr>
          <w:p>
            <w:pPr>
              <w:spacing w:after="0"/>
              <w:rPr>
                <w:sz w:val="15"/>
                <w:szCs w:val="15"/>
                <w:color w:val="auto"/>
              </w:rPr>
            </w:pPr>
          </w:p>
        </w:tc>
        <w:tc>
          <w:tcPr>
            <w:tcW w:w="1780" w:type="dxa"/>
            <w:vAlign w:val="bottom"/>
            <w:shd w:val="clear" w:color="auto" w:fill="DD924E"/>
          </w:tcPr>
          <w:p>
            <w:pPr>
              <w:spacing w:after="0"/>
              <w:rPr>
                <w:sz w:val="15"/>
                <w:szCs w:val="15"/>
                <w:color w:val="auto"/>
              </w:rPr>
            </w:pPr>
          </w:p>
        </w:tc>
        <w:tc>
          <w:tcPr>
            <w:tcW w:w="80" w:type="dxa"/>
            <w:vAlign w:val="bottom"/>
            <w:shd w:val="clear" w:color="auto" w:fill="DD924E"/>
          </w:tcPr>
          <w:p>
            <w:pPr>
              <w:spacing w:after="0"/>
              <w:rPr>
                <w:sz w:val="15"/>
                <w:szCs w:val="15"/>
                <w:color w:val="auto"/>
              </w:rPr>
            </w:pPr>
          </w:p>
        </w:tc>
        <w:tc>
          <w:tcPr>
            <w:tcW w:w="78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Death</w:t>
            </w:r>
          </w:p>
        </w:tc>
        <w:tc>
          <w:tcPr>
            <w:tcW w:w="80" w:type="dxa"/>
            <w:vAlign w:val="bottom"/>
            <w:shd w:val="clear" w:color="auto" w:fill="DD924E"/>
          </w:tcPr>
          <w:p>
            <w:pPr>
              <w:spacing w:after="0"/>
              <w:rPr>
                <w:sz w:val="15"/>
                <w:szCs w:val="15"/>
                <w:color w:val="auto"/>
              </w:rPr>
            </w:pPr>
          </w:p>
        </w:tc>
        <w:tc>
          <w:tcPr>
            <w:tcW w:w="78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Death</w:t>
            </w:r>
          </w:p>
        </w:tc>
        <w:tc>
          <w:tcPr>
            <w:tcW w:w="60" w:type="dxa"/>
            <w:vAlign w:val="bottom"/>
            <w:shd w:val="clear" w:color="auto" w:fill="DD924E"/>
          </w:tcPr>
          <w:p>
            <w:pPr>
              <w:spacing w:after="0"/>
              <w:rPr>
                <w:sz w:val="15"/>
                <w:szCs w:val="15"/>
                <w:color w:val="auto"/>
              </w:rPr>
            </w:pPr>
          </w:p>
        </w:tc>
        <w:tc>
          <w:tcPr>
            <w:tcW w:w="1260" w:type="dxa"/>
            <w:vAlign w:val="bottom"/>
            <w:shd w:val="clear" w:color="auto" w:fill="DD924E"/>
          </w:tcPr>
          <w:p>
            <w:pPr>
              <w:spacing w:after="0"/>
              <w:rPr>
                <w:sz w:val="15"/>
                <w:szCs w:val="15"/>
                <w:color w:val="auto"/>
              </w:rPr>
            </w:pPr>
          </w:p>
        </w:tc>
        <w:tc>
          <w:tcPr>
            <w:tcW w:w="60" w:type="dxa"/>
            <w:vAlign w:val="bottom"/>
            <w:shd w:val="clear" w:color="auto" w:fill="DD924E"/>
          </w:tcPr>
          <w:p>
            <w:pPr>
              <w:spacing w:after="0"/>
              <w:rPr>
                <w:sz w:val="15"/>
                <w:szCs w:val="15"/>
                <w:color w:val="auto"/>
              </w:rPr>
            </w:pPr>
          </w:p>
        </w:tc>
        <w:tc>
          <w:tcPr>
            <w:tcW w:w="800" w:type="dxa"/>
            <w:vAlign w:val="bottom"/>
            <w:shd w:val="clear" w:color="auto" w:fill="DD924E"/>
          </w:tcPr>
          <w:p>
            <w:pPr>
              <w:spacing w:after="0"/>
              <w:rPr>
                <w:sz w:val="15"/>
                <w:szCs w:val="15"/>
                <w:color w:val="auto"/>
              </w:rPr>
            </w:pPr>
          </w:p>
        </w:tc>
        <w:tc>
          <w:tcPr>
            <w:tcW w:w="60" w:type="dxa"/>
            <w:vAlign w:val="bottom"/>
            <w:shd w:val="clear" w:color="auto" w:fill="DD924E"/>
          </w:tcPr>
          <w:p>
            <w:pPr>
              <w:spacing w:after="0"/>
              <w:rPr>
                <w:sz w:val="15"/>
                <w:szCs w:val="15"/>
                <w:color w:val="auto"/>
              </w:rPr>
            </w:pPr>
          </w:p>
        </w:tc>
        <w:tc>
          <w:tcPr>
            <w:tcW w:w="3000" w:type="dxa"/>
            <w:vAlign w:val="bottom"/>
            <w:tcBorders>
              <w:right w:val="single" w:sz="8" w:color="DD924E"/>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6"/>
              </w:rPr>
              <w:t>Termination Without Cause or for Good</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780" w:type="dxa"/>
            <w:vAlign w:val="bottom"/>
            <w:shd w:val="clear" w:color="auto" w:fill="DD924E"/>
          </w:tcPr>
          <w:p>
            <w:pPr>
              <w:spacing w:after="0"/>
              <w:rPr>
                <w:sz w:val="13"/>
                <w:szCs w:val="13"/>
                <w:color w:val="auto"/>
              </w:rPr>
            </w:pPr>
          </w:p>
        </w:tc>
        <w:tc>
          <w:tcPr>
            <w:tcW w:w="8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Prior to</w:t>
            </w:r>
          </w:p>
        </w:tc>
        <w:tc>
          <w:tcPr>
            <w:tcW w:w="8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After</w:t>
            </w:r>
          </w:p>
        </w:tc>
        <w:tc>
          <w:tcPr>
            <w:tcW w:w="60" w:type="dxa"/>
            <w:vAlign w:val="bottom"/>
            <w:shd w:val="clear" w:color="auto" w:fill="DD924E"/>
          </w:tcPr>
          <w:p>
            <w:pPr>
              <w:spacing w:after="0"/>
              <w:rPr>
                <w:sz w:val="13"/>
                <w:szCs w:val="13"/>
                <w:color w:val="auto"/>
              </w:rPr>
            </w:pPr>
          </w:p>
        </w:tc>
        <w:tc>
          <w:tcPr>
            <w:tcW w:w="12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5"/>
              </w:rPr>
              <w:t>Termination for</w:t>
            </w:r>
          </w:p>
        </w:tc>
        <w:tc>
          <w:tcPr>
            <w:tcW w:w="60" w:type="dxa"/>
            <w:vAlign w:val="bottom"/>
            <w:shd w:val="clear" w:color="auto" w:fill="DD924E"/>
          </w:tcPr>
          <w:p>
            <w:pPr>
              <w:spacing w:after="0"/>
              <w:rPr>
                <w:sz w:val="13"/>
                <w:szCs w:val="13"/>
                <w:color w:val="auto"/>
              </w:rPr>
            </w:pPr>
          </w:p>
        </w:tc>
        <w:tc>
          <w:tcPr>
            <w:tcW w:w="800" w:type="dxa"/>
            <w:vAlign w:val="bottom"/>
            <w:shd w:val="clear" w:color="auto" w:fill="DD924E"/>
          </w:tcPr>
          <w:p>
            <w:pPr>
              <w:spacing w:after="0"/>
              <w:rPr>
                <w:sz w:val="13"/>
                <w:szCs w:val="13"/>
                <w:color w:val="auto"/>
              </w:rPr>
            </w:pPr>
          </w:p>
        </w:tc>
        <w:tc>
          <w:tcPr>
            <w:tcW w:w="60" w:type="dxa"/>
            <w:vAlign w:val="bottom"/>
            <w:shd w:val="clear" w:color="auto" w:fill="DD924E"/>
          </w:tcPr>
          <w:p>
            <w:pPr>
              <w:spacing w:after="0"/>
              <w:rPr>
                <w:sz w:val="13"/>
                <w:szCs w:val="13"/>
                <w:color w:val="auto"/>
              </w:rPr>
            </w:pPr>
          </w:p>
        </w:tc>
        <w:tc>
          <w:tcPr>
            <w:tcW w:w="3000" w:type="dxa"/>
            <w:vAlign w:val="bottom"/>
            <w:tcBorders>
              <w:right w:val="single" w:sz="8" w:color="DD924E"/>
            </w:tcBorders>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8"/>
              </w:rPr>
              <w:t>Reason Following Change in Control or</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780" w:type="dxa"/>
            <w:vAlign w:val="bottom"/>
            <w:shd w:val="clear" w:color="auto" w:fill="DD924E"/>
          </w:tcPr>
          <w:p>
            <w:pPr>
              <w:spacing w:after="0"/>
              <w:rPr>
                <w:sz w:val="13"/>
                <w:szCs w:val="13"/>
                <w:color w:val="auto"/>
              </w:rPr>
            </w:pPr>
          </w:p>
        </w:tc>
        <w:tc>
          <w:tcPr>
            <w:tcW w:w="8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8"/>
              </w:rPr>
              <w:t>a Change</w:t>
            </w:r>
          </w:p>
        </w:tc>
        <w:tc>
          <w:tcPr>
            <w:tcW w:w="8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8"/>
              </w:rPr>
              <w:t>a Change</w:t>
            </w:r>
          </w:p>
        </w:tc>
        <w:tc>
          <w:tcPr>
            <w:tcW w:w="60" w:type="dxa"/>
            <w:vAlign w:val="bottom"/>
            <w:shd w:val="clear" w:color="auto" w:fill="DD924E"/>
          </w:tcPr>
          <w:p>
            <w:pPr>
              <w:spacing w:after="0"/>
              <w:rPr>
                <w:sz w:val="13"/>
                <w:szCs w:val="13"/>
                <w:color w:val="auto"/>
              </w:rPr>
            </w:pPr>
          </w:p>
        </w:tc>
        <w:tc>
          <w:tcPr>
            <w:tcW w:w="12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Good Reason or</w:t>
            </w:r>
          </w:p>
        </w:tc>
        <w:tc>
          <w:tcPr>
            <w:tcW w:w="60" w:type="dxa"/>
            <w:vAlign w:val="bottom"/>
            <w:shd w:val="clear" w:color="auto" w:fill="DD924E"/>
          </w:tcPr>
          <w:p>
            <w:pPr>
              <w:spacing w:after="0"/>
              <w:rPr>
                <w:sz w:val="13"/>
                <w:szCs w:val="13"/>
                <w:color w:val="auto"/>
              </w:rPr>
            </w:pPr>
          </w:p>
        </w:tc>
        <w:tc>
          <w:tcPr>
            <w:tcW w:w="8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Change in</w:t>
            </w:r>
          </w:p>
        </w:tc>
        <w:tc>
          <w:tcPr>
            <w:tcW w:w="60" w:type="dxa"/>
            <w:vAlign w:val="bottom"/>
            <w:shd w:val="clear" w:color="auto" w:fill="DD924E"/>
          </w:tcPr>
          <w:p>
            <w:pPr>
              <w:spacing w:after="0"/>
              <w:rPr>
                <w:sz w:val="13"/>
                <w:szCs w:val="13"/>
                <w:color w:val="auto"/>
              </w:rPr>
            </w:pPr>
          </w:p>
        </w:tc>
        <w:tc>
          <w:tcPr>
            <w:tcW w:w="3000" w:type="dxa"/>
            <w:vAlign w:val="bottom"/>
            <w:tcBorders>
              <w:right w:val="single" w:sz="8" w:color="DD924E"/>
            </w:tcBorders>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Termination Without Cause in Specific</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Payments upon</w:t>
            </w:r>
          </w:p>
        </w:tc>
        <w:tc>
          <w:tcPr>
            <w:tcW w:w="8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in Control</w:t>
            </w:r>
          </w:p>
        </w:tc>
        <w:tc>
          <w:tcPr>
            <w:tcW w:w="80" w:type="dxa"/>
            <w:vAlign w:val="bottom"/>
            <w:shd w:val="clear" w:color="auto" w:fill="DD924E"/>
          </w:tcPr>
          <w:p>
            <w:pPr>
              <w:spacing w:after="0"/>
              <w:rPr>
                <w:sz w:val="13"/>
                <w:szCs w:val="13"/>
                <w:color w:val="auto"/>
              </w:rPr>
            </w:pPr>
          </w:p>
        </w:tc>
        <w:tc>
          <w:tcPr>
            <w:tcW w:w="7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in Control</w:t>
            </w:r>
          </w:p>
        </w:tc>
        <w:tc>
          <w:tcPr>
            <w:tcW w:w="60" w:type="dxa"/>
            <w:vAlign w:val="bottom"/>
            <w:shd w:val="clear" w:color="auto" w:fill="DD924E"/>
          </w:tcPr>
          <w:p>
            <w:pPr>
              <w:spacing w:after="0"/>
              <w:rPr>
                <w:sz w:val="13"/>
                <w:szCs w:val="13"/>
                <w:color w:val="auto"/>
              </w:rPr>
            </w:pPr>
          </w:p>
        </w:tc>
        <w:tc>
          <w:tcPr>
            <w:tcW w:w="126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Without Cause</w:t>
            </w:r>
          </w:p>
        </w:tc>
        <w:tc>
          <w:tcPr>
            <w:tcW w:w="60" w:type="dxa"/>
            <w:vAlign w:val="bottom"/>
            <w:shd w:val="clear" w:color="auto" w:fill="DD924E"/>
          </w:tcPr>
          <w:p>
            <w:pPr>
              <w:spacing w:after="0"/>
              <w:rPr>
                <w:sz w:val="13"/>
                <w:szCs w:val="13"/>
                <w:color w:val="auto"/>
              </w:rPr>
            </w:pPr>
          </w:p>
        </w:tc>
        <w:tc>
          <w:tcPr>
            <w:tcW w:w="8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Control</w:t>
            </w:r>
          </w:p>
        </w:tc>
        <w:tc>
          <w:tcPr>
            <w:tcW w:w="60" w:type="dxa"/>
            <w:vAlign w:val="bottom"/>
            <w:shd w:val="clear" w:color="auto" w:fill="DD924E"/>
          </w:tcPr>
          <w:p>
            <w:pPr>
              <w:spacing w:after="0"/>
              <w:rPr>
                <w:sz w:val="13"/>
                <w:szCs w:val="13"/>
                <w:color w:val="auto"/>
              </w:rPr>
            </w:pPr>
          </w:p>
        </w:tc>
        <w:tc>
          <w:tcPr>
            <w:tcW w:w="3000" w:type="dxa"/>
            <w:vAlign w:val="bottom"/>
            <w:tcBorders>
              <w:right w:val="single" w:sz="8" w:color="DD924E"/>
            </w:tcBorders>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Contemplation of Change in Control</w:t>
            </w:r>
          </w:p>
        </w:tc>
      </w:tr>
      <w:tr>
        <w:trPr>
          <w:trHeight w:val="184"/>
        </w:trPr>
        <w:tc>
          <w:tcPr>
            <w:tcW w:w="60" w:type="dxa"/>
            <w:vAlign w:val="bottom"/>
            <w:tcBorders>
              <w:left w:val="single" w:sz="8" w:color="DD924E"/>
              <w:bottom w:val="single" w:sz="8" w:color="DD924E"/>
            </w:tcBorders>
            <w:shd w:val="clear" w:color="auto" w:fill="DD924E"/>
          </w:tcPr>
          <w:p>
            <w:pPr>
              <w:spacing w:after="0"/>
              <w:rPr>
                <w:sz w:val="15"/>
                <w:szCs w:val="15"/>
                <w:color w:val="auto"/>
              </w:rPr>
            </w:pPr>
          </w:p>
        </w:tc>
        <w:tc>
          <w:tcPr>
            <w:tcW w:w="178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Termination</w:t>
            </w:r>
          </w:p>
        </w:tc>
        <w:tc>
          <w:tcPr>
            <w:tcW w:w="80" w:type="dxa"/>
            <w:vAlign w:val="bottom"/>
            <w:tcBorders>
              <w:bottom w:val="single" w:sz="8" w:color="DD924E"/>
            </w:tcBorders>
            <w:shd w:val="clear" w:color="auto" w:fill="DD924E"/>
          </w:tcPr>
          <w:p>
            <w:pPr>
              <w:spacing w:after="0"/>
              <w:rPr>
                <w:sz w:val="15"/>
                <w:szCs w:val="15"/>
                <w:color w:val="auto"/>
              </w:rPr>
            </w:pPr>
          </w:p>
        </w:tc>
        <w:tc>
          <w:tcPr>
            <w:tcW w:w="78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3"/>
              </w:rPr>
              <w:t>($)</w:t>
            </w:r>
          </w:p>
        </w:tc>
        <w:tc>
          <w:tcPr>
            <w:tcW w:w="80" w:type="dxa"/>
            <w:vAlign w:val="bottom"/>
            <w:tcBorders>
              <w:bottom w:val="single" w:sz="8" w:color="DD924E"/>
            </w:tcBorders>
            <w:shd w:val="clear" w:color="auto" w:fill="DD924E"/>
          </w:tcPr>
          <w:p>
            <w:pPr>
              <w:spacing w:after="0"/>
              <w:rPr>
                <w:sz w:val="15"/>
                <w:szCs w:val="15"/>
                <w:color w:val="auto"/>
              </w:rPr>
            </w:pPr>
          </w:p>
        </w:tc>
        <w:tc>
          <w:tcPr>
            <w:tcW w:w="78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3"/>
              </w:rPr>
              <w:t>($)</w:t>
            </w:r>
          </w:p>
        </w:tc>
        <w:tc>
          <w:tcPr>
            <w:tcW w:w="60" w:type="dxa"/>
            <w:vAlign w:val="bottom"/>
            <w:tcBorders>
              <w:bottom w:val="single" w:sz="8" w:color="DD924E"/>
            </w:tcBorders>
            <w:shd w:val="clear" w:color="auto" w:fill="DD924E"/>
          </w:tcPr>
          <w:p>
            <w:pPr>
              <w:spacing w:after="0"/>
              <w:rPr>
                <w:sz w:val="15"/>
                <w:szCs w:val="15"/>
                <w:color w:val="auto"/>
              </w:rPr>
            </w:pPr>
          </w:p>
        </w:tc>
        <w:tc>
          <w:tcPr>
            <w:tcW w:w="126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3"/>
              </w:rPr>
              <w:t>($)</w:t>
            </w:r>
          </w:p>
        </w:tc>
        <w:tc>
          <w:tcPr>
            <w:tcW w:w="60" w:type="dxa"/>
            <w:vAlign w:val="bottom"/>
            <w:tcBorders>
              <w:bottom w:val="single" w:sz="8" w:color="DD924E"/>
            </w:tcBorders>
            <w:shd w:val="clear" w:color="auto" w:fill="DD924E"/>
          </w:tcPr>
          <w:p>
            <w:pPr>
              <w:spacing w:after="0"/>
              <w:rPr>
                <w:sz w:val="15"/>
                <w:szCs w:val="15"/>
                <w:color w:val="auto"/>
              </w:rPr>
            </w:pPr>
          </w:p>
        </w:tc>
        <w:tc>
          <w:tcPr>
            <w:tcW w:w="80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3"/>
              </w:rPr>
              <w:t>($)</w:t>
            </w:r>
          </w:p>
        </w:tc>
        <w:tc>
          <w:tcPr>
            <w:tcW w:w="60" w:type="dxa"/>
            <w:vAlign w:val="bottom"/>
            <w:tcBorders>
              <w:bottom w:val="single" w:sz="8" w:color="DD924E"/>
            </w:tcBorders>
            <w:shd w:val="clear" w:color="auto" w:fill="DD924E"/>
          </w:tcPr>
          <w:p>
            <w:pPr>
              <w:spacing w:after="0"/>
              <w:rPr>
                <w:sz w:val="15"/>
                <w:szCs w:val="15"/>
                <w:color w:val="auto"/>
              </w:rPr>
            </w:pPr>
          </w:p>
        </w:tc>
        <w:tc>
          <w:tcPr>
            <w:tcW w:w="3000" w:type="dxa"/>
            <w:vAlign w:val="bottom"/>
            <w:tcBorders>
              <w:bottom w:val="single" w:sz="8" w:color="auto"/>
              <w:right w:val="single" w:sz="8" w:color="DD924E"/>
            </w:tcBorders>
            <w:shd w:val="clear" w:color="auto" w:fill="DD924E"/>
          </w:tcPr>
          <w:p>
            <w:pPr>
              <w:jc w:val="center"/>
              <w:spacing w:after="0"/>
              <w:rPr>
                <w:sz w:val="20"/>
                <w:szCs w:val="20"/>
                <w:color w:val="auto"/>
              </w:rPr>
            </w:pPr>
            <w:r>
              <w:rPr>
                <w:rFonts w:ascii="Arial" w:cs="Arial" w:eastAsia="Arial" w:hAnsi="Arial"/>
                <w:sz w:val="14"/>
                <w:szCs w:val="14"/>
                <w:b w:val="1"/>
                <w:bCs w:val="1"/>
                <w:color w:val="FFFFFF"/>
              </w:rPr>
              <w:t>($)</w:t>
            </w:r>
          </w:p>
        </w:tc>
      </w:tr>
      <w:tr>
        <w:trPr>
          <w:trHeight w:val="205"/>
        </w:trPr>
        <w:tc>
          <w:tcPr>
            <w:tcW w:w="184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Base salary payout</w:t>
            </w:r>
          </w:p>
        </w:tc>
        <w:tc>
          <w:tcPr>
            <w:tcW w:w="80" w:type="dxa"/>
            <w:vAlign w:val="bottom"/>
            <w:shd w:val="clear" w:color="auto" w:fill="FBF4ED"/>
          </w:tcPr>
          <w:p>
            <w:pPr>
              <w:spacing w:after="0"/>
              <w:rPr>
                <w:sz w:val="17"/>
                <w:szCs w:val="17"/>
                <w:color w:val="auto"/>
              </w:rPr>
            </w:pPr>
          </w:p>
        </w:tc>
        <w:tc>
          <w:tcPr>
            <w:tcW w:w="7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BF4ED"/>
          </w:tcPr>
          <w:p>
            <w:pPr>
              <w:spacing w:after="0"/>
              <w:rPr>
                <w:sz w:val="17"/>
                <w:szCs w:val="17"/>
                <w:color w:val="auto"/>
              </w:rPr>
            </w:pPr>
          </w:p>
        </w:tc>
        <w:tc>
          <w:tcPr>
            <w:tcW w:w="7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415,000</w:t>
            </w:r>
          </w:p>
        </w:tc>
        <w:tc>
          <w:tcPr>
            <w:tcW w:w="60" w:type="dxa"/>
            <w:vAlign w:val="bottom"/>
            <w:shd w:val="clear" w:color="auto" w:fill="FBF4ED"/>
          </w:tcPr>
          <w:p>
            <w:pPr>
              <w:spacing w:after="0"/>
              <w:rPr>
                <w:sz w:val="17"/>
                <w:szCs w:val="17"/>
                <w:color w:val="auto"/>
              </w:rPr>
            </w:pPr>
          </w:p>
        </w:tc>
        <w:tc>
          <w:tcPr>
            <w:tcW w:w="80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3060" w:type="dxa"/>
            <w:vAlign w:val="bottom"/>
            <w:tcBorders>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4"/>
                <w:szCs w:val="14"/>
                <w:color w:val="auto"/>
              </w:rPr>
              <w:t>415,000</w:t>
            </w:r>
          </w:p>
        </w:tc>
      </w:tr>
      <w:tr>
        <w:trPr>
          <w:trHeight w:val="199"/>
        </w:trPr>
        <w:tc>
          <w:tcPr>
            <w:tcW w:w="1840" w:type="dxa"/>
            <w:vAlign w:val="bottom"/>
            <w:tcBorders>
              <w:left w:val="single" w:sz="8" w:color="DD924E"/>
            </w:tcBorders>
            <w:gridSpan w:val="2"/>
          </w:tcPr>
          <w:p>
            <w:pPr>
              <w:ind w:left="60"/>
              <w:spacing w:after="0"/>
              <w:rPr>
                <w:sz w:val="20"/>
                <w:szCs w:val="20"/>
                <w:color w:val="auto"/>
              </w:rPr>
            </w:pPr>
            <w:r>
              <w:rPr>
                <w:rFonts w:ascii="Arial" w:cs="Arial" w:eastAsia="Arial" w:hAnsi="Arial"/>
                <w:sz w:val="14"/>
                <w:szCs w:val="14"/>
                <w:color w:val="auto"/>
              </w:rPr>
              <w:t>Restricted stock units</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398,310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398,310</w:t>
            </w:r>
          </w:p>
        </w:tc>
        <w:tc>
          <w:tcPr>
            <w:tcW w:w="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371,153</w:t>
            </w:r>
          </w:p>
        </w:tc>
        <w:tc>
          <w:tcPr>
            <w:tcW w:w="306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4"/>
                <w:szCs w:val="14"/>
                <w:color w:val="auto"/>
              </w:rPr>
              <w:t>1,213,035</w:t>
            </w:r>
          </w:p>
        </w:tc>
      </w:tr>
      <w:tr>
        <w:trPr>
          <w:trHeight w:val="190"/>
        </w:trPr>
        <w:tc>
          <w:tcPr>
            <w:tcW w:w="184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Performance restricted</w:t>
            </w:r>
          </w:p>
        </w:tc>
        <w:tc>
          <w:tcPr>
            <w:tcW w:w="80" w:type="dxa"/>
            <w:vAlign w:val="bottom"/>
            <w:shd w:val="clear" w:color="auto" w:fill="FBF4ED"/>
          </w:tcPr>
          <w:p>
            <w:pPr>
              <w:spacing w:after="0"/>
              <w:rPr>
                <w:sz w:val="16"/>
                <w:szCs w:val="16"/>
                <w:color w:val="auto"/>
              </w:rPr>
            </w:pPr>
          </w:p>
        </w:tc>
        <w:tc>
          <w:tcPr>
            <w:tcW w:w="780" w:type="dxa"/>
            <w:vAlign w:val="bottom"/>
            <w:shd w:val="clear" w:color="auto" w:fill="FBF4ED"/>
          </w:tcPr>
          <w:p>
            <w:pPr>
              <w:spacing w:after="0"/>
              <w:rPr>
                <w:sz w:val="16"/>
                <w:szCs w:val="16"/>
                <w:color w:val="auto"/>
              </w:rPr>
            </w:pPr>
          </w:p>
        </w:tc>
        <w:tc>
          <w:tcPr>
            <w:tcW w:w="80" w:type="dxa"/>
            <w:vAlign w:val="bottom"/>
            <w:shd w:val="clear" w:color="auto" w:fill="FBF4ED"/>
          </w:tcPr>
          <w:p>
            <w:pPr>
              <w:spacing w:after="0"/>
              <w:rPr>
                <w:sz w:val="16"/>
                <w:szCs w:val="16"/>
                <w:color w:val="auto"/>
              </w:rPr>
            </w:pPr>
          </w:p>
        </w:tc>
        <w:tc>
          <w:tcPr>
            <w:tcW w:w="78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126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800" w:type="dxa"/>
            <w:vAlign w:val="bottom"/>
            <w:shd w:val="clear" w:color="auto" w:fill="FBF4ED"/>
          </w:tcPr>
          <w:p>
            <w:pPr>
              <w:spacing w:after="0"/>
              <w:rPr>
                <w:sz w:val="16"/>
                <w:szCs w:val="16"/>
                <w:color w:val="auto"/>
              </w:rPr>
            </w:pPr>
          </w:p>
        </w:tc>
        <w:tc>
          <w:tcPr>
            <w:tcW w:w="60" w:type="dxa"/>
            <w:vAlign w:val="bottom"/>
            <w:shd w:val="clear" w:color="auto" w:fill="FBF4ED"/>
          </w:tcPr>
          <w:p>
            <w:pPr>
              <w:spacing w:after="0"/>
              <w:rPr>
                <w:sz w:val="16"/>
                <w:szCs w:val="16"/>
                <w:color w:val="auto"/>
              </w:rPr>
            </w:pPr>
          </w:p>
        </w:tc>
        <w:tc>
          <w:tcPr>
            <w:tcW w:w="3000" w:type="dxa"/>
            <w:vAlign w:val="bottom"/>
            <w:tcBorders>
              <w:right w:val="single" w:sz="8" w:color="DD924E"/>
            </w:tcBorders>
            <w:shd w:val="clear" w:color="auto" w:fill="FBF4ED"/>
          </w:tcPr>
          <w:p>
            <w:pPr>
              <w:spacing w:after="0"/>
              <w:rPr>
                <w:sz w:val="16"/>
                <w:szCs w:val="16"/>
                <w:color w:val="auto"/>
              </w:rPr>
            </w:pPr>
          </w:p>
        </w:tc>
      </w:tr>
      <w:tr>
        <w:trPr>
          <w:trHeight w:val="169"/>
        </w:trPr>
        <w:tc>
          <w:tcPr>
            <w:tcW w:w="1840" w:type="dxa"/>
            <w:vAlign w:val="bottom"/>
            <w:tcBorders>
              <w:left w:val="single" w:sz="8" w:color="DD924E"/>
              <w:bottom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stock units</w:t>
            </w:r>
          </w:p>
        </w:tc>
        <w:tc>
          <w:tcPr>
            <w:tcW w:w="860" w:type="dxa"/>
            <w:vAlign w:val="bottom"/>
            <w:tcBorders>
              <w:bottom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132,770</w:t>
            </w:r>
          </w:p>
        </w:tc>
        <w:tc>
          <w:tcPr>
            <w:tcW w:w="860" w:type="dxa"/>
            <w:vAlign w:val="bottom"/>
            <w:tcBorders>
              <w:bottom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398,310</w:t>
            </w:r>
          </w:p>
        </w:tc>
        <w:tc>
          <w:tcPr>
            <w:tcW w:w="60" w:type="dxa"/>
            <w:vAlign w:val="bottom"/>
            <w:tcBorders>
              <w:bottom w:val="single" w:sz="8" w:color="DD924E"/>
            </w:tcBorders>
            <w:shd w:val="clear" w:color="auto" w:fill="FBF4ED"/>
          </w:tcPr>
          <w:p>
            <w:pPr>
              <w:spacing w:after="0"/>
              <w:rPr>
                <w:sz w:val="14"/>
                <w:szCs w:val="14"/>
                <w:color w:val="auto"/>
              </w:rPr>
            </w:pPr>
          </w:p>
        </w:tc>
        <w:tc>
          <w:tcPr>
            <w:tcW w:w="1260" w:type="dxa"/>
            <w:vAlign w:val="bottom"/>
            <w:tcBorders>
              <w:bottom w:val="single" w:sz="8" w:color="DD924E"/>
            </w:tcBorders>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265,540</w:t>
            </w:r>
          </w:p>
        </w:tc>
        <w:tc>
          <w:tcPr>
            <w:tcW w:w="3060" w:type="dxa"/>
            <w:vAlign w:val="bottom"/>
            <w:tcBorders>
              <w:bottom w:val="single" w:sz="8" w:color="DD924E"/>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4"/>
                <w:szCs w:val="14"/>
                <w:color w:val="auto"/>
              </w:rPr>
              <w:t>398,310</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4" w:name="page65"/>
    <w:bookmarkEnd w:id="64"/>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Nalin Miglani</w:t>
      </w:r>
    </w:p>
    <w:p>
      <w:pPr>
        <w:spacing w:after="0" w:line="158"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Either Mr. Miglani or we may terminate Mr. Miglani’s employment at any time (though we must give Mr. Miglani 30 days’ notice if the termination is without “cause” and Mr. Miglani must give us 90 days’ advance notice upon any resignation). If Mr. Miglani’s employment with the Company is terminated by the Company without “cause” (other than due to death or disability) or by Mr. Miglani for “good reason” (both “cause” and “good reason” as defined above), Mr. Miglani will receive a cash severance payment equal to 12 months base salary, with 25% payable as a lump sum payment and the remaining 75% payable in accordance with the Company’s regular payroll practices.</w:t>
      </w:r>
    </w:p>
    <w:p>
      <w:pPr>
        <w:spacing w:after="0" w:line="131" w:lineRule="exact"/>
        <w:rPr>
          <w:sz w:val="20"/>
          <w:szCs w:val="20"/>
          <w:color w:val="auto"/>
        </w:rPr>
      </w:pPr>
    </w:p>
    <w:p>
      <w:pPr>
        <w:jc w:val="both"/>
        <w:ind w:left="160" w:right="79"/>
        <w:spacing w:after="0" w:line="257" w:lineRule="auto"/>
        <w:rPr>
          <w:sz w:val="20"/>
          <w:szCs w:val="20"/>
          <w:color w:val="auto"/>
        </w:rPr>
      </w:pPr>
      <w:r>
        <w:rPr>
          <w:rFonts w:ascii="Arial" w:cs="Arial" w:eastAsia="Arial" w:hAnsi="Arial"/>
          <w:sz w:val="17"/>
          <w:szCs w:val="17"/>
          <w:color w:val="auto"/>
        </w:rPr>
        <w:t>On a “change in control” (as defined in the 2006 Plan or 2015 Plan, as applicable) or death, Mr. Miglani’s outstanding equity awards will vest in the same manner as described for Mr. Chhibbar’s outstanding equity awards beginning on page 58.</w:t>
      </w:r>
    </w:p>
    <w:p>
      <w:pPr>
        <w:spacing w:after="0" w:line="128" w:lineRule="exact"/>
        <w:rPr>
          <w:sz w:val="20"/>
          <w:szCs w:val="20"/>
          <w:color w:val="auto"/>
        </w:rPr>
      </w:pPr>
    </w:p>
    <w:p>
      <w:pPr>
        <w:jc w:val="both"/>
        <w:ind w:left="160" w:right="59"/>
        <w:spacing w:after="0" w:line="255" w:lineRule="auto"/>
        <w:rPr>
          <w:sz w:val="20"/>
          <w:szCs w:val="20"/>
          <w:color w:val="auto"/>
        </w:rPr>
      </w:pPr>
      <w:r>
        <w:rPr>
          <w:rFonts w:ascii="Arial" w:cs="Arial" w:eastAsia="Arial" w:hAnsi="Arial"/>
          <w:sz w:val="17"/>
          <w:szCs w:val="17"/>
          <w:color w:val="auto"/>
        </w:rPr>
        <w:t>Mr. Miglani’s severance payments and termination-related equity acceleration are subject to his execution of a release of claims against us. Mr. Miglani is subject to confidentiality restrictions at all times, as well as noncompetition, nondisparagement and nonsolicitation restrictions during his employment and for one year thereafter.</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Indicative Payouts for Nalin Miglani</w:t>
      </w:r>
    </w:p>
    <w:p>
      <w:pPr>
        <w:spacing w:after="0" w:line="171" w:lineRule="exact"/>
        <w:rPr>
          <w:sz w:val="20"/>
          <w:szCs w:val="20"/>
          <w:color w:val="auto"/>
        </w:rPr>
      </w:pPr>
    </w:p>
    <w:tbl>
      <w:tblPr>
        <w:tblLayout w:type="fixed"/>
        <w:tblInd w:w="170" w:type="dxa"/>
        <w:tblCellMar>
          <w:top w:w="0" w:type="dxa"/>
          <w:left w:w="0" w:type="dxa"/>
          <w:bottom w:w="0" w:type="dxa"/>
          <w:right w:w="0" w:type="dxa"/>
        </w:tblCellMar>
      </w:tblPr>
      <w:tr>
        <w:trPr>
          <w:trHeight w:val="181"/>
        </w:trPr>
        <w:tc>
          <w:tcPr>
            <w:tcW w:w="60" w:type="dxa"/>
            <w:vAlign w:val="bottom"/>
            <w:tcBorders>
              <w:left w:val="single" w:sz="8" w:color="DD924E"/>
            </w:tcBorders>
            <w:shd w:val="clear" w:color="auto" w:fill="DD924E"/>
          </w:tcPr>
          <w:p>
            <w:pPr>
              <w:spacing w:after="0"/>
              <w:rPr>
                <w:sz w:val="15"/>
                <w:szCs w:val="15"/>
                <w:color w:val="auto"/>
              </w:rPr>
            </w:pPr>
          </w:p>
        </w:tc>
        <w:tc>
          <w:tcPr>
            <w:tcW w:w="172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74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Death</w:t>
            </w:r>
          </w:p>
        </w:tc>
        <w:tc>
          <w:tcPr>
            <w:tcW w:w="120" w:type="dxa"/>
            <w:vAlign w:val="bottom"/>
            <w:shd w:val="clear" w:color="auto" w:fill="DD924E"/>
          </w:tcPr>
          <w:p>
            <w:pPr>
              <w:spacing w:after="0"/>
              <w:rPr>
                <w:sz w:val="15"/>
                <w:szCs w:val="15"/>
                <w:color w:val="auto"/>
              </w:rPr>
            </w:pPr>
          </w:p>
        </w:tc>
        <w:tc>
          <w:tcPr>
            <w:tcW w:w="74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Death</w:t>
            </w:r>
          </w:p>
        </w:tc>
        <w:tc>
          <w:tcPr>
            <w:tcW w:w="100" w:type="dxa"/>
            <w:vAlign w:val="bottom"/>
            <w:shd w:val="clear" w:color="auto" w:fill="DD924E"/>
          </w:tcPr>
          <w:p>
            <w:pPr>
              <w:spacing w:after="0"/>
              <w:rPr>
                <w:sz w:val="15"/>
                <w:szCs w:val="15"/>
                <w:color w:val="auto"/>
              </w:rPr>
            </w:pPr>
          </w:p>
        </w:tc>
        <w:tc>
          <w:tcPr>
            <w:tcW w:w="120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84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2980" w:type="dxa"/>
            <w:vAlign w:val="bottom"/>
            <w:tcBorders>
              <w:right w:val="single" w:sz="8" w:color="DD924E"/>
            </w:tcBorders>
            <w:shd w:val="clear" w:color="auto" w:fill="DD924E"/>
          </w:tcPr>
          <w:p>
            <w:pPr>
              <w:jc w:val="center"/>
              <w:ind w:right="32"/>
              <w:spacing w:after="0"/>
              <w:rPr>
                <w:sz w:val="20"/>
                <w:szCs w:val="20"/>
                <w:color w:val="auto"/>
              </w:rPr>
            </w:pPr>
            <w:r>
              <w:rPr>
                <w:rFonts w:ascii="Arial" w:cs="Arial" w:eastAsia="Arial" w:hAnsi="Arial"/>
                <w:sz w:val="14"/>
                <w:szCs w:val="14"/>
                <w:b w:val="1"/>
                <w:bCs w:val="1"/>
                <w:color w:val="FFFFFF"/>
                <w:w w:val="97"/>
              </w:rPr>
              <w:t>Termination Without Cause or for Good</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7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74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rPr>
              <w:t>Prior to</w:t>
            </w:r>
          </w:p>
        </w:tc>
        <w:tc>
          <w:tcPr>
            <w:tcW w:w="120" w:type="dxa"/>
            <w:vAlign w:val="bottom"/>
            <w:shd w:val="clear" w:color="auto" w:fill="DD924E"/>
          </w:tcPr>
          <w:p>
            <w:pPr>
              <w:spacing w:after="0"/>
              <w:rPr>
                <w:sz w:val="13"/>
                <w:szCs w:val="13"/>
                <w:color w:val="auto"/>
              </w:rPr>
            </w:pPr>
          </w:p>
        </w:tc>
        <w:tc>
          <w:tcPr>
            <w:tcW w:w="74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After</w:t>
            </w:r>
          </w:p>
        </w:tc>
        <w:tc>
          <w:tcPr>
            <w:tcW w:w="100" w:type="dxa"/>
            <w:vAlign w:val="bottom"/>
            <w:shd w:val="clear" w:color="auto" w:fill="DD924E"/>
          </w:tcPr>
          <w:p>
            <w:pPr>
              <w:spacing w:after="0"/>
              <w:rPr>
                <w:sz w:val="13"/>
                <w:szCs w:val="13"/>
                <w:color w:val="auto"/>
              </w:rPr>
            </w:pPr>
          </w:p>
        </w:tc>
        <w:tc>
          <w:tcPr>
            <w:tcW w:w="12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Termination for</w:t>
            </w:r>
          </w:p>
        </w:tc>
        <w:tc>
          <w:tcPr>
            <w:tcW w:w="100" w:type="dxa"/>
            <w:vAlign w:val="bottom"/>
            <w:shd w:val="clear" w:color="auto" w:fill="DD924E"/>
          </w:tcPr>
          <w:p>
            <w:pPr>
              <w:spacing w:after="0"/>
              <w:rPr>
                <w:sz w:val="13"/>
                <w:szCs w:val="13"/>
                <w:color w:val="auto"/>
              </w:rPr>
            </w:pPr>
          </w:p>
        </w:tc>
        <w:tc>
          <w:tcPr>
            <w:tcW w:w="84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2980" w:type="dxa"/>
            <w:vAlign w:val="bottom"/>
            <w:tcBorders>
              <w:right w:val="single" w:sz="8" w:color="DD924E"/>
            </w:tcBorders>
            <w:shd w:val="clear" w:color="auto" w:fill="DD924E"/>
          </w:tcPr>
          <w:p>
            <w:pPr>
              <w:jc w:val="center"/>
              <w:ind w:right="32"/>
              <w:spacing w:after="0" w:line="154" w:lineRule="exact"/>
              <w:rPr>
                <w:sz w:val="20"/>
                <w:szCs w:val="20"/>
                <w:color w:val="auto"/>
              </w:rPr>
            </w:pPr>
            <w:r>
              <w:rPr>
                <w:rFonts w:ascii="Arial" w:cs="Arial" w:eastAsia="Arial" w:hAnsi="Arial"/>
                <w:sz w:val="14"/>
                <w:szCs w:val="14"/>
                <w:b w:val="1"/>
                <w:bCs w:val="1"/>
                <w:color w:val="FFFFFF"/>
                <w:w w:val="97"/>
              </w:rPr>
              <w:t>Reason Following Change in Control or</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72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74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8"/>
              </w:rPr>
              <w:t>a Change</w:t>
            </w:r>
          </w:p>
        </w:tc>
        <w:tc>
          <w:tcPr>
            <w:tcW w:w="120" w:type="dxa"/>
            <w:vAlign w:val="bottom"/>
            <w:shd w:val="clear" w:color="auto" w:fill="DD924E"/>
          </w:tcPr>
          <w:p>
            <w:pPr>
              <w:spacing w:after="0"/>
              <w:rPr>
                <w:sz w:val="13"/>
                <w:szCs w:val="13"/>
                <w:color w:val="auto"/>
              </w:rPr>
            </w:pPr>
          </w:p>
        </w:tc>
        <w:tc>
          <w:tcPr>
            <w:tcW w:w="74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5"/>
              </w:rPr>
              <w:t>a Change</w:t>
            </w:r>
          </w:p>
        </w:tc>
        <w:tc>
          <w:tcPr>
            <w:tcW w:w="100" w:type="dxa"/>
            <w:vAlign w:val="bottom"/>
            <w:shd w:val="clear" w:color="auto" w:fill="DD924E"/>
          </w:tcPr>
          <w:p>
            <w:pPr>
              <w:spacing w:after="0"/>
              <w:rPr>
                <w:sz w:val="13"/>
                <w:szCs w:val="13"/>
                <w:color w:val="auto"/>
              </w:rPr>
            </w:pPr>
          </w:p>
        </w:tc>
        <w:tc>
          <w:tcPr>
            <w:tcW w:w="12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Good Reason or</w:t>
            </w:r>
          </w:p>
        </w:tc>
        <w:tc>
          <w:tcPr>
            <w:tcW w:w="100" w:type="dxa"/>
            <w:vAlign w:val="bottom"/>
            <w:shd w:val="clear" w:color="auto" w:fill="DD924E"/>
          </w:tcPr>
          <w:p>
            <w:pPr>
              <w:spacing w:after="0"/>
              <w:rPr>
                <w:sz w:val="13"/>
                <w:szCs w:val="13"/>
                <w:color w:val="auto"/>
              </w:rPr>
            </w:pPr>
          </w:p>
        </w:tc>
        <w:tc>
          <w:tcPr>
            <w:tcW w:w="84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Change in</w:t>
            </w:r>
          </w:p>
        </w:tc>
        <w:tc>
          <w:tcPr>
            <w:tcW w:w="100" w:type="dxa"/>
            <w:vAlign w:val="bottom"/>
            <w:shd w:val="clear" w:color="auto" w:fill="DD924E"/>
          </w:tcPr>
          <w:p>
            <w:pPr>
              <w:spacing w:after="0"/>
              <w:rPr>
                <w:sz w:val="13"/>
                <w:szCs w:val="13"/>
                <w:color w:val="auto"/>
              </w:rPr>
            </w:pPr>
          </w:p>
        </w:tc>
        <w:tc>
          <w:tcPr>
            <w:tcW w:w="2980" w:type="dxa"/>
            <w:vAlign w:val="bottom"/>
            <w:tcBorders>
              <w:right w:val="single" w:sz="8" w:color="DD924E"/>
            </w:tcBorders>
            <w:shd w:val="clear" w:color="auto" w:fill="DD924E"/>
          </w:tcPr>
          <w:p>
            <w:pPr>
              <w:jc w:val="center"/>
              <w:ind w:right="32"/>
              <w:spacing w:after="0" w:line="154" w:lineRule="exact"/>
              <w:rPr>
                <w:sz w:val="20"/>
                <w:szCs w:val="20"/>
                <w:color w:val="auto"/>
              </w:rPr>
            </w:pPr>
            <w:r>
              <w:rPr>
                <w:rFonts w:ascii="Arial" w:cs="Arial" w:eastAsia="Arial" w:hAnsi="Arial"/>
                <w:sz w:val="14"/>
                <w:szCs w:val="14"/>
                <w:b w:val="1"/>
                <w:bCs w:val="1"/>
                <w:color w:val="FFFFFF"/>
                <w:w w:val="96"/>
              </w:rPr>
              <w:t>Termination Without Cause in Specific</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172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5"/>
              </w:rPr>
              <w:t>Payments upon</w:t>
            </w:r>
          </w:p>
        </w:tc>
        <w:tc>
          <w:tcPr>
            <w:tcW w:w="100" w:type="dxa"/>
            <w:vAlign w:val="bottom"/>
            <w:shd w:val="clear" w:color="auto" w:fill="DD924E"/>
          </w:tcPr>
          <w:p>
            <w:pPr>
              <w:spacing w:after="0"/>
              <w:rPr>
                <w:sz w:val="13"/>
                <w:szCs w:val="13"/>
                <w:color w:val="auto"/>
              </w:rPr>
            </w:pPr>
          </w:p>
        </w:tc>
        <w:tc>
          <w:tcPr>
            <w:tcW w:w="74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in Control</w:t>
            </w:r>
          </w:p>
        </w:tc>
        <w:tc>
          <w:tcPr>
            <w:tcW w:w="120" w:type="dxa"/>
            <w:vAlign w:val="bottom"/>
            <w:shd w:val="clear" w:color="auto" w:fill="DD924E"/>
          </w:tcPr>
          <w:p>
            <w:pPr>
              <w:spacing w:after="0"/>
              <w:rPr>
                <w:sz w:val="13"/>
                <w:szCs w:val="13"/>
                <w:color w:val="auto"/>
              </w:rPr>
            </w:pPr>
          </w:p>
        </w:tc>
        <w:tc>
          <w:tcPr>
            <w:tcW w:w="74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in Control</w:t>
            </w:r>
          </w:p>
        </w:tc>
        <w:tc>
          <w:tcPr>
            <w:tcW w:w="100" w:type="dxa"/>
            <w:vAlign w:val="bottom"/>
            <w:shd w:val="clear" w:color="auto" w:fill="DD924E"/>
          </w:tcPr>
          <w:p>
            <w:pPr>
              <w:spacing w:after="0"/>
              <w:rPr>
                <w:sz w:val="13"/>
                <w:szCs w:val="13"/>
                <w:color w:val="auto"/>
              </w:rPr>
            </w:pPr>
          </w:p>
        </w:tc>
        <w:tc>
          <w:tcPr>
            <w:tcW w:w="120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Without Cause</w:t>
            </w:r>
          </w:p>
        </w:tc>
        <w:tc>
          <w:tcPr>
            <w:tcW w:w="100" w:type="dxa"/>
            <w:vAlign w:val="bottom"/>
            <w:shd w:val="clear" w:color="auto" w:fill="DD924E"/>
          </w:tcPr>
          <w:p>
            <w:pPr>
              <w:spacing w:after="0"/>
              <w:rPr>
                <w:sz w:val="13"/>
                <w:szCs w:val="13"/>
                <w:color w:val="auto"/>
              </w:rPr>
            </w:pPr>
          </w:p>
        </w:tc>
        <w:tc>
          <w:tcPr>
            <w:tcW w:w="84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Control</w:t>
            </w:r>
          </w:p>
        </w:tc>
        <w:tc>
          <w:tcPr>
            <w:tcW w:w="100" w:type="dxa"/>
            <w:vAlign w:val="bottom"/>
            <w:shd w:val="clear" w:color="auto" w:fill="DD924E"/>
          </w:tcPr>
          <w:p>
            <w:pPr>
              <w:spacing w:after="0"/>
              <w:rPr>
                <w:sz w:val="13"/>
                <w:szCs w:val="13"/>
                <w:color w:val="auto"/>
              </w:rPr>
            </w:pPr>
          </w:p>
        </w:tc>
        <w:tc>
          <w:tcPr>
            <w:tcW w:w="2980" w:type="dxa"/>
            <w:vAlign w:val="bottom"/>
            <w:tcBorders>
              <w:right w:val="single" w:sz="8" w:color="DD924E"/>
            </w:tcBorders>
            <w:shd w:val="clear" w:color="auto" w:fill="DD924E"/>
          </w:tcPr>
          <w:p>
            <w:pPr>
              <w:jc w:val="center"/>
              <w:ind w:right="12"/>
              <w:spacing w:after="0" w:line="154" w:lineRule="exact"/>
              <w:rPr>
                <w:sz w:val="20"/>
                <w:szCs w:val="20"/>
                <w:color w:val="auto"/>
              </w:rPr>
            </w:pPr>
            <w:r>
              <w:rPr>
                <w:rFonts w:ascii="Arial" w:cs="Arial" w:eastAsia="Arial" w:hAnsi="Arial"/>
                <w:sz w:val="14"/>
                <w:szCs w:val="14"/>
                <w:b w:val="1"/>
                <w:bCs w:val="1"/>
                <w:color w:val="FFFFFF"/>
                <w:w w:val="97"/>
              </w:rPr>
              <w:t>Contemplation of Change in Control</w:t>
            </w:r>
          </w:p>
        </w:tc>
      </w:tr>
      <w:tr>
        <w:trPr>
          <w:trHeight w:val="184"/>
        </w:trPr>
        <w:tc>
          <w:tcPr>
            <w:tcW w:w="60" w:type="dxa"/>
            <w:vAlign w:val="bottom"/>
            <w:tcBorders>
              <w:left w:val="single" w:sz="8" w:color="DD924E"/>
              <w:bottom w:val="single" w:sz="8" w:color="DD924E"/>
            </w:tcBorders>
            <w:shd w:val="clear" w:color="auto" w:fill="DD924E"/>
          </w:tcPr>
          <w:p>
            <w:pPr>
              <w:spacing w:after="0"/>
              <w:rPr>
                <w:sz w:val="15"/>
                <w:szCs w:val="15"/>
                <w:color w:val="auto"/>
              </w:rPr>
            </w:pPr>
          </w:p>
        </w:tc>
        <w:tc>
          <w:tcPr>
            <w:tcW w:w="172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4"/>
              </w:rPr>
              <w:t>Termination</w:t>
            </w:r>
          </w:p>
        </w:tc>
        <w:tc>
          <w:tcPr>
            <w:tcW w:w="100" w:type="dxa"/>
            <w:vAlign w:val="bottom"/>
            <w:tcBorders>
              <w:bottom w:val="single" w:sz="8" w:color="DD924E"/>
            </w:tcBorders>
            <w:shd w:val="clear" w:color="auto" w:fill="DD924E"/>
          </w:tcPr>
          <w:p>
            <w:pPr>
              <w:spacing w:after="0"/>
              <w:rPr>
                <w:sz w:val="15"/>
                <w:szCs w:val="15"/>
                <w:color w:val="auto"/>
              </w:rPr>
            </w:pPr>
          </w:p>
        </w:tc>
        <w:tc>
          <w:tcPr>
            <w:tcW w:w="74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D924E"/>
            </w:tcBorders>
            <w:shd w:val="clear" w:color="auto" w:fill="DD924E"/>
          </w:tcPr>
          <w:p>
            <w:pPr>
              <w:spacing w:after="0"/>
              <w:rPr>
                <w:sz w:val="15"/>
                <w:szCs w:val="15"/>
                <w:color w:val="auto"/>
              </w:rPr>
            </w:pPr>
          </w:p>
        </w:tc>
        <w:tc>
          <w:tcPr>
            <w:tcW w:w="74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3"/>
              </w:rPr>
              <w:t>($)</w:t>
            </w:r>
          </w:p>
        </w:tc>
        <w:tc>
          <w:tcPr>
            <w:tcW w:w="100" w:type="dxa"/>
            <w:vAlign w:val="bottom"/>
            <w:tcBorders>
              <w:bottom w:val="single" w:sz="8" w:color="DD924E"/>
            </w:tcBorders>
            <w:shd w:val="clear" w:color="auto" w:fill="DD924E"/>
          </w:tcPr>
          <w:p>
            <w:pPr>
              <w:spacing w:after="0"/>
              <w:rPr>
                <w:sz w:val="15"/>
                <w:szCs w:val="15"/>
                <w:color w:val="auto"/>
              </w:rPr>
            </w:pPr>
          </w:p>
        </w:tc>
        <w:tc>
          <w:tcPr>
            <w:tcW w:w="120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3"/>
              </w:rPr>
              <w:t>($)</w:t>
            </w:r>
          </w:p>
        </w:tc>
        <w:tc>
          <w:tcPr>
            <w:tcW w:w="100" w:type="dxa"/>
            <w:vAlign w:val="bottom"/>
            <w:tcBorders>
              <w:bottom w:val="single" w:sz="8" w:color="DD924E"/>
            </w:tcBorders>
            <w:shd w:val="clear" w:color="auto" w:fill="DD924E"/>
          </w:tcPr>
          <w:p>
            <w:pPr>
              <w:spacing w:after="0"/>
              <w:rPr>
                <w:sz w:val="15"/>
                <w:szCs w:val="15"/>
                <w:color w:val="auto"/>
              </w:rPr>
            </w:pPr>
          </w:p>
        </w:tc>
        <w:tc>
          <w:tcPr>
            <w:tcW w:w="84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3"/>
              </w:rPr>
              <w:t>($)</w:t>
            </w:r>
          </w:p>
        </w:tc>
        <w:tc>
          <w:tcPr>
            <w:tcW w:w="100" w:type="dxa"/>
            <w:vAlign w:val="bottom"/>
            <w:tcBorders>
              <w:bottom w:val="single" w:sz="8" w:color="DD924E"/>
            </w:tcBorders>
            <w:shd w:val="clear" w:color="auto" w:fill="DD924E"/>
          </w:tcPr>
          <w:p>
            <w:pPr>
              <w:spacing w:after="0"/>
              <w:rPr>
                <w:sz w:val="15"/>
                <w:szCs w:val="15"/>
                <w:color w:val="auto"/>
              </w:rPr>
            </w:pPr>
          </w:p>
        </w:tc>
        <w:tc>
          <w:tcPr>
            <w:tcW w:w="2980" w:type="dxa"/>
            <w:vAlign w:val="bottom"/>
            <w:tcBorders>
              <w:bottom w:val="single" w:sz="8" w:color="auto"/>
              <w:right w:val="single" w:sz="8" w:color="DD924E"/>
            </w:tcBorders>
            <w:shd w:val="clear" w:color="auto" w:fill="DD924E"/>
          </w:tcPr>
          <w:p>
            <w:pPr>
              <w:jc w:val="center"/>
              <w:ind w:right="32"/>
              <w:spacing w:after="0"/>
              <w:rPr>
                <w:sz w:val="20"/>
                <w:szCs w:val="20"/>
                <w:color w:val="auto"/>
              </w:rPr>
            </w:pPr>
            <w:r>
              <w:rPr>
                <w:rFonts w:ascii="Arial" w:cs="Arial" w:eastAsia="Arial" w:hAnsi="Arial"/>
                <w:sz w:val="14"/>
                <w:szCs w:val="14"/>
                <w:b w:val="1"/>
                <w:bCs w:val="1"/>
                <w:color w:val="FFFFFF"/>
                <w:w w:val="93"/>
              </w:rPr>
              <w:t>($)</w:t>
            </w:r>
          </w:p>
        </w:tc>
      </w:tr>
      <w:tr>
        <w:trPr>
          <w:trHeight w:val="205"/>
        </w:trPr>
        <w:tc>
          <w:tcPr>
            <w:tcW w:w="178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Base salary payout</w:t>
            </w:r>
          </w:p>
        </w:tc>
        <w:tc>
          <w:tcPr>
            <w:tcW w:w="100" w:type="dxa"/>
            <w:vAlign w:val="bottom"/>
            <w:shd w:val="clear" w:color="auto" w:fill="FBF4ED"/>
          </w:tcPr>
          <w:p>
            <w:pPr>
              <w:spacing w:after="0"/>
              <w:rPr>
                <w:sz w:val="17"/>
                <w:szCs w:val="17"/>
                <w:color w:val="auto"/>
              </w:rPr>
            </w:pPr>
          </w:p>
        </w:tc>
        <w:tc>
          <w:tcPr>
            <w:tcW w:w="74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BF4ED"/>
          </w:tcPr>
          <w:p>
            <w:pPr>
              <w:spacing w:after="0"/>
              <w:rPr>
                <w:sz w:val="17"/>
                <w:szCs w:val="17"/>
                <w:color w:val="auto"/>
              </w:rPr>
            </w:pPr>
          </w:p>
        </w:tc>
        <w:tc>
          <w:tcPr>
            <w:tcW w:w="74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410,000</w:t>
            </w:r>
          </w:p>
        </w:tc>
        <w:tc>
          <w:tcPr>
            <w:tcW w:w="100" w:type="dxa"/>
            <w:vAlign w:val="bottom"/>
            <w:shd w:val="clear" w:color="auto" w:fill="FBF4ED"/>
          </w:tcPr>
          <w:p>
            <w:pPr>
              <w:spacing w:after="0"/>
              <w:rPr>
                <w:sz w:val="17"/>
                <w:szCs w:val="17"/>
                <w:color w:val="auto"/>
              </w:rPr>
            </w:pPr>
          </w:p>
        </w:tc>
        <w:tc>
          <w:tcPr>
            <w:tcW w:w="840" w:type="dxa"/>
            <w:vAlign w:val="bottom"/>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3080" w:type="dxa"/>
            <w:vAlign w:val="bottom"/>
            <w:tcBorders>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4"/>
                <w:szCs w:val="14"/>
                <w:color w:val="auto"/>
              </w:rPr>
              <w:t>410,000</w:t>
            </w:r>
          </w:p>
        </w:tc>
      </w:tr>
      <w:tr>
        <w:trPr>
          <w:trHeight w:val="199"/>
        </w:trPr>
        <w:tc>
          <w:tcPr>
            <w:tcW w:w="1780" w:type="dxa"/>
            <w:vAlign w:val="bottom"/>
            <w:tcBorders>
              <w:left w:val="single" w:sz="8" w:color="DD924E"/>
            </w:tcBorders>
            <w:gridSpan w:val="2"/>
          </w:tcPr>
          <w:p>
            <w:pPr>
              <w:ind w:left="60"/>
              <w:spacing w:after="0"/>
              <w:rPr>
                <w:sz w:val="20"/>
                <w:szCs w:val="20"/>
                <w:color w:val="auto"/>
              </w:rPr>
            </w:pPr>
            <w:r>
              <w:rPr>
                <w:rFonts w:ascii="Arial" w:cs="Arial" w:eastAsia="Arial" w:hAnsi="Arial"/>
                <w:sz w:val="14"/>
                <w:szCs w:val="14"/>
                <w:color w:val="auto"/>
              </w:rPr>
              <w:t>Restricted stock units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431,503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431,503</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789,831</w:t>
            </w:r>
          </w:p>
        </w:tc>
        <w:tc>
          <w:tcPr>
            <w:tcW w:w="308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4"/>
                <w:szCs w:val="14"/>
                <w:color w:val="auto"/>
              </w:rPr>
              <w:t>1,439,348</w:t>
            </w:r>
          </w:p>
        </w:tc>
      </w:tr>
      <w:tr>
        <w:trPr>
          <w:trHeight w:val="190"/>
        </w:trPr>
        <w:tc>
          <w:tcPr>
            <w:tcW w:w="178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Performance restricted</w:t>
            </w:r>
          </w:p>
        </w:tc>
        <w:tc>
          <w:tcPr>
            <w:tcW w:w="10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120" w:type="dxa"/>
            <w:vAlign w:val="bottom"/>
            <w:shd w:val="clear" w:color="auto" w:fill="FBF4ED"/>
          </w:tcPr>
          <w:p>
            <w:pPr>
              <w:spacing w:after="0"/>
              <w:rPr>
                <w:sz w:val="16"/>
                <w:szCs w:val="16"/>
                <w:color w:val="auto"/>
              </w:rPr>
            </w:pPr>
          </w:p>
        </w:tc>
        <w:tc>
          <w:tcPr>
            <w:tcW w:w="74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120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84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2980" w:type="dxa"/>
            <w:vAlign w:val="bottom"/>
            <w:tcBorders>
              <w:right w:val="single" w:sz="8" w:color="DD924E"/>
            </w:tcBorders>
            <w:shd w:val="clear" w:color="auto" w:fill="FBF4ED"/>
          </w:tcPr>
          <w:p>
            <w:pPr>
              <w:spacing w:after="0"/>
              <w:rPr>
                <w:sz w:val="16"/>
                <w:szCs w:val="16"/>
                <w:color w:val="auto"/>
              </w:rPr>
            </w:pPr>
          </w:p>
        </w:tc>
      </w:tr>
      <w:tr>
        <w:trPr>
          <w:trHeight w:val="169"/>
        </w:trPr>
        <w:tc>
          <w:tcPr>
            <w:tcW w:w="1780" w:type="dxa"/>
            <w:vAlign w:val="bottom"/>
            <w:tcBorders>
              <w:left w:val="single" w:sz="8" w:color="DD924E"/>
              <w:bottom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stock units</w:t>
            </w:r>
          </w:p>
        </w:tc>
        <w:tc>
          <w:tcPr>
            <w:tcW w:w="840" w:type="dxa"/>
            <w:vAlign w:val="bottom"/>
            <w:tcBorders>
              <w:bottom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143,874</w:t>
            </w:r>
          </w:p>
        </w:tc>
        <w:tc>
          <w:tcPr>
            <w:tcW w:w="860" w:type="dxa"/>
            <w:vAlign w:val="bottom"/>
            <w:tcBorders>
              <w:bottom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431,503</w:t>
            </w:r>
          </w:p>
        </w:tc>
        <w:tc>
          <w:tcPr>
            <w:tcW w:w="100" w:type="dxa"/>
            <w:vAlign w:val="bottom"/>
            <w:tcBorders>
              <w:bottom w:val="single" w:sz="8" w:color="DD924E"/>
            </w:tcBorders>
            <w:shd w:val="clear" w:color="auto" w:fill="FBF4ED"/>
          </w:tcPr>
          <w:p>
            <w:pPr>
              <w:spacing w:after="0"/>
              <w:rPr>
                <w:sz w:val="14"/>
                <w:szCs w:val="14"/>
                <w:color w:val="auto"/>
              </w:rPr>
            </w:pPr>
          </w:p>
        </w:tc>
        <w:tc>
          <w:tcPr>
            <w:tcW w:w="1200" w:type="dxa"/>
            <w:vAlign w:val="bottom"/>
            <w:tcBorders>
              <w:bottom w:val="single" w:sz="8" w:color="DD924E"/>
            </w:tcBorders>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679,903</w:t>
            </w:r>
          </w:p>
        </w:tc>
        <w:tc>
          <w:tcPr>
            <w:tcW w:w="3080" w:type="dxa"/>
            <w:vAlign w:val="bottom"/>
            <w:tcBorders>
              <w:bottom w:val="single" w:sz="8" w:color="DD924E"/>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4"/>
                <w:szCs w:val="14"/>
                <w:color w:val="auto"/>
              </w:rPr>
              <w:t>823,778</w:t>
            </w:r>
          </w:p>
        </w:tc>
      </w:tr>
    </w:tbl>
    <w:p>
      <w:pPr>
        <w:spacing w:after="0" w:line="12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Certain Defined Terms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Definition of Cause</w:t>
      </w:r>
    </w:p>
    <w:p>
      <w:pPr>
        <w:spacing w:after="0" w:line="30" w:lineRule="exact"/>
        <w:rPr>
          <w:sz w:val="20"/>
          <w:szCs w:val="20"/>
          <w:color w:val="auto"/>
        </w:rPr>
      </w:pPr>
    </w:p>
    <w:p>
      <w:pPr>
        <w:jc w:val="both"/>
        <w:ind w:left="160" w:right="59"/>
        <w:spacing w:after="0" w:line="252" w:lineRule="auto"/>
        <w:rPr>
          <w:sz w:val="20"/>
          <w:szCs w:val="20"/>
          <w:color w:val="auto"/>
        </w:rPr>
      </w:pPr>
      <w:r>
        <w:rPr>
          <w:rFonts w:ascii="Arial" w:cs="Arial" w:eastAsia="Arial" w:hAnsi="Arial"/>
          <w:sz w:val="17"/>
          <w:szCs w:val="17"/>
          <w:color w:val="auto"/>
        </w:rPr>
        <w:t>The following definition of “cause” applies to Messrs. Kapoor, Chhibbar, Bagai, Srivatsan and Miglani unless stated otherwise. “Cause” will occur if: (i) there is a final nonappealable conviction of, or pleading of no contest to, (1) a crime of moral turpitude which causes serious economic injury or serious injury to our reputation or (2) a felony; (ii) the executive engages in fraud, embezzlement, gross negligence, self-dealing, dishonesty or other gross and willful misconduct which causes serious and demonstrable injury to us; (iii) the executive materially violates any of our material policies; (iv) 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 (v) the executive fails to reasonably cooperate in a governmental investigation involving us; (vi) the executive materially, knowingly and intentionally fails to comply with applicable laws with respect to the execution of the Company’s business operations (subject to a presumption of good faith if the executive is following advice of counsel); (vii) the executive fails to follow his supervisor’s (or, for Messrs. Kapoor and Bagai our board of directors’) lawful instructions and does not remedy the failure for 15 days after we give him written notice; (viii) the executive’s use of alcohol or drugs materially interferes with the performance of his duties; (ix) for Mr. Kapoor only, he fails to take reasonable steps to end certain affiliations specified in his employment agreement within six months after a request by our board of directors; or (x) for Mr. Kapoor only, he materially breaches any material term of his employment agreement which is not remedied within 15 days of receipt of notice from the Company specifying the breach in reasonable detail.</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5" w:name="page66"/>
    <w:bookmarkEnd w:id="65"/>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Definition of Good Reason</w:t>
      </w:r>
    </w:p>
    <w:p>
      <w:pPr>
        <w:spacing w:after="0" w:line="30" w:lineRule="exact"/>
        <w:rPr>
          <w:sz w:val="20"/>
          <w:szCs w:val="20"/>
          <w:color w:val="auto"/>
        </w:rPr>
      </w:pPr>
    </w:p>
    <w:p>
      <w:pPr>
        <w:jc w:val="both"/>
        <w:ind w:left="160" w:right="59"/>
        <w:spacing w:after="0" w:line="252" w:lineRule="auto"/>
        <w:rPr>
          <w:sz w:val="20"/>
          <w:szCs w:val="20"/>
          <w:color w:val="auto"/>
        </w:rPr>
      </w:pPr>
      <w:r>
        <w:rPr>
          <w:rFonts w:ascii="Arial" w:cs="Arial" w:eastAsia="Arial" w:hAnsi="Arial"/>
          <w:sz w:val="17"/>
          <w:szCs w:val="17"/>
          <w:color w:val="auto"/>
        </w:rPr>
        <w:t>For Mr. Kapoor, “good reason” generally means: (i) his duties or responsibilities are substantially reduced, he is required to report to anyone other than our board of directors, or his title as our officer is adversely changed; however, if following a change in control, his new title and authority are similar to his old title and authority, then any change in the executive’s title will not constitute a significant reduction in his duties and authorities; (ii) his base salary is reduced (other than in connection with a Company-wide decrease in pay), or his target annual bonus opportunity is reduced below 100% of his base salary; (iii) the office or location where he is based in the metropolitan New York City area is moved more than 30 miles, and the new location is more than 30 miles from his primary residence in the metropolitan New York City area; or (iv) we breach any material term of his employment agreement. If Mr. Kapoor plans to terminate his employment for good reason, he must notify us within 45 days following the date the executive first becomes aware of the circumstances giving rise to good reason and must allow us 30 days to remedy the problem.</w:t>
      </w:r>
    </w:p>
    <w:p>
      <w:pPr>
        <w:spacing w:after="0" w:line="127" w:lineRule="exact"/>
        <w:rPr>
          <w:sz w:val="20"/>
          <w:szCs w:val="20"/>
          <w:color w:val="auto"/>
        </w:rPr>
      </w:pPr>
    </w:p>
    <w:p>
      <w:pPr>
        <w:jc w:val="both"/>
        <w:ind w:left="160" w:right="59"/>
        <w:spacing w:after="0" w:line="252" w:lineRule="auto"/>
        <w:rPr>
          <w:sz w:val="20"/>
          <w:szCs w:val="20"/>
          <w:color w:val="auto"/>
        </w:rPr>
      </w:pPr>
      <w:r>
        <w:rPr>
          <w:rFonts w:ascii="Arial" w:cs="Arial" w:eastAsia="Arial" w:hAnsi="Arial"/>
          <w:sz w:val="17"/>
          <w:szCs w:val="17"/>
          <w:color w:val="auto"/>
        </w:rPr>
        <w:t>The following definition of “good reason” applies to Messrs. Chhibbar, Bagai, Srivatsan and Miglani unless stated otherwise. “Good reason” means, without the executive’s prior written consent: (i) the executive’s duties or responsibilities are substantially reduced, or he is required to report to anyone other than our board of directors, or our CEO; (ii) the executive’s title as our officer is adversely changed; however, if following a change in control (as defined in the 2015 Plan), his new title and authority are similar to his old title and authority, then any change in the executive’s title will not constitute a significant reduction in his duties and authorities; (iii) for Mr. Bagai only, the executive’s base salary or annual cash bonus opportunity is reduced, other than in connection with a proportionate reduction impacting all members of our executive committee; (iv) for Messrs. Chhibbar, Srivatsan and Miglani only, there is a change in the office or location where the executive is based of more than 50 miles and such new office or location is more than 50 miles from the executive’s primary residence; or (v) we breach any material term of the executive’s employment agreement or severance agreement. If the executive plans to terminate his employment for good reason, he must notify us within 30 days following the date the executive first becomes aware of the circumstances giving rise to good reason and must allow us 30 days to remedy the problem.</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Definition of Change in Control</w:t>
      </w:r>
    </w:p>
    <w:p>
      <w:pPr>
        <w:spacing w:after="0" w:line="30" w:lineRule="exact"/>
        <w:rPr>
          <w:sz w:val="20"/>
          <w:szCs w:val="20"/>
          <w:color w:val="auto"/>
        </w:rPr>
      </w:pPr>
    </w:p>
    <w:p>
      <w:pPr>
        <w:jc w:val="both"/>
        <w:ind w:left="160" w:right="59"/>
        <w:spacing w:after="0" w:line="252" w:lineRule="auto"/>
        <w:rPr>
          <w:sz w:val="20"/>
          <w:szCs w:val="20"/>
          <w:color w:val="auto"/>
        </w:rPr>
      </w:pPr>
      <w:r>
        <w:rPr>
          <w:rFonts w:ascii="Arial" w:cs="Arial" w:eastAsia="Arial" w:hAnsi="Arial"/>
          <w:sz w:val="17"/>
          <w:szCs w:val="17"/>
          <w:color w:val="auto"/>
        </w:rPr>
        <w:t>A “change in control” (as generally defined in Mr. Kapoor’s employment agreement, the 2006 Plan and the 2015 Plan, as applicable) generally means any of the following events: (i) any person or group becomes a beneficial owner (within the meaning of Rule 13d-3 under the Exchange Act) of more than 50% (50% or more in the 2006 Plan)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(ii) a majority of the members of our board of directors changes from those in office as of the date of Mr. Kapoor’s employment agreement or the effective date of the 2006 or 2015 Plan (as applicable), except that the election of any new director whose election or nomination was approved by at least two-thirds of our incumbent directors will not be regarded towards a change in the majority for these purposes; (iii) our dissolution or liquidation; (iv) the sale, transfer or other disposition of all or substantially all of our business or our assets; or (v) consummation of a reorganization, recapitalization, merger, consolidation or similar transaction with another entity which requires the approval of our stockholders; however, any such transaction will not be a change in control if after the transaction (1) more than 50% of the total voting power of the resulting entity or its ultimate parent is represented by what were our outstanding voting securities before the transaction in substantially the same proportion among holders; (2) no person or group is or becomes the beneficial owner of more than 50% (50% or more in the 2006 Plan) of the total voting power of the outstanding voting securities eligible to elect members of our board of directors of the parent or surviving company; and (3) at least a majority of the members of our board of directors of the parent or surviving company following the transaction were our board members when our board first approved the transaction.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6" w:name="page67"/>
    <w:bookmarkEnd w:id="66"/>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CEO Pay Ratio</w:t>
      </w:r>
    </w:p>
    <w:p>
      <w:pPr>
        <w:spacing w:after="0" w:line="149" w:lineRule="exact"/>
        <w:rPr>
          <w:sz w:val="20"/>
          <w:szCs w:val="20"/>
          <w:color w:val="auto"/>
        </w:rPr>
      </w:pPr>
    </w:p>
    <w:p>
      <w:pPr>
        <w:jc w:val="both"/>
        <w:ind w:left="160" w:right="59"/>
        <w:spacing w:after="0" w:line="255" w:lineRule="auto"/>
        <w:rPr>
          <w:sz w:val="20"/>
          <w:szCs w:val="20"/>
          <w:color w:val="auto"/>
        </w:rPr>
      </w:pPr>
      <w:r>
        <w:rPr>
          <w:rFonts w:ascii="Arial" w:cs="Arial" w:eastAsia="Arial" w:hAnsi="Arial"/>
          <w:sz w:val="17"/>
          <w:szCs w:val="17"/>
          <w:color w:val="auto"/>
        </w:rPr>
        <w:t>Pursuant to SEC rules, we are required to provide an estimate of the ratio of our CEO’s total compensation to our median employee’s total compensation (our “Pay Ratio”). Due to the size and complexity of our organization, which is made up of over 27,000 employees throughout the world, with delivery centers over 10 countries, our Pay Ratio is based on reasonable assumptions and estimates described below.</w:t>
      </w:r>
    </w:p>
    <w:p>
      <w:pPr>
        <w:spacing w:after="0" w:line="131"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We calculated our Pay Ratio by looking at our entire employee population (excluding our CEO) as of December 31, 2017, but excluding leased employees and independent contractors. We then calculated each employee’s “total pay” using the sum of his or her fixed pay / base salary and variable pay (including any performance bonus, sales commission, and retention or signing bonus). We also annualized total pay for all full-time and part-time employees that were employed for less than the full 2017 fiscal year.</w:t>
      </w:r>
    </w:p>
    <w:p>
      <w:pPr>
        <w:spacing w:after="0" w:line="132"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For all employees located in jurisdictions other than the United States, a cost-of-living adjustment was made to align their compensation with the cost-of-living standards in the United States, the jurisdiction in which our CEO resides. Finally, we identified the median employee and calculated his or her annual total compensation and the CEO’s annual total compensation in the manner required by Item 402(u) of Regulation S-K, to determine the pay ratio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76200</wp:posOffset>
            </wp:positionV>
            <wp:extent cx="5576570" cy="643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76570" cy="643255"/>
                    </a:xfrm>
                    <a:prstGeom prst="rect">
                      <a:avLst/>
                    </a:prstGeom>
                    <a:noFill/>
                  </pic:spPr>
                </pic:pic>
              </a:graphicData>
            </a:graphic>
          </wp:anchor>
        </w:drawing>
      </w:r>
    </w:p>
    <w:p>
      <w:pPr>
        <w:spacing w:after="0" w:line="7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FFFFFF"/>
        </w:rPr>
        <w:t>Pay Ratio – All Employees (with COLA)</w:t>
      </w:r>
      <w:r>
        <w:rPr>
          <w:rFonts w:ascii="Arial" w:cs="Arial" w:eastAsia="Arial" w:hAnsi="Arial"/>
          <w:sz w:val="20"/>
          <w:szCs w:val="20"/>
          <w:b w:val="1"/>
          <w:bCs w:val="1"/>
          <w:color w:val="FFFFFF"/>
          <w:vertAlign w:val="superscript"/>
        </w:rPr>
        <w:t>(1)</w:t>
      </w:r>
    </w:p>
    <w:tbl>
      <w:tblPr>
        <w:tblLayout w:type="fixed"/>
        <w:tblInd w:w="160" w:type="dxa"/>
        <w:tblCellMar>
          <w:top w:w="0" w:type="dxa"/>
          <w:left w:w="0" w:type="dxa"/>
          <w:bottom w:w="0" w:type="dxa"/>
          <w:right w:w="0" w:type="dxa"/>
        </w:tblCellMar>
      </w:tblPr>
      <w:tr>
        <w:trPr>
          <w:trHeight w:val="211"/>
        </w:trPr>
        <w:tc>
          <w:tcPr>
            <w:tcW w:w="60" w:type="dxa"/>
            <w:vAlign w:val="bottom"/>
            <w:shd w:val="clear" w:color="auto" w:fill="FBF4ED"/>
          </w:tcPr>
          <w:p>
            <w:pPr>
              <w:spacing w:after="0"/>
              <w:rPr>
                <w:sz w:val="18"/>
                <w:szCs w:val="18"/>
                <w:color w:val="auto"/>
              </w:rPr>
            </w:pPr>
          </w:p>
        </w:tc>
        <w:tc>
          <w:tcPr>
            <w:tcW w:w="6160" w:type="dxa"/>
            <w:vAlign w:val="bottom"/>
            <w:tcBorders>
              <w:top w:val="single" w:sz="8" w:color="auto"/>
            </w:tcBorders>
            <w:shd w:val="clear" w:color="auto" w:fill="FBF4ED"/>
          </w:tcPr>
          <w:p>
            <w:pPr>
              <w:spacing w:after="0"/>
              <w:rPr>
                <w:sz w:val="20"/>
                <w:szCs w:val="20"/>
                <w:color w:val="auto"/>
              </w:rPr>
            </w:pPr>
            <w:r>
              <w:rPr>
                <w:rFonts w:ascii="Arial" w:cs="Arial" w:eastAsia="Arial" w:hAnsi="Arial"/>
                <w:sz w:val="14"/>
                <w:szCs w:val="14"/>
                <w:color w:val="auto"/>
              </w:rPr>
              <w:t>Chief Executive Officer’s Annual Total Compensation</w:t>
            </w:r>
          </w:p>
        </w:tc>
        <w:tc>
          <w:tcPr>
            <w:tcW w:w="2500" w:type="dxa"/>
            <w:vAlign w:val="bottom"/>
            <w:tcBorders>
              <w:top w:val="single" w:sz="8" w:color="auto"/>
            </w:tcBorders>
            <w:shd w:val="clear" w:color="auto" w:fill="FBF4ED"/>
          </w:tcPr>
          <w:p>
            <w:pPr>
              <w:jc w:val="right"/>
              <w:spacing w:after="0"/>
              <w:rPr>
                <w:sz w:val="20"/>
                <w:szCs w:val="20"/>
                <w:color w:val="auto"/>
              </w:rPr>
            </w:pPr>
            <w:r>
              <w:rPr>
                <w:rFonts w:ascii="Arial" w:cs="Arial" w:eastAsia="Arial" w:hAnsi="Arial"/>
                <w:sz w:val="14"/>
                <w:szCs w:val="14"/>
                <w:color w:val="auto"/>
              </w:rPr>
              <w:t>$4,398,128</w:t>
            </w:r>
          </w:p>
        </w:tc>
        <w:tc>
          <w:tcPr>
            <w:tcW w:w="60" w:type="dxa"/>
            <w:vAlign w:val="bottom"/>
            <w:shd w:val="clear" w:color="auto" w:fill="FBF4ED"/>
          </w:tcPr>
          <w:p>
            <w:pPr>
              <w:spacing w:after="0"/>
              <w:rPr>
                <w:sz w:val="18"/>
                <w:szCs w:val="18"/>
                <w:color w:val="auto"/>
              </w:rPr>
            </w:pPr>
          </w:p>
        </w:tc>
      </w:tr>
      <w:tr>
        <w:trPr>
          <w:trHeight w:val="199"/>
        </w:trPr>
        <w:tc>
          <w:tcPr>
            <w:tcW w:w="6220" w:type="dxa"/>
            <w:vAlign w:val="bottom"/>
            <w:gridSpan w:val="2"/>
          </w:tcPr>
          <w:p>
            <w:pPr>
              <w:ind w:left="60"/>
              <w:spacing w:after="0"/>
              <w:rPr>
                <w:sz w:val="20"/>
                <w:szCs w:val="20"/>
                <w:color w:val="auto"/>
              </w:rPr>
            </w:pPr>
            <w:r>
              <w:rPr>
                <w:rFonts w:ascii="Arial" w:cs="Arial" w:eastAsia="Arial" w:hAnsi="Arial"/>
                <w:sz w:val="14"/>
                <w:szCs w:val="14"/>
                <w:color w:val="auto"/>
              </w:rPr>
              <w:t>Median Employee’s Annual Total Compensation</w:t>
            </w:r>
          </w:p>
        </w:tc>
        <w:tc>
          <w:tcPr>
            <w:tcW w:w="2500" w:type="dxa"/>
            <w:vAlign w:val="bottom"/>
          </w:tcPr>
          <w:p>
            <w:pPr>
              <w:jc w:val="right"/>
              <w:spacing w:after="0"/>
              <w:rPr>
                <w:sz w:val="20"/>
                <w:szCs w:val="20"/>
                <w:color w:val="auto"/>
              </w:rPr>
            </w:pPr>
            <w:r>
              <w:rPr>
                <w:rFonts w:ascii="Arial" w:cs="Arial" w:eastAsia="Arial" w:hAnsi="Arial"/>
                <w:sz w:val="14"/>
                <w:szCs w:val="14"/>
                <w:color w:val="auto"/>
              </w:rPr>
              <w:t>$9,080</w:t>
            </w:r>
          </w:p>
        </w:tc>
        <w:tc>
          <w:tcPr>
            <w:tcW w:w="60" w:type="dxa"/>
            <w:vAlign w:val="bottom"/>
          </w:tcPr>
          <w:p>
            <w:pPr>
              <w:spacing w:after="0"/>
              <w:rPr>
                <w:sz w:val="17"/>
                <w:szCs w:val="17"/>
                <w:color w:val="auto"/>
              </w:rPr>
            </w:pPr>
          </w:p>
        </w:tc>
      </w:tr>
      <w:tr>
        <w:trPr>
          <w:trHeight w:val="190"/>
        </w:trPr>
        <w:tc>
          <w:tcPr>
            <w:tcW w:w="6220" w:type="dxa"/>
            <w:vAlign w:val="bottom"/>
            <w:gridSpan w:val="2"/>
            <w:shd w:val="clear" w:color="auto" w:fill="FBF4ED"/>
          </w:tcPr>
          <w:p>
            <w:pPr>
              <w:ind w:left="60"/>
              <w:spacing w:after="0"/>
              <w:rPr>
                <w:sz w:val="20"/>
                <w:szCs w:val="20"/>
                <w:color w:val="auto"/>
              </w:rPr>
            </w:pPr>
            <w:r>
              <w:rPr>
                <w:rFonts w:ascii="Arial" w:cs="Arial" w:eastAsia="Arial" w:hAnsi="Arial"/>
                <w:sz w:val="14"/>
                <w:szCs w:val="14"/>
                <w:color w:val="auto"/>
              </w:rPr>
              <w:t>Ratio of Chief Executive Officer’s Annual Total Compensation to Median</w:t>
            </w:r>
          </w:p>
        </w:tc>
        <w:tc>
          <w:tcPr>
            <w:tcW w:w="2500" w:type="dxa"/>
            <w:vAlign w:val="bottom"/>
            <w:shd w:val="clear" w:color="auto" w:fill="FBF4ED"/>
          </w:tcPr>
          <w:p>
            <w:pPr>
              <w:jc w:val="right"/>
              <w:spacing w:after="0"/>
              <w:rPr>
                <w:sz w:val="20"/>
                <w:szCs w:val="20"/>
                <w:color w:val="auto"/>
              </w:rPr>
            </w:pPr>
            <w:r>
              <w:rPr>
                <w:rFonts w:ascii="Arial" w:cs="Arial" w:eastAsia="Arial" w:hAnsi="Arial"/>
                <w:sz w:val="14"/>
                <w:szCs w:val="14"/>
                <w:color w:val="auto"/>
              </w:rPr>
              <w:t>484:1</w:t>
            </w:r>
          </w:p>
        </w:tc>
        <w:tc>
          <w:tcPr>
            <w:tcW w:w="60" w:type="dxa"/>
            <w:vAlign w:val="bottom"/>
            <w:shd w:val="clear" w:color="auto" w:fill="FBF4ED"/>
          </w:tcPr>
          <w:p>
            <w:pPr>
              <w:spacing w:after="0"/>
              <w:rPr>
                <w:sz w:val="16"/>
                <w:szCs w:val="16"/>
                <w:color w:val="auto"/>
              </w:rPr>
            </w:pPr>
          </w:p>
        </w:tc>
      </w:tr>
      <w:tr>
        <w:trPr>
          <w:trHeight w:val="175"/>
        </w:trPr>
        <w:tc>
          <w:tcPr>
            <w:tcW w:w="60" w:type="dxa"/>
            <w:vAlign w:val="bottom"/>
            <w:shd w:val="clear" w:color="auto" w:fill="FBF4ED"/>
          </w:tcPr>
          <w:p>
            <w:pPr>
              <w:spacing w:after="0"/>
              <w:rPr>
                <w:sz w:val="15"/>
                <w:szCs w:val="15"/>
                <w:color w:val="auto"/>
              </w:rPr>
            </w:pPr>
          </w:p>
        </w:tc>
        <w:tc>
          <w:tcPr>
            <w:tcW w:w="6160" w:type="dxa"/>
            <w:vAlign w:val="bottom"/>
            <w:shd w:val="clear" w:color="auto" w:fill="FBF4ED"/>
          </w:tcPr>
          <w:p>
            <w:pPr>
              <w:ind w:left="340"/>
              <w:spacing w:after="0"/>
              <w:rPr>
                <w:sz w:val="20"/>
                <w:szCs w:val="20"/>
                <w:color w:val="auto"/>
              </w:rPr>
            </w:pPr>
            <w:r>
              <w:rPr>
                <w:rFonts w:ascii="Arial" w:cs="Arial" w:eastAsia="Arial" w:hAnsi="Arial"/>
                <w:sz w:val="14"/>
                <w:szCs w:val="14"/>
                <w:color w:val="auto"/>
              </w:rPr>
              <w:t>Employee’s Annual Total Compensation</w:t>
            </w:r>
          </w:p>
        </w:tc>
        <w:tc>
          <w:tcPr>
            <w:tcW w:w="2500" w:type="dxa"/>
            <w:vAlign w:val="bottom"/>
            <w:shd w:val="clear" w:color="auto" w:fill="FBF4ED"/>
          </w:tcPr>
          <w:p>
            <w:pPr>
              <w:spacing w:after="0"/>
              <w:rPr>
                <w:sz w:val="15"/>
                <w:szCs w:val="15"/>
                <w:color w:val="auto"/>
              </w:rPr>
            </w:pPr>
          </w:p>
        </w:tc>
        <w:tc>
          <w:tcPr>
            <w:tcW w:w="60" w:type="dxa"/>
            <w:vAlign w:val="bottom"/>
            <w:shd w:val="clear" w:color="auto" w:fill="FBF4ED"/>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138430</wp:posOffset>
            </wp:positionV>
            <wp:extent cx="12865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279" w:lineRule="exact"/>
        <w:rPr>
          <w:sz w:val="20"/>
          <w:szCs w:val="20"/>
          <w:color w:val="auto"/>
        </w:rPr>
      </w:pPr>
    </w:p>
    <w:p>
      <w:pPr>
        <w:ind w:left="840" w:right="79" w:hanging="345"/>
        <w:spacing w:after="0" w:line="236" w:lineRule="auto"/>
        <w:tabs>
          <w:tab w:leader="none" w:pos="8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2017 Mercer Combined Index. Our median employee, identified without performing a cost-of-living adjustment, is based in India and had an annual total compensation of $6,286, resulting in a pay ratio of 700:1.</w:t>
      </w:r>
    </w:p>
    <w:p>
      <w:pPr>
        <w:spacing w:after="0" w:line="127"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Approximately 92% of our employees are located outside of the United States, primarily in India and the Philippines. As is common with many global companies, our compensation programs are market based, and thus they may differ for employees based on the country where an employee works. Accordingly, we believe that it is important to show our pay-ratio calculated in a similar manner as described above using the median U.S.-based employee to provide a commensurable view of our pay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76200</wp:posOffset>
            </wp:positionV>
            <wp:extent cx="5576570" cy="643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76570" cy="643255"/>
                    </a:xfrm>
                    <a:prstGeom prst="rect">
                      <a:avLst/>
                    </a:prstGeom>
                    <a:noFill/>
                  </pic:spPr>
                </pic:pic>
              </a:graphicData>
            </a:graphic>
          </wp:anchor>
        </w:drawing>
      </w:r>
    </w:p>
    <w:p>
      <w:pPr>
        <w:spacing w:after="0" w:line="12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FFFFFF"/>
        </w:rPr>
        <w:t>Pay Ratio – United States Employees</w:t>
      </w:r>
    </w:p>
    <w:p>
      <w:pPr>
        <w:spacing w:after="0" w:line="17"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60" w:type="dxa"/>
            <w:vAlign w:val="bottom"/>
            <w:shd w:val="clear" w:color="auto" w:fill="FBF4ED"/>
          </w:tcPr>
          <w:p>
            <w:pPr>
              <w:spacing w:after="0"/>
              <w:rPr>
                <w:sz w:val="18"/>
                <w:szCs w:val="18"/>
                <w:color w:val="auto"/>
              </w:rPr>
            </w:pPr>
          </w:p>
        </w:tc>
        <w:tc>
          <w:tcPr>
            <w:tcW w:w="6160" w:type="dxa"/>
            <w:vAlign w:val="bottom"/>
            <w:tcBorders>
              <w:top w:val="single" w:sz="8" w:color="auto"/>
            </w:tcBorders>
            <w:shd w:val="clear" w:color="auto" w:fill="FBF4ED"/>
          </w:tcPr>
          <w:p>
            <w:pPr>
              <w:spacing w:after="0"/>
              <w:rPr>
                <w:sz w:val="20"/>
                <w:szCs w:val="20"/>
                <w:color w:val="auto"/>
              </w:rPr>
            </w:pPr>
            <w:r>
              <w:rPr>
                <w:rFonts w:ascii="Arial" w:cs="Arial" w:eastAsia="Arial" w:hAnsi="Arial"/>
                <w:sz w:val="14"/>
                <w:szCs w:val="14"/>
                <w:color w:val="auto"/>
              </w:rPr>
              <w:t>Chief Executive Officer’s Annual Total Compensation</w:t>
            </w:r>
          </w:p>
        </w:tc>
        <w:tc>
          <w:tcPr>
            <w:tcW w:w="2500" w:type="dxa"/>
            <w:vAlign w:val="bottom"/>
            <w:tcBorders>
              <w:top w:val="single" w:sz="8" w:color="auto"/>
            </w:tcBorders>
            <w:shd w:val="clear" w:color="auto" w:fill="FBF4ED"/>
          </w:tcPr>
          <w:p>
            <w:pPr>
              <w:jc w:val="right"/>
              <w:spacing w:after="0"/>
              <w:rPr>
                <w:sz w:val="20"/>
                <w:szCs w:val="20"/>
                <w:color w:val="auto"/>
              </w:rPr>
            </w:pPr>
            <w:r>
              <w:rPr>
                <w:rFonts w:ascii="Arial" w:cs="Arial" w:eastAsia="Arial" w:hAnsi="Arial"/>
                <w:sz w:val="14"/>
                <w:szCs w:val="14"/>
                <w:color w:val="auto"/>
              </w:rPr>
              <w:t>$4,398,128</w:t>
            </w:r>
          </w:p>
        </w:tc>
        <w:tc>
          <w:tcPr>
            <w:tcW w:w="60" w:type="dxa"/>
            <w:vAlign w:val="bottom"/>
            <w:shd w:val="clear" w:color="auto" w:fill="FBF4ED"/>
          </w:tcPr>
          <w:p>
            <w:pPr>
              <w:spacing w:after="0"/>
              <w:rPr>
                <w:sz w:val="18"/>
                <w:szCs w:val="18"/>
                <w:color w:val="auto"/>
              </w:rPr>
            </w:pPr>
          </w:p>
        </w:tc>
      </w:tr>
      <w:tr>
        <w:trPr>
          <w:trHeight w:val="199"/>
        </w:trPr>
        <w:tc>
          <w:tcPr>
            <w:tcW w:w="6220" w:type="dxa"/>
            <w:vAlign w:val="bottom"/>
            <w:gridSpan w:val="2"/>
          </w:tcPr>
          <w:p>
            <w:pPr>
              <w:ind w:left="60"/>
              <w:spacing w:after="0"/>
              <w:rPr>
                <w:sz w:val="20"/>
                <w:szCs w:val="20"/>
                <w:color w:val="auto"/>
              </w:rPr>
            </w:pPr>
            <w:r>
              <w:rPr>
                <w:rFonts w:ascii="Arial" w:cs="Arial" w:eastAsia="Arial" w:hAnsi="Arial"/>
                <w:sz w:val="14"/>
                <w:szCs w:val="14"/>
                <w:color w:val="auto"/>
              </w:rPr>
              <w:t>Median Employee’s Annual Total Compensation</w:t>
            </w:r>
          </w:p>
        </w:tc>
        <w:tc>
          <w:tcPr>
            <w:tcW w:w="2500" w:type="dxa"/>
            <w:vAlign w:val="bottom"/>
          </w:tcPr>
          <w:p>
            <w:pPr>
              <w:jc w:val="right"/>
              <w:spacing w:after="0"/>
              <w:rPr>
                <w:sz w:val="20"/>
                <w:szCs w:val="20"/>
                <w:color w:val="auto"/>
              </w:rPr>
            </w:pPr>
            <w:r>
              <w:rPr>
                <w:rFonts w:ascii="Arial" w:cs="Arial" w:eastAsia="Arial" w:hAnsi="Arial"/>
                <w:sz w:val="14"/>
                <w:szCs w:val="14"/>
                <w:color w:val="auto"/>
              </w:rPr>
              <w:t>$58,671</w:t>
            </w:r>
          </w:p>
        </w:tc>
        <w:tc>
          <w:tcPr>
            <w:tcW w:w="60" w:type="dxa"/>
            <w:vAlign w:val="bottom"/>
          </w:tcPr>
          <w:p>
            <w:pPr>
              <w:spacing w:after="0"/>
              <w:rPr>
                <w:sz w:val="17"/>
                <w:szCs w:val="17"/>
                <w:color w:val="auto"/>
              </w:rPr>
            </w:pPr>
          </w:p>
        </w:tc>
      </w:tr>
      <w:tr>
        <w:trPr>
          <w:trHeight w:val="190"/>
        </w:trPr>
        <w:tc>
          <w:tcPr>
            <w:tcW w:w="6220" w:type="dxa"/>
            <w:vAlign w:val="bottom"/>
            <w:gridSpan w:val="2"/>
            <w:shd w:val="clear" w:color="auto" w:fill="FBF4ED"/>
          </w:tcPr>
          <w:p>
            <w:pPr>
              <w:ind w:left="60"/>
              <w:spacing w:after="0"/>
              <w:rPr>
                <w:sz w:val="20"/>
                <w:szCs w:val="20"/>
                <w:color w:val="auto"/>
              </w:rPr>
            </w:pPr>
            <w:r>
              <w:rPr>
                <w:rFonts w:ascii="Arial" w:cs="Arial" w:eastAsia="Arial" w:hAnsi="Arial"/>
                <w:sz w:val="14"/>
                <w:szCs w:val="14"/>
                <w:color w:val="auto"/>
              </w:rPr>
              <w:t>Ratio of Chief Executive Officer’s Annual Total Compensation to Median</w:t>
            </w:r>
          </w:p>
        </w:tc>
        <w:tc>
          <w:tcPr>
            <w:tcW w:w="2500" w:type="dxa"/>
            <w:vAlign w:val="bottom"/>
            <w:shd w:val="clear" w:color="auto" w:fill="FBF4ED"/>
          </w:tcPr>
          <w:p>
            <w:pPr>
              <w:jc w:val="right"/>
              <w:spacing w:after="0"/>
              <w:rPr>
                <w:sz w:val="20"/>
                <w:szCs w:val="20"/>
                <w:color w:val="auto"/>
              </w:rPr>
            </w:pPr>
            <w:r>
              <w:rPr>
                <w:rFonts w:ascii="Arial" w:cs="Arial" w:eastAsia="Arial" w:hAnsi="Arial"/>
                <w:sz w:val="14"/>
                <w:szCs w:val="14"/>
                <w:color w:val="auto"/>
              </w:rPr>
              <w:t>75:1</w:t>
            </w:r>
          </w:p>
        </w:tc>
        <w:tc>
          <w:tcPr>
            <w:tcW w:w="60" w:type="dxa"/>
            <w:vAlign w:val="bottom"/>
            <w:shd w:val="clear" w:color="auto" w:fill="FBF4ED"/>
          </w:tcPr>
          <w:p>
            <w:pPr>
              <w:spacing w:after="0"/>
              <w:rPr>
                <w:sz w:val="16"/>
                <w:szCs w:val="16"/>
                <w:color w:val="auto"/>
              </w:rPr>
            </w:pPr>
          </w:p>
        </w:tc>
      </w:tr>
      <w:tr>
        <w:trPr>
          <w:trHeight w:val="175"/>
        </w:trPr>
        <w:tc>
          <w:tcPr>
            <w:tcW w:w="60" w:type="dxa"/>
            <w:vAlign w:val="bottom"/>
            <w:shd w:val="clear" w:color="auto" w:fill="FBF4ED"/>
          </w:tcPr>
          <w:p>
            <w:pPr>
              <w:spacing w:after="0"/>
              <w:rPr>
                <w:sz w:val="15"/>
                <w:szCs w:val="15"/>
                <w:color w:val="auto"/>
              </w:rPr>
            </w:pPr>
          </w:p>
        </w:tc>
        <w:tc>
          <w:tcPr>
            <w:tcW w:w="6160" w:type="dxa"/>
            <w:vAlign w:val="bottom"/>
            <w:shd w:val="clear" w:color="auto" w:fill="FBF4ED"/>
          </w:tcPr>
          <w:p>
            <w:pPr>
              <w:ind w:left="340"/>
              <w:spacing w:after="0"/>
              <w:rPr>
                <w:sz w:val="20"/>
                <w:szCs w:val="20"/>
                <w:color w:val="auto"/>
              </w:rPr>
            </w:pPr>
            <w:r>
              <w:rPr>
                <w:rFonts w:ascii="Arial" w:cs="Arial" w:eastAsia="Arial" w:hAnsi="Arial"/>
                <w:sz w:val="14"/>
                <w:szCs w:val="14"/>
                <w:color w:val="auto"/>
              </w:rPr>
              <w:t>Employee’s Annual Total Compensation</w:t>
            </w:r>
          </w:p>
        </w:tc>
        <w:tc>
          <w:tcPr>
            <w:tcW w:w="2500" w:type="dxa"/>
            <w:vAlign w:val="bottom"/>
            <w:shd w:val="clear" w:color="auto" w:fill="FBF4ED"/>
          </w:tcPr>
          <w:p>
            <w:pPr>
              <w:spacing w:after="0"/>
              <w:rPr>
                <w:sz w:val="15"/>
                <w:szCs w:val="15"/>
                <w:color w:val="auto"/>
              </w:rPr>
            </w:pPr>
          </w:p>
        </w:tc>
        <w:tc>
          <w:tcPr>
            <w:tcW w:w="60" w:type="dxa"/>
            <w:vAlign w:val="bottom"/>
            <w:shd w:val="clear" w:color="auto" w:fill="FBF4ED"/>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7" w:name="page68"/>
    <w:bookmarkEnd w:id="67"/>
    <w:p>
      <w:pPr>
        <w:spacing w:after="0" w:line="2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Director Compensation for Fiscal Year 2017</w:t>
      </w:r>
    </w:p>
    <w:p>
      <w:pPr>
        <w:spacing w:after="0" w:line="149" w:lineRule="exact"/>
        <w:rPr>
          <w:sz w:val="20"/>
          <w:szCs w:val="20"/>
          <w:color w:val="auto"/>
        </w:rPr>
      </w:pPr>
    </w:p>
    <w:p>
      <w:pPr>
        <w:ind w:left="160" w:right="79"/>
        <w:spacing w:after="0" w:line="263" w:lineRule="auto"/>
        <w:rPr>
          <w:sz w:val="20"/>
          <w:szCs w:val="20"/>
          <w:color w:val="auto"/>
        </w:rPr>
      </w:pPr>
      <w:r>
        <w:rPr>
          <w:rFonts w:ascii="Arial" w:cs="Arial" w:eastAsia="Arial" w:hAnsi="Arial"/>
          <w:sz w:val="17"/>
          <w:szCs w:val="17"/>
          <w:color w:val="auto"/>
        </w:rPr>
        <w:t>The following table sets forth information for compensation earned in fiscal year 2017 by our non-executive directors who served during fiscal year 2017:</w:t>
      </w:r>
    </w:p>
    <w:p>
      <w:pPr>
        <w:spacing w:after="0" w:line="124" w:lineRule="exact"/>
        <w:rPr>
          <w:sz w:val="20"/>
          <w:szCs w:val="20"/>
          <w:color w:val="auto"/>
        </w:rPr>
      </w:pPr>
    </w:p>
    <w:tbl>
      <w:tblPr>
        <w:tblLayout w:type="fixed"/>
        <w:tblInd w:w="170" w:type="dxa"/>
        <w:tblCellMar>
          <w:top w:w="0" w:type="dxa"/>
          <w:left w:w="0" w:type="dxa"/>
          <w:bottom w:w="0" w:type="dxa"/>
          <w:right w:w="0" w:type="dxa"/>
        </w:tblCellMar>
      </w:tblPr>
      <w:tr>
        <w:trPr>
          <w:trHeight w:val="181"/>
        </w:trPr>
        <w:tc>
          <w:tcPr>
            <w:tcW w:w="60" w:type="dxa"/>
            <w:vAlign w:val="bottom"/>
            <w:tcBorders>
              <w:left w:val="single" w:sz="8" w:color="DD924E"/>
            </w:tcBorders>
            <w:shd w:val="clear" w:color="auto" w:fill="DD924E"/>
          </w:tcPr>
          <w:p>
            <w:pPr>
              <w:spacing w:after="0"/>
              <w:rPr>
                <w:sz w:val="15"/>
                <w:szCs w:val="15"/>
                <w:color w:val="auto"/>
              </w:rPr>
            </w:pPr>
          </w:p>
        </w:tc>
        <w:tc>
          <w:tcPr>
            <w:tcW w:w="172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1420" w:type="dxa"/>
            <w:vAlign w:val="bottom"/>
            <w:shd w:val="clear" w:color="auto" w:fill="DD924E"/>
          </w:tcPr>
          <w:p>
            <w:pPr>
              <w:spacing w:after="0"/>
              <w:rPr>
                <w:sz w:val="15"/>
                <w:szCs w:val="15"/>
                <w:color w:val="auto"/>
              </w:rPr>
            </w:pPr>
          </w:p>
        </w:tc>
        <w:tc>
          <w:tcPr>
            <w:tcW w:w="120" w:type="dxa"/>
            <w:vAlign w:val="bottom"/>
            <w:shd w:val="clear" w:color="auto" w:fill="DD924E"/>
          </w:tcPr>
          <w:p>
            <w:pPr>
              <w:spacing w:after="0"/>
              <w:rPr>
                <w:sz w:val="15"/>
                <w:szCs w:val="15"/>
                <w:color w:val="auto"/>
              </w:rPr>
            </w:pPr>
          </w:p>
        </w:tc>
        <w:tc>
          <w:tcPr>
            <w:tcW w:w="2040" w:type="dxa"/>
            <w:vAlign w:val="bottom"/>
            <w:shd w:val="clear" w:color="auto" w:fill="DD924E"/>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00" w:type="dxa"/>
            <w:vAlign w:val="bottom"/>
            <w:shd w:val="clear" w:color="auto" w:fill="DD924E"/>
          </w:tcPr>
          <w:p>
            <w:pPr>
              <w:spacing w:after="0"/>
              <w:rPr>
                <w:sz w:val="15"/>
                <w:szCs w:val="15"/>
                <w:color w:val="auto"/>
              </w:rPr>
            </w:pPr>
          </w:p>
        </w:tc>
        <w:tc>
          <w:tcPr>
            <w:tcW w:w="168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1480" w:type="dxa"/>
            <w:vAlign w:val="bottom"/>
            <w:tcBorders>
              <w:right w:val="single" w:sz="8" w:color="DD924E"/>
            </w:tcBorders>
            <w:shd w:val="clear" w:color="auto" w:fill="DD924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0" w:type="dxa"/>
            <w:vAlign w:val="bottom"/>
            <w:tcBorders>
              <w:left w:val="single" w:sz="8" w:color="DD924E"/>
            </w:tcBorders>
            <w:shd w:val="clear" w:color="auto" w:fill="DD924E"/>
          </w:tcPr>
          <w:p>
            <w:pPr>
              <w:spacing w:after="0"/>
              <w:rPr>
                <w:sz w:val="12"/>
                <w:szCs w:val="12"/>
                <w:color w:val="auto"/>
              </w:rPr>
            </w:pPr>
          </w:p>
        </w:tc>
        <w:tc>
          <w:tcPr>
            <w:tcW w:w="1720" w:type="dxa"/>
            <w:vAlign w:val="bottom"/>
            <w:vMerge w:val="restart"/>
            <w:shd w:val="clear" w:color="auto" w:fill="DD924E"/>
          </w:tcPr>
          <w:p>
            <w:pPr>
              <w:ind w:left="62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0"/>
                <w:szCs w:val="20"/>
                <w:b w:val="1"/>
                <w:bCs w:val="1"/>
                <w:color w:val="FFFFFF"/>
                <w:vertAlign w:val="superscript"/>
              </w:rPr>
              <w:t>(1)</w:t>
            </w:r>
          </w:p>
        </w:tc>
        <w:tc>
          <w:tcPr>
            <w:tcW w:w="100" w:type="dxa"/>
            <w:vAlign w:val="bottom"/>
            <w:shd w:val="clear" w:color="auto" w:fill="DD924E"/>
          </w:tcPr>
          <w:p>
            <w:pPr>
              <w:spacing w:after="0"/>
              <w:rPr>
                <w:sz w:val="12"/>
                <w:szCs w:val="12"/>
                <w:color w:val="auto"/>
              </w:rPr>
            </w:pPr>
          </w:p>
        </w:tc>
        <w:tc>
          <w:tcPr>
            <w:tcW w:w="1420" w:type="dxa"/>
            <w:vAlign w:val="bottom"/>
            <w:shd w:val="clear" w:color="auto" w:fill="DD924E"/>
          </w:tcPr>
          <w:p>
            <w:pPr>
              <w:jc w:val="right"/>
              <w:spacing w:after="0" w:line="140" w:lineRule="exact"/>
              <w:rPr>
                <w:sz w:val="20"/>
                <w:szCs w:val="20"/>
                <w:color w:val="auto"/>
              </w:rPr>
            </w:pPr>
            <w:r>
              <w:rPr>
                <w:rFonts w:ascii="Arial" w:cs="Arial" w:eastAsia="Arial" w:hAnsi="Arial"/>
                <w:sz w:val="14"/>
                <w:szCs w:val="14"/>
                <w:b w:val="1"/>
                <w:bCs w:val="1"/>
                <w:color w:val="FFFFFF"/>
                <w:w w:val="99"/>
              </w:rPr>
              <w:t>Fees Earned or Paid</w:t>
            </w:r>
          </w:p>
        </w:tc>
        <w:tc>
          <w:tcPr>
            <w:tcW w:w="120" w:type="dxa"/>
            <w:vAlign w:val="bottom"/>
            <w:shd w:val="clear" w:color="auto" w:fill="DD924E"/>
          </w:tcPr>
          <w:p>
            <w:pPr>
              <w:spacing w:after="0"/>
              <w:rPr>
                <w:sz w:val="12"/>
                <w:szCs w:val="12"/>
                <w:color w:val="auto"/>
              </w:rPr>
            </w:pPr>
          </w:p>
        </w:tc>
        <w:tc>
          <w:tcPr>
            <w:tcW w:w="2040" w:type="dxa"/>
            <w:vAlign w:val="bottom"/>
            <w:shd w:val="clear" w:color="auto" w:fill="DD924E"/>
          </w:tcPr>
          <w:p>
            <w:pPr>
              <w:jc w:val="center"/>
              <w:spacing w:after="0" w:line="140" w:lineRule="exact"/>
              <w:rPr>
                <w:sz w:val="20"/>
                <w:szCs w:val="20"/>
                <w:color w:val="auto"/>
              </w:rPr>
            </w:pPr>
            <w:r>
              <w:rPr>
                <w:rFonts w:ascii="Arial" w:cs="Arial" w:eastAsia="Arial" w:hAnsi="Arial"/>
                <w:sz w:val="14"/>
                <w:szCs w:val="14"/>
                <w:b w:val="1"/>
                <w:bCs w:val="1"/>
                <w:color w:val="FFFFFF"/>
                <w:w w:val="98"/>
              </w:rPr>
              <w:t>Awards</w:t>
            </w:r>
          </w:p>
        </w:tc>
        <w:tc>
          <w:tcPr>
            <w:tcW w:w="100" w:type="dxa"/>
            <w:vAlign w:val="bottom"/>
            <w:shd w:val="clear" w:color="auto" w:fill="DD924E"/>
          </w:tcPr>
          <w:p>
            <w:pPr>
              <w:spacing w:after="0"/>
              <w:rPr>
                <w:sz w:val="12"/>
                <w:szCs w:val="12"/>
                <w:color w:val="auto"/>
              </w:rPr>
            </w:pPr>
          </w:p>
        </w:tc>
        <w:tc>
          <w:tcPr>
            <w:tcW w:w="1680" w:type="dxa"/>
            <w:vAlign w:val="bottom"/>
            <w:shd w:val="clear" w:color="auto" w:fill="DD924E"/>
          </w:tcPr>
          <w:p>
            <w:pPr>
              <w:jc w:val="right"/>
              <w:spacing w:after="0" w:line="140" w:lineRule="exact"/>
              <w:rPr>
                <w:sz w:val="20"/>
                <w:szCs w:val="20"/>
                <w:color w:val="auto"/>
              </w:rPr>
            </w:pPr>
            <w:r>
              <w:rPr>
                <w:rFonts w:ascii="Arial" w:cs="Arial" w:eastAsia="Arial" w:hAnsi="Arial"/>
                <w:sz w:val="14"/>
                <w:szCs w:val="14"/>
                <w:b w:val="1"/>
                <w:bCs w:val="1"/>
                <w:color w:val="FFFFFF"/>
                <w:w w:val="99"/>
              </w:rPr>
              <w:t>All Other Compensation</w:t>
            </w:r>
          </w:p>
        </w:tc>
        <w:tc>
          <w:tcPr>
            <w:tcW w:w="100" w:type="dxa"/>
            <w:vAlign w:val="bottom"/>
            <w:shd w:val="clear" w:color="auto" w:fill="DD924E"/>
          </w:tcPr>
          <w:p>
            <w:pPr>
              <w:spacing w:after="0"/>
              <w:rPr>
                <w:sz w:val="12"/>
                <w:szCs w:val="12"/>
                <w:color w:val="auto"/>
              </w:rPr>
            </w:pPr>
          </w:p>
        </w:tc>
        <w:tc>
          <w:tcPr>
            <w:tcW w:w="1480" w:type="dxa"/>
            <w:vAlign w:val="bottom"/>
            <w:tcBorders>
              <w:right w:val="single" w:sz="8" w:color="DD924E"/>
            </w:tcBorders>
            <w:shd w:val="clear" w:color="auto" w:fill="DD924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 w:type="dxa"/>
            <w:vAlign w:val="bottom"/>
            <w:tcBorders>
              <w:left w:val="single" w:sz="8" w:color="DD924E"/>
              <w:bottom w:val="single" w:sz="8" w:color="DD924E"/>
            </w:tcBorders>
            <w:shd w:val="clear" w:color="auto" w:fill="DD924E"/>
          </w:tcPr>
          <w:p>
            <w:pPr>
              <w:spacing w:after="0"/>
              <w:rPr>
                <w:sz w:val="17"/>
                <w:szCs w:val="17"/>
                <w:color w:val="auto"/>
              </w:rPr>
            </w:pPr>
          </w:p>
        </w:tc>
        <w:tc>
          <w:tcPr>
            <w:tcW w:w="1720" w:type="dxa"/>
            <w:vAlign w:val="bottom"/>
            <w:tcBorders>
              <w:bottom w:val="single" w:sz="8" w:color="auto"/>
            </w:tcBorders>
            <w:vMerge w:val="continue"/>
            <w:shd w:val="clear" w:color="auto" w:fill="DD924E"/>
          </w:tcPr>
          <w:p>
            <w:pPr>
              <w:spacing w:after="0"/>
              <w:rPr>
                <w:sz w:val="17"/>
                <w:szCs w:val="17"/>
                <w:color w:val="auto"/>
              </w:rPr>
            </w:pPr>
          </w:p>
        </w:tc>
        <w:tc>
          <w:tcPr>
            <w:tcW w:w="100" w:type="dxa"/>
            <w:vAlign w:val="bottom"/>
            <w:tcBorders>
              <w:bottom w:val="single" w:sz="8" w:color="DD924E"/>
            </w:tcBorders>
            <w:shd w:val="clear" w:color="auto" w:fill="DD924E"/>
          </w:tcPr>
          <w:p>
            <w:pPr>
              <w:spacing w:after="0"/>
              <w:rPr>
                <w:sz w:val="17"/>
                <w:szCs w:val="17"/>
                <w:color w:val="auto"/>
              </w:rPr>
            </w:pPr>
          </w:p>
        </w:tc>
        <w:tc>
          <w:tcPr>
            <w:tcW w:w="1420" w:type="dxa"/>
            <w:vAlign w:val="bottom"/>
            <w:tcBorders>
              <w:bottom w:val="single" w:sz="8" w:color="auto"/>
            </w:tcBorders>
            <w:shd w:val="clear" w:color="auto" w:fill="DD924E"/>
          </w:tcPr>
          <w:p>
            <w:pPr>
              <w:jc w:val="right"/>
              <w:ind w:right="292"/>
              <w:spacing w:after="0"/>
              <w:rPr>
                <w:sz w:val="20"/>
                <w:szCs w:val="20"/>
                <w:color w:val="auto"/>
              </w:rPr>
            </w:pPr>
            <w:r>
              <w:rPr>
                <w:rFonts w:ascii="Arial" w:cs="Arial" w:eastAsia="Arial" w:hAnsi="Arial"/>
                <w:sz w:val="14"/>
                <w:szCs w:val="14"/>
                <w:b w:val="1"/>
                <w:bCs w:val="1"/>
                <w:color w:val="FFFFFF"/>
              </w:rPr>
              <w:t>in Cash ($)</w:t>
            </w:r>
          </w:p>
        </w:tc>
        <w:tc>
          <w:tcPr>
            <w:tcW w:w="120" w:type="dxa"/>
            <w:vAlign w:val="bottom"/>
            <w:tcBorders>
              <w:bottom w:val="single" w:sz="8" w:color="DD924E"/>
            </w:tcBorders>
            <w:shd w:val="clear" w:color="auto" w:fill="DD924E"/>
          </w:tcPr>
          <w:p>
            <w:pPr>
              <w:spacing w:after="0"/>
              <w:rPr>
                <w:sz w:val="17"/>
                <w:szCs w:val="17"/>
                <w:color w:val="auto"/>
              </w:rPr>
            </w:pPr>
          </w:p>
        </w:tc>
        <w:tc>
          <w:tcPr>
            <w:tcW w:w="2040" w:type="dxa"/>
            <w:vAlign w:val="bottom"/>
            <w:tcBorders>
              <w:bottom w:val="single" w:sz="8" w:color="auto"/>
            </w:tcBorders>
            <w:shd w:val="clear" w:color="auto" w:fill="DD924E"/>
          </w:tcPr>
          <w:p>
            <w:pPr>
              <w:jc w:val="center"/>
              <w:spacing w:after="0" w:line="180"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9"/>
                <w:szCs w:val="9"/>
                <w:b w:val="1"/>
                <w:bCs w:val="1"/>
                <w:color w:val="FFFFFF"/>
              </w:rPr>
              <w:t>(2)(3)</w:t>
            </w:r>
          </w:p>
        </w:tc>
        <w:tc>
          <w:tcPr>
            <w:tcW w:w="100" w:type="dxa"/>
            <w:vAlign w:val="bottom"/>
            <w:tcBorders>
              <w:bottom w:val="single" w:sz="8" w:color="DD924E"/>
            </w:tcBorders>
            <w:shd w:val="clear" w:color="auto" w:fill="DD924E"/>
          </w:tcPr>
          <w:p>
            <w:pPr>
              <w:spacing w:after="0"/>
              <w:rPr>
                <w:sz w:val="17"/>
                <w:szCs w:val="17"/>
                <w:color w:val="auto"/>
              </w:rPr>
            </w:pPr>
          </w:p>
        </w:tc>
        <w:tc>
          <w:tcPr>
            <w:tcW w:w="1680" w:type="dxa"/>
            <w:vAlign w:val="bottom"/>
            <w:tcBorders>
              <w:bottom w:val="single" w:sz="8" w:color="auto"/>
            </w:tcBorders>
            <w:shd w:val="clear" w:color="auto" w:fill="DD924E"/>
          </w:tcPr>
          <w:p>
            <w:pPr>
              <w:jc w:val="right"/>
              <w:ind w:right="620"/>
              <w:spacing w:after="0" w:line="18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0"/>
                <w:szCs w:val="20"/>
                <w:b w:val="1"/>
                <w:bCs w:val="1"/>
                <w:color w:val="FFFFFF"/>
                <w:vertAlign w:val="superscript"/>
              </w:rPr>
              <w:t>(4)</w:t>
            </w:r>
          </w:p>
        </w:tc>
        <w:tc>
          <w:tcPr>
            <w:tcW w:w="100" w:type="dxa"/>
            <w:vAlign w:val="bottom"/>
            <w:tcBorders>
              <w:bottom w:val="single" w:sz="8" w:color="DD924E"/>
            </w:tcBorders>
            <w:shd w:val="clear" w:color="auto" w:fill="DD924E"/>
          </w:tcPr>
          <w:p>
            <w:pPr>
              <w:spacing w:after="0"/>
              <w:rPr>
                <w:sz w:val="17"/>
                <w:szCs w:val="17"/>
                <w:color w:val="auto"/>
              </w:rPr>
            </w:pPr>
          </w:p>
        </w:tc>
        <w:tc>
          <w:tcPr>
            <w:tcW w:w="1480" w:type="dxa"/>
            <w:vAlign w:val="bottom"/>
            <w:tcBorders>
              <w:bottom w:val="single" w:sz="8" w:color="auto"/>
              <w:right w:val="single" w:sz="8" w:color="DD924E"/>
            </w:tcBorders>
            <w:shd w:val="clear" w:color="auto" w:fill="DD924E"/>
          </w:tcPr>
          <w:p>
            <w:pPr>
              <w:jc w:val="right"/>
              <w:ind w:right="452"/>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44"/>
        </w:trPr>
        <w:tc>
          <w:tcPr>
            <w:tcW w:w="178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7"/>
                <w:szCs w:val="17"/>
                <w:color w:val="auto"/>
              </w:rPr>
              <w:t>David Kelso</w:t>
            </w:r>
          </w:p>
        </w:tc>
        <w:tc>
          <w:tcPr>
            <w:tcW w:w="1520" w:type="dxa"/>
            <w:vAlign w:val="bottom"/>
            <w:gridSpan w:val="2"/>
            <w:shd w:val="clear" w:color="auto" w:fill="FBF4ED"/>
          </w:tcPr>
          <w:p>
            <w:pPr>
              <w:jc w:val="right"/>
              <w:spacing w:after="0"/>
              <w:rPr>
                <w:sz w:val="20"/>
                <w:szCs w:val="20"/>
                <w:color w:val="auto"/>
              </w:rPr>
            </w:pPr>
            <w:r>
              <w:rPr>
                <w:rFonts w:ascii="Arial" w:cs="Arial" w:eastAsia="Arial" w:hAnsi="Arial"/>
                <w:sz w:val="17"/>
                <w:szCs w:val="17"/>
                <w:color w:val="auto"/>
              </w:rPr>
              <w:t>92,500</w:t>
            </w:r>
          </w:p>
        </w:tc>
        <w:tc>
          <w:tcPr>
            <w:tcW w:w="2160" w:type="dxa"/>
            <w:vAlign w:val="bottom"/>
            <w:gridSpan w:val="2"/>
            <w:shd w:val="clear" w:color="auto" w:fill="FBF4ED"/>
          </w:tcPr>
          <w:p>
            <w:pPr>
              <w:jc w:val="right"/>
              <w:spacing w:after="0"/>
              <w:rPr>
                <w:sz w:val="20"/>
                <w:szCs w:val="20"/>
                <w:color w:val="auto"/>
              </w:rPr>
            </w:pPr>
            <w:r>
              <w:rPr>
                <w:rFonts w:ascii="Arial" w:cs="Arial" w:eastAsia="Arial" w:hAnsi="Arial"/>
                <w:sz w:val="17"/>
                <w:szCs w:val="17"/>
                <w:color w:val="auto"/>
              </w:rPr>
              <w:t>100,000</w:t>
            </w:r>
          </w:p>
        </w:tc>
        <w:tc>
          <w:tcPr>
            <w:tcW w:w="100" w:type="dxa"/>
            <w:vAlign w:val="bottom"/>
            <w:shd w:val="clear" w:color="auto" w:fill="FBF4ED"/>
          </w:tcPr>
          <w:p>
            <w:pPr>
              <w:spacing w:after="0"/>
              <w:rPr>
                <w:sz w:val="21"/>
                <w:szCs w:val="21"/>
                <w:color w:val="auto"/>
              </w:rPr>
            </w:pPr>
          </w:p>
        </w:tc>
        <w:tc>
          <w:tcPr>
            <w:tcW w:w="1680" w:type="dxa"/>
            <w:vAlign w:val="bottom"/>
            <w:shd w:val="clear" w:color="auto" w:fill="FBF4ED"/>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7"/>
                <w:szCs w:val="17"/>
                <w:color w:val="auto"/>
              </w:rPr>
              <w:t>192,500</w:t>
            </w:r>
          </w:p>
        </w:tc>
        <w:tc>
          <w:tcPr>
            <w:tcW w:w="0" w:type="dxa"/>
            <w:vAlign w:val="bottom"/>
          </w:tcPr>
          <w:p>
            <w:pPr>
              <w:spacing w:after="0"/>
              <w:rPr>
                <w:sz w:val="1"/>
                <w:szCs w:val="1"/>
                <w:color w:val="auto"/>
              </w:rPr>
            </w:pPr>
          </w:p>
        </w:tc>
      </w:tr>
      <w:tr>
        <w:trPr>
          <w:trHeight w:val="237"/>
        </w:trPr>
        <w:tc>
          <w:tcPr>
            <w:tcW w:w="1780" w:type="dxa"/>
            <w:vAlign w:val="bottom"/>
            <w:tcBorders>
              <w:left w:val="single" w:sz="8" w:color="DD924E"/>
            </w:tcBorders>
            <w:gridSpan w:val="2"/>
          </w:tcPr>
          <w:p>
            <w:pPr>
              <w:ind w:left="60"/>
              <w:spacing w:after="0"/>
              <w:rPr>
                <w:sz w:val="20"/>
                <w:szCs w:val="20"/>
                <w:color w:val="auto"/>
              </w:rPr>
            </w:pPr>
            <w:r>
              <w:rPr>
                <w:rFonts w:ascii="Arial" w:cs="Arial" w:eastAsia="Arial" w:hAnsi="Arial"/>
                <w:sz w:val="17"/>
                <w:szCs w:val="17"/>
                <w:color w:val="auto"/>
              </w:rPr>
              <w:t>Deborah Kerr</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82,500</w:t>
            </w:r>
          </w:p>
        </w:tc>
        <w:tc>
          <w:tcPr>
            <w:tcW w:w="2160" w:type="dxa"/>
            <w:vAlign w:val="bottom"/>
            <w:gridSpan w:val="2"/>
          </w:tcPr>
          <w:p>
            <w:pPr>
              <w:jc w:val="right"/>
              <w:spacing w:after="0"/>
              <w:rPr>
                <w:sz w:val="20"/>
                <w:szCs w:val="20"/>
                <w:color w:val="auto"/>
              </w:rPr>
            </w:pPr>
            <w:r>
              <w:rPr>
                <w:rFonts w:ascii="Arial" w:cs="Arial" w:eastAsia="Arial" w:hAnsi="Arial"/>
                <w:sz w:val="17"/>
                <w:szCs w:val="17"/>
                <w:color w:val="auto"/>
              </w:rPr>
              <w:t>100,000</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7"/>
                <w:szCs w:val="17"/>
                <w:color w:val="auto"/>
              </w:rPr>
              <w:t>182,500</w:t>
            </w:r>
          </w:p>
        </w:tc>
        <w:tc>
          <w:tcPr>
            <w:tcW w:w="0" w:type="dxa"/>
            <w:vAlign w:val="bottom"/>
          </w:tcPr>
          <w:p>
            <w:pPr>
              <w:spacing w:after="0"/>
              <w:rPr>
                <w:sz w:val="1"/>
                <w:szCs w:val="1"/>
                <w:color w:val="auto"/>
              </w:rPr>
            </w:pPr>
          </w:p>
        </w:tc>
      </w:tr>
      <w:tr>
        <w:trPr>
          <w:trHeight w:val="251"/>
        </w:trPr>
        <w:tc>
          <w:tcPr>
            <w:tcW w:w="178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7"/>
                <w:szCs w:val="17"/>
                <w:color w:val="auto"/>
              </w:rPr>
              <w:t>Clyde Ostler</w:t>
            </w:r>
          </w:p>
        </w:tc>
        <w:tc>
          <w:tcPr>
            <w:tcW w:w="1520" w:type="dxa"/>
            <w:vAlign w:val="bottom"/>
            <w:gridSpan w:val="2"/>
            <w:shd w:val="clear" w:color="auto" w:fill="FBF4ED"/>
          </w:tcPr>
          <w:p>
            <w:pPr>
              <w:jc w:val="right"/>
              <w:spacing w:after="0"/>
              <w:rPr>
                <w:sz w:val="20"/>
                <w:szCs w:val="20"/>
                <w:color w:val="auto"/>
              </w:rPr>
            </w:pPr>
            <w:r>
              <w:rPr>
                <w:rFonts w:ascii="Arial" w:cs="Arial" w:eastAsia="Arial" w:hAnsi="Arial"/>
                <w:sz w:val="17"/>
                <w:szCs w:val="17"/>
                <w:color w:val="auto"/>
              </w:rPr>
              <w:t>95,000</w:t>
            </w:r>
          </w:p>
        </w:tc>
        <w:tc>
          <w:tcPr>
            <w:tcW w:w="2160" w:type="dxa"/>
            <w:vAlign w:val="bottom"/>
            <w:gridSpan w:val="2"/>
            <w:shd w:val="clear" w:color="auto" w:fill="FBF4ED"/>
          </w:tcPr>
          <w:p>
            <w:pPr>
              <w:jc w:val="right"/>
              <w:spacing w:after="0"/>
              <w:rPr>
                <w:sz w:val="20"/>
                <w:szCs w:val="20"/>
                <w:color w:val="auto"/>
              </w:rPr>
            </w:pPr>
            <w:r>
              <w:rPr>
                <w:rFonts w:ascii="Arial" w:cs="Arial" w:eastAsia="Arial" w:hAnsi="Arial"/>
                <w:sz w:val="17"/>
                <w:szCs w:val="17"/>
                <w:color w:val="auto"/>
              </w:rPr>
              <w:t>100,000</w:t>
            </w:r>
          </w:p>
        </w:tc>
        <w:tc>
          <w:tcPr>
            <w:tcW w:w="100" w:type="dxa"/>
            <w:vAlign w:val="bottom"/>
            <w:shd w:val="clear" w:color="auto" w:fill="FBF4ED"/>
          </w:tcPr>
          <w:p>
            <w:pPr>
              <w:spacing w:after="0"/>
              <w:rPr>
                <w:sz w:val="21"/>
                <w:szCs w:val="21"/>
                <w:color w:val="auto"/>
              </w:rPr>
            </w:pPr>
          </w:p>
        </w:tc>
        <w:tc>
          <w:tcPr>
            <w:tcW w:w="1680" w:type="dxa"/>
            <w:vAlign w:val="bottom"/>
            <w:shd w:val="clear" w:color="auto" w:fill="FBF4ED"/>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7"/>
                <w:szCs w:val="17"/>
                <w:color w:val="auto"/>
              </w:rPr>
              <w:t>195,000</w:t>
            </w:r>
          </w:p>
        </w:tc>
        <w:tc>
          <w:tcPr>
            <w:tcW w:w="0" w:type="dxa"/>
            <w:vAlign w:val="bottom"/>
          </w:tcPr>
          <w:p>
            <w:pPr>
              <w:spacing w:after="0"/>
              <w:rPr>
                <w:sz w:val="1"/>
                <w:szCs w:val="1"/>
                <w:color w:val="auto"/>
              </w:rPr>
            </w:pPr>
          </w:p>
        </w:tc>
      </w:tr>
      <w:tr>
        <w:trPr>
          <w:trHeight w:val="237"/>
        </w:trPr>
        <w:tc>
          <w:tcPr>
            <w:tcW w:w="1780" w:type="dxa"/>
            <w:vAlign w:val="bottom"/>
            <w:tcBorders>
              <w:left w:val="single" w:sz="8" w:color="DD924E"/>
            </w:tcBorders>
            <w:gridSpan w:val="2"/>
          </w:tcPr>
          <w:p>
            <w:pPr>
              <w:ind w:left="60"/>
              <w:spacing w:after="0"/>
              <w:rPr>
                <w:sz w:val="20"/>
                <w:szCs w:val="20"/>
                <w:color w:val="auto"/>
              </w:rPr>
            </w:pPr>
            <w:r>
              <w:rPr>
                <w:rFonts w:ascii="Arial" w:cs="Arial" w:eastAsia="Arial" w:hAnsi="Arial"/>
                <w:sz w:val="17"/>
                <w:szCs w:val="17"/>
                <w:color w:val="auto"/>
              </w:rPr>
              <w:t>Anne Minto</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90,000</w:t>
            </w:r>
          </w:p>
        </w:tc>
        <w:tc>
          <w:tcPr>
            <w:tcW w:w="2160" w:type="dxa"/>
            <w:vAlign w:val="bottom"/>
            <w:gridSpan w:val="2"/>
          </w:tcPr>
          <w:p>
            <w:pPr>
              <w:jc w:val="right"/>
              <w:spacing w:after="0"/>
              <w:rPr>
                <w:sz w:val="20"/>
                <w:szCs w:val="20"/>
                <w:color w:val="auto"/>
              </w:rPr>
            </w:pPr>
            <w:r>
              <w:rPr>
                <w:rFonts w:ascii="Arial" w:cs="Arial" w:eastAsia="Arial" w:hAnsi="Arial"/>
                <w:sz w:val="17"/>
                <w:szCs w:val="17"/>
                <w:color w:val="auto"/>
              </w:rPr>
              <w:t>100,000</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9,577</w:t>
            </w:r>
          </w:p>
        </w:tc>
        <w:tc>
          <w:tcPr>
            <w:tcW w:w="158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7"/>
                <w:szCs w:val="17"/>
                <w:color w:val="auto"/>
              </w:rPr>
              <w:t>199,577</w:t>
            </w:r>
          </w:p>
        </w:tc>
        <w:tc>
          <w:tcPr>
            <w:tcW w:w="0" w:type="dxa"/>
            <w:vAlign w:val="bottom"/>
          </w:tcPr>
          <w:p>
            <w:pPr>
              <w:spacing w:after="0"/>
              <w:rPr>
                <w:sz w:val="1"/>
                <w:szCs w:val="1"/>
                <w:color w:val="auto"/>
              </w:rPr>
            </w:pPr>
          </w:p>
        </w:tc>
      </w:tr>
      <w:tr>
        <w:trPr>
          <w:trHeight w:val="251"/>
        </w:trPr>
        <w:tc>
          <w:tcPr>
            <w:tcW w:w="178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7"/>
                <w:szCs w:val="17"/>
                <w:color w:val="auto"/>
              </w:rPr>
              <w:t>Som Mittal</w:t>
            </w:r>
          </w:p>
        </w:tc>
        <w:tc>
          <w:tcPr>
            <w:tcW w:w="1520" w:type="dxa"/>
            <w:vAlign w:val="bottom"/>
            <w:gridSpan w:val="2"/>
            <w:shd w:val="clear" w:color="auto" w:fill="FBF4ED"/>
          </w:tcPr>
          <w:p>
            <w:pPr>
              <w:jc w:val="right"/>
              <w:spacing w:after="0"/>
              <w:rPr>
                <w:sz w:val="20"/>
                <w:szCs w:val="20"/>
                <w:color w:val="auto"/>
              </w:rPr>
            </w:pPr>
            <w:r>
              <w:rPr>
                <w:rFonts w:ascii="Arial" w:cs="Arial" w:eastAsia="Arial" w:hAnsi="Arial"/>
                <w:sz w:val="17"/>
                <w:szCs w:val="17"/>
                <w:color w:val="auto"/>
              </w:rPr>
              <w:t>80,000</w:t>
            </w:r>
          </w:p>
        </w:tc>
        <w:tc>
          <w:tcPr>
            <w:tcW w:w="2160" w:type="dxa"/>
            <w:vAlign w:val="bottom"/>
            <w:gridSpan w:val="2"/>
            <w:shd w:val="clear" w:color="auto" w:fill="FBF4ED"/>
          </w:tcPr>
          <w:p>
            <w:pPr>
              <w:jc w:val="right"/>
              <w:spacing w:after="0"/>
              <w:rPr>
                <w:sz w:val="20"/>
                <w:szCs w:val="20"/>
                <w:color w:val="auto"/>
              </w:rPr>
            </w:pPr>
            <w:r>
              <w:rPr>
                <w:rFonts w:ascii="Arial" w:cs="Arial" w:eastAsia="Arial" w:hAnsi="Arial"/>
                <w:sz w:val="17"/>
                <w:szCs w:val="17"/>
                <w:color w:val="auto"/>
              </w:rPr>
              <w:t>100,000</w:t>
            </w:r>
          </w:p>
        </w:tc>
        <w:tc>
          <w:tcPr>
            <w:tcW w:w="1780" w:type="dxa"/>
            <w:vAlign w:val="bottom"/>
            <w:gridSpan w:val="2"/>
            <w:shd w:val="clear" w:color="auto" w:fill="FBF4ED"/>
          </w:tcPr>
          <w:p>
            <w:pPr>
              <w:jc w:val="right"/>
              <w:spacing w:after="0"/>
              <w:rPr>
                <w:sz w:val="20"/>
                <w:szCs w:val="20"/>
                <w:color w:val="auto"/>
              </w:rPr>
            </w:pPr>
            <w:r>
              <w:rPr>
                <w:rFonts w:ascii="Arial" w:cs="Arial" w:eastAsia="Arial" w:hAnsi="Arial"/>
                <w:sz w:val="17"/>
                <w:szCs w:val="17"/>
                <w:color w:val="auto"/>
              </w:rPr>
              <w:t>8,090</w:t>
            </w:r>
          </w:p>
        </w:tc>
        <w:tc>
          <w:tcPr>
            <w:tcW w:w="1580" w:type="dxa"/>
            <w:vAlign w:val="bottom"/>
            <w:tcBorders>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7"/>
                <w:szCs w:val="17"/>
                <w:color w:val="auto"/>
              </w:rPr>
              <w:t>188,090</w:t>
            </w:r>
          </w:p>
        </w:tc>
        <w:tc>
          <w:tcPr>
            <w:tcW w:w="0" w:type="dxa"/>
            <w:vAlign w:val="bottom"/>
          </w:tcPr>
          <w:p>
            <w:pPr>
              <w:spacing w:after="0"/>
              <w:rPr>
                <w:sz w:val="1"/>
                <w:szCs w:val="1"/>
                <w:color w:val="auto"/>
              </w:rPr>
            </w:pPr>
          </w:p>
        </w:tc>
      </w:tr>
      <w:tr>
        <w:trPr>
          <w:trHeight w:val="237"/>
        </w:trPr>
        <w:tc>
          <w:tcPr>
            <w:tcW w:w="1780" w:type="dxa"/>
            <w:vAlign w:val="bottom"/>
            <w:tcBorders>
              <w:left w:val="single" w:sz="8" w:color="DD924E"/>
            </w:tcBorders>
            <w:gridSpan w:val="2"/>
          </w:tcPr>
          <w:p>
            <w:pPr>
              <w:ind w:left="60"/>
              <w:spacing w:after="0"/>
              <w:rPr>
                <w:sz w:val="20"/>
                <w:szCs w:val="20"/>
                <w:color w:val="auto"/>
              </w:rPr>
            </w:pPr>
            <w:r>
              <w:rPr>
                <w:rFonts w:ascii="Arial" w:cs="Arial" w:eastAsia="Arial" w:hAnsi="Arial"/>
                <w:sz w:val="17"/>
                <w:szCs w:val="17"/>
                <w:color w:val="auto"/>
              </w:rPr>
              <w:t>Nitin Sahney</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82,500</w:t>
            </w:r>
          </w:p>
        </w:tc>
        <w:tc>
          <w:tcPr>
            <w:tcW w:w="2160" w:type="dxa"/>
            <w:vAlign w:val="bottom"/>
            <w:gridSpan w:val="2"/>
          </w:tcPr>
          <w:p>
            <w:pPr>
              <w:jc w:val="right"/>
              <w:spacing w:after="0"/>
              <w:rPr>
                <w:sz w:val="20"/>
                <w:szCs w:val="20"/>
                <w:color w:val="auto"/>
              </w:rPr>
            </w:pPr>
            <w:r>
              <w:rPr>
                <w:rFonts w:ascii="Arial" w:cs="Arial" w:eastAsia="Arial" w:hAnsi="Arial"/>
                <w:sz w:val="17"/>
                <w:szCs w:val="17"/>
                <w:color w:val="auto"/>
              </w:rPr>
              <w:t>100,000</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right w:val="single" w:sz="8" w:color="DD924E"/>
            </w:tcBorders>
            <w:gridSpan w:val="2"/>
          </w:tcPr>
          <w:p>
            <w:pPr>
              <w:jc w:val="right"/>
              <w:ind w:right="12"/>
              <w:spacing w:after="0"/>
              <w:rPr>
                <w:sz w:val="20"/>
                <w:szCs w:val="20"/>
                <w:color w:val="auto"/>
              </w:rPr>
            </w:pPr>
            <w:r>
              <w:rPr>
                <w:rFonts w:ascii="Arial" w:cs="Arial" w:eastAsia="Arial" w:hAnsi="Arial"/>
                <w:sz w:val="17"/>
                <w:szCs w:val="17"/>
                <w:color w:val="auto"/>
              </w:rPr>
              <w:t>182,500</w:t>
            </w:r>
          </w:p>
        </w:tc>
        <w:tc>
          <w:tcPr>
            <w:tcW w:w="0" w:type="dxa"/>
            <w:vAlign w:val="bottom"/>
          </w:tcPr>
          <w:p>
            <w:pPr>
              <w:spacing w:after="0"/>
              <w:rPr>
                <w:sz w:val="1"/>
                <w:szCs w:val="1"/>
                <w:color w:val="auto"/>
              </w:rPr>
            </w:pPr>
          </w:p>
        </w:tc>
      </w:tr>
      <w:tr>
        <w:trPr>
          <w:trHeight w:val="244"/>
        </w:trPr>
        <w:tc>
          <w:tcPr>
            <w:tcW w:w="1780" w:type="dxa"/>
            <w:vAlign w:val="bottom"/>
            <w:tcBorders>
              <w:left w:val="single" w:sz="8" w:color="DD924E"/>
              <w:bottom w:val="single" w:sz="8" w:color="DD924E"/>
            </w:tcBorders>
            <w:gridSpan w:val="2"/>
            <w:shd w:val="clear" w:color="auto" w:fill="FBF4ED"/>
          </w:tcPr>
          <w:p>
            <w:pPr>
              <w:ind w:left="60"/>
              <w:spacing w:after="0"/>
              <w:rPr>
                <w:sz w:val="20"/>
                <w:szCs w:val="20"/>
                <w:color w:val="auto"/>
              </w:rPr>
            </w:pPr>
            <w:r>
              <w:rPr>
                <w:rFonts w:ascii="Arial" w:cs="Arial" w:eastAsia="Arial" w:hAnsi="Arial"/>
                <w:sz w:val="17"/>
                <w:szCs w:val="17"/>
                <w:color w:val="auto"/>
              </w:rPr>
              <w:t>Garen Staglin</w:t>
            </w:r>
          </w:p>
        </w:tc>
        <w:tc>
          <w:tcPr>
            <w:tcW w:w="1520" w:type="dxa"/>
            <w:vAlign w:val="bottom"/>
            <w:tcBorders>
              <w:bottom w:val="single" w:sz="8" w:color="DD924E"/>
            </w:tcBorders>
            <w:gridSpan w:val="2"/>
            <w:shd w:val="clear" w:color="auto" w:fill="FBF4ED"/>
          </w:tcPr>
          <w:p>
            <w:pPr>
              <w:jc w:val="right"/>
              <w:spacing w:after="0"/>
              <w:rPr>
                <w:sz w:val="20"/>
                <w:szCs w:val="20"/>
                <w:color w:val="auto"/>
              </w:rPr>
            </w:pPr>
            <w:r>
              <w:rPr>
                <w:rFonts w:ascii="Arial" w:cs="Arial" w:eastAsia="Arial" w:hAnsi="Arial"/>
                <w:sz w:val="17"/>
                <w:szCs w:val="17"/>
                <w:color w:val="auto"/>
              </w:rPr>
              <w:t>130,000</w:t>
            </w:r>
          </w:p>
        </w:tc>
        <w:tc>
          <w:tcPr>
            <w:tcW w:w="2160" w:type="dxa"/>
            <w:vAlign w:val="bottom"/>
            <w:tcBorders>
              <w:bottom w:val="single" w:sz="8" w:color="DD924E"/>
            </w:tcBorders>
            <w:gridSpan w:val="2"/>
            <w:shd w:val="clear" w:color="auto" w:fill="FBF4ED"/>
          </w:tcPr>
          <w:p>
            <w:pPr>
              <w:jc w:val="right"/>
              <w:spacing w:after="0"/>
              <w:rPr>
                <w:sz w:val="20"/>
                <w:szCs w:val="20"/>
                <w:color w:val="auto"/>
              </w:rPr>
            </w:pPr>
            <w:r>
              <w:rPr>
                <w:rFonts w:ascii="Arial" w:cs="Arial" w:eastAsia="Arial" w:hAnsi="Arial"/>
                <w:sz w:val="17"/>
                <w:szCs w:val="17"/>
                <w:color w:val="auto"/>
              </w:rPr>
              <w:t>200,000</w:t>
            </w:r>
          </w:p>
        </w:tc>
        <w:tc>
          <w:tcPr>
            <w:tcW w:w="1780" w:type="dxa"/>
            <w:vAlign w:val="bottom"/>
            <w:tcBorders>
              <w:bottom w:val="single" w:sz="8" w:color="DD924E"/>
            </w:tcBorders>
            <w:gridSpan w:val="2"/>
            <w:shd w:val="clear" w:color="auto" w:fill="FBF4ED"/>
          </w:tcPr>
          <w:p>
            <w:pPr>
              <w:jc w:val="right"/>
              <w:spacing w:after="0"/>
              <w:rPr>
                <w:sz w:val="20"/>
                <w:szCs w:val="20"/>
                <w:color w:val="auto"/>
              </w:rPr>
            </w:pPr>
            <w:r>
              <w:rPr>
                <w:rFonts w:ascii="Arial" w:cs="Arial" w:eastAsia="Arial" w:hAnsi="Arial"/>
                <w:sz w:val="17"/>
                <w:szCs w:val="17"/>
                <w:color w:val="auto"/>
              </w:rPr>
              <w:t>44,402</w:t>
            </w:r>
          </w:p>
        </w:tc>
        <w:tc>
          <w:tcPr>
            <w:tcW w:w="1580" w:type="dxa"/>
            <w:vAlign w:val="bottom"/>
            <w:tcBorders>
              <w:bottom w:val="single" w:sz="8" w:color="DD924E"/>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7"/>
                <w:szCs w:val="17"/>
                <w:color w:val="auto"/>
              </w:rPr>
              <w:t>274,402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121920</wp:posOffset>
            </wp:positionV>
            <wp:extent cx="12865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267" w:lineRule="exact"/>
        <w:rPr>
          <w:sz w:val="20"/>
          <w:szCs w:val="20"/>
          <w:color w:val="auto"/>
        </w:rPr>
      </w:pPr>
    </w:p>
    <w:p>
      <w:pPr>
        <w:jc w:val="both"/>
        <w:ind w:left="840" w:right="59" w:hanging="345"/>
        <w:spacing w:after="0" w:line="234" w:lineRule="auto"/>
        <w:tabs>
          <w:tab w:leader="none" w:pos="8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Mr. Kapoor’s compensation during 2017 was based solely on his role as CEO, as disclosed in the “Summary Compensation Table for Fiscal Year 2017” beginning on page 47 and discussed in “Compensation Discussion and Analysis” beginning on page 30. He does not receive any additional compensation for his services as a director.</w:t>
      </w:r>
    </w:p>
    <w:p>
      <w:pPr>
        <w:spacing w:after="0" w:line="118" w:lineRule="exact"/>
        <w:rPr>
          <w:rFonts w:ascii="Arial" w:cs="Arial" w:eastAsia="Arial" w:hAnsi="Arial"/>
          <w:sz w:val="14"/>
          <w:szCs w:val="14"/>
          <w:color w:val="auto"/>
        </w:rPr>
      </w:pPr>
    </w:p>
    <w:p>
      <w:pPr>
        <w:jc w:val="both"/>
        <w:ind w:left="840" w:right="59" w:hanging="345"/>
        <w:spacing w:after="0" w:line="233" w:lineRule="auto"/>
        <w:tabs>
          <w:tab w:leader="none" w:pos="8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stock awards and option awards recognized for financial statement reporting purposes for the fiscal year ended December 31, 2017, in accordance with FASB ASC Topic 718 (disregarding any forfeiture assumptions). Assumptions used in the calculation of these amounts are included in footnotes 2 and 21 to our audited financial statements for the fiscal year ended December 31, 2017 included in the 2017 Form 10-K.</w:t>
      </w:r>
    </w:p>
    <w:p>
      <w:pPr>
        <w:spacing w:after="0" w:line="131" w:lineRule="exact"/>
        <w:rPr>
          <w:rFonts w:ascii="Arial" w:cs="Arial" w:eastAsia="Arial" w:hAnsi="Arial"/>
          <w:sz w:val="14"/>
          <w:szCs w:val="14"/>
          <w:color w:val="auto"/>
        </w:rPr>
      </w:pPr>
    </w:p>
    <w:p>
      <w:pPr>
        <w:ind w:left="840" w:hanging="345"/>
        <w:spacing w:after="0"/>
        <w:tabs>
          <w:tab w:leader="none" w:pos="8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outstanding equity awards held by our non-employee directors on December 31, 2017 is set forth on the table below:</w:t>
      </w:r>
    </w:p>
    <w:p>
      <w:pPr>
        <w:spacing w:after="0" w:line="129" w:lineRule="exact"/>
        <w:rPr>
          <w:sz w:val="20"/>
          <w:szCs w:val="20"/>
          <w:color w:val="auto"/>
        </w:rPr>
      </w:pPr>
    </w:p>
    <w:tbl>
      <w:tblPr>
        <w:tblLayout w:type="fixed"/>
        <w:tblInd w:w="830" w:type="dxa"/>
        <w:tblCellMar>
          <w:top w:w="0" w:type="dxa"/>
          <w:left w:w="0" w:type="dxa"/>
          <w:bottom w:w="0" w:type="dxa"/>
          <w:right w:w="0" w:type="dxa"/>
        </w:tblCellMar>
      </w:tblPr>
      <w:tr>
        <w:trPr>
          <w:trHeight w:val="181"/>
        </w:trPr>
        <w:tc>
          <w:tcPr>
            <w:tcW w:w="80" w:type="dxa"/>
            <w:vAlign w:val="bottom"/>
            <w:tcBorders>
              <w:left w:val="single" w:sz="8" w:color="DD924E"/>
            </w:tcBorders>
            <w:shd w:val="clear" w:color="auto" w:fill="DD924E"/>
          </w:tcPr>
          <w:p>
            <w:pPr>
              <w:spacing w:after="0"/>
              <w:rPr>
                <w:sz w:val="15"/>
                <w:szCs w:val="15"/>
                <w:color w:val="auto"/>
              </w:rPr>
            </w:pPr>
          </w:p>
        </w:tc>
        <w:tc>
          <w:tcPr>
            <w:tcW w:w="146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2160" w:type="dxa"/>
            <w:vAlign w:val="bottom"/>
            <w:gridSpan w:val="2"/>
            <w:shd w:val="clear" w:color="auto" w:fill="DD924E"/>
          </w:tcPr>
          <w:p>
            <w:pPr>
              <w:jc w:val="center"/>
              <w:ind w:right="80"/>
              <w:spacing w:after="0"/>
              <w:rPr>
                <w:sz w:val="20"/>
                <w:szCs w:val="20"/>
                <w:color w:val="auto"/>
              </w:rPr>
            </w:pPr>
            <w:r>
              <w:rPr>
                <w:rFonts w:ascii="Arial" w:cs="Arial" w:eastAsia="Arial" w:hAnsi="Arial"/>
                <w:sz w:val="14"/>
                <w:szCs w:val="14"/>
                <w:b w:val="1"/>
                <w:bCs w:val="1"/>
                <w:color w:val="FFFFFF"/>
                <w:w w:val="97"/>
              </w:rPr>
              <w:t>No. of Securities</w:t>
            </w:r>
          </w:p>
        </w:tc>
        <w:tc>
          <w:tcPr>
            <w:tcW w:w="2060" w:type="dxa"/>
            <w:vAlign w:val="bottom"/>
            <w:shd w:val="clear" w:color="auto" w:fill="DD924E"/>
          </w:tcPr>
          <w:p>
            <w:pPr>
              <w:jc w:val="center"/>
              <w:ind w:left="132"/>
              <w:spacing w:after="0"/>
              <w:rPr>
                <w:sz w:val="20"/>
                <w:szCs w:val="20"/>
                <w:color w:val="auto"/>
              </w:rPr>
            </w:pPr>
            <w:r>
              <w:rPr>
                <w:rFonts w:ascii="Arial" w:cs="Arial" w:eastAsia="Arial" w:hAnsi="Arial"/>
                <w:sz w:val="14"/>
                <w:szCs w:val="14"/>
                <w:b w:val="1"/>
                <w:bCs w:val="1"/>
                <w:color w:val="FFFFFF"/>
                <w:w w:val="95"/>
              </w:rPr>
              <w:t>No. of Securities</w:t>
            </w:r>
          </w:p>
        </w:tc>
        <w:tc>
          <w:tcPr>
            <w:tcW w:w="20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1980" w:type="dxa"/>
            <w:vAlign w:val="bottom"/>
            <w:tcBorders>
              <w:right w:val="single" w:sz="8" w:color="DD924E"/>
            </w:tcBorders>
            <w:gridSpan w:val="2"/>
            <w:shd w:val="clear" w:color="auto" w:fill="DD924E"/>
          </w:tcPr>
          <w:p>
            <w:pPr>
              <w:jc w:val="center"/>
              <w:ind w:right="80"/>
              <w:spacing w:after="0"/>
              <w:rPr>
                <w:sz w:val="20"/>
                <w:szCs w:val="20"/>
                <w:color w:val="auto"/>
              </w:rPr>
            </w:pPr>
            <w:r>
              <w:rPr>
                <w:rFonts w:ascii="Arial" w:cs="Arial" w:eastAsia="Arial" w:hAnsi="Arial"/>
                <w:sz w:val="14"/>
                <w:szCs w:val="14"/>
                <w:b w:val="1"/>
                <w:bCs w:val="1"/>
                <w:color w:val="FFFFFF"/>
                <w:w w:val="97"/>
              </w:rPr>
              <w:t>No. of Shares or</w:t>
            </w:r>
          </w:p>
        </w:tc>
      </w:tr>
      <w:tr>
        <w:trPr>
          <w:trHeight w:val="154"/>
        </w:trPr>
        <w:tc>
          <w:tcPr>
            <w:tcW w:w="80" w:type="dxa"/>
            <w:vAlign w:val="bottom"/>
            <w:tcBorders>
              <w:left w:val="single" w:sz="8" w:color="DD924E"/>
            </w:tcBorders>
            <w:shd w:val="clear" w:color="auto" w:fill="DD924E"/>
          </w:tcPr>
          <w:p>
            <w:pPr>
              <w:spacing w:after="0"/>
              <w:rPr>
                <w:sz w:val="13"/>
                <w:szCs w:val="13"/>
                <w:color w:val="auto"/>
              </w:rPr>
            </w:pPr>
          </w:p>
        </w:tc>
        <w:tc>
          <w:tcPr>
            <w:tcW w:w="14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2160" w:type="dxa"/>
            <w:vAlign w:val="bottom"/>
            <w:gridSpan w:val="2"/>
            <w:shd w:val="clear" w:color="auto" w:fill="DD924E"/>
          </w:tcPr>
          <w:p>
            <w:pPr>
              <w:jc w:val="center"/>
              <w:ind w:right="80"/>
              <w:spacing w:after="0" w:line="154" w:lineRule="exact"/>
              <w:rPr>
                <w:sz w:val="20"/>
                <w:szCs w:val="20"/>
                <w:color w:val="auto"/>
              </w:rPr>
            </w:pPr>
            <w:r>
              <w:rPr>
                <w:rFonts w:ascii="Arial" w:cs="Arial" w:eastAsia="Arial" w:hAnsi="Arial"/>
                <w:sz w:val="14"/>
                <w:szCs w:val="14"/>
                <w:b w:val="1"/>
                <w:bCs w:val="1"/>
                <w:color w:val="FFFFFF"/>
                <w:w w:val="97"/>
              </w:rPr>
              <w:t>Underlying Unexercised</w:t>
            </w:r>
          </w:p>
        </w:tc>
        <w:tc>
          <w:tcPr>
            <w:tcW w:w="2060" w:type="dxa"/>
            <w:vAlign w:val="bottom"/>
            <w:shd w:val="clear" w:color="auto" w:fill="DD924E"/>
          </w:tcPr>
          <w:p>
            <w:pPr>
              <w:jc w:val="center"/>
              <w:ind w:left="132"/>
              <w:spacing w:after="0" w:line="154" w:lineRule="exact"/>
              <w:rPr>
                <w:sz w:val="20"/>
                <w:szCs w:val="20"/>
                <w:color w:val="auto"/>
              </w:rPr>
            </w:pPr>
            <w:r>
              <w:rPr>
                <w:rFonts w:ascii="Arial" w:cs="Arial" w:eastAsia="Arial" w:hAnsi="Arial"/>
                <w:sz w:val="14"/>
                <w:szCs w:val="14"/>
                <w:b w:val="1"/>
                <w:bCs w:val="1"/>
                <w:color w:val="FFFFFF"/>
                <w:w w:val="98"/>
              </w:rPr>
              <w:t>Underlying Unexercised</w:t>
            </w:r>
          </w:p>
        </w:tc>
        <w:tc>
          <w:tcPr>
            <w:tcW w:w="20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1980" w:type="dxa"/>
            <w:vAlign w:val="bottom"/>
            <w:tcBorders>
              <w:right w:val="single" w:sz="8" w:color="DD924E"/>
            </w:tcBorders>
            <w:gridSpan w:val="2"/>
            <w:shd w:val="clear" w:color="auto" w:fill="DD924E"/>
          </w:tcPr>
          <w:p>
            <w:pPr>
              <w:jc w:val="center"/>
              <w:ind w:right="60"/>
              <w:spacing w:after="0" w:line="154" w:lineRule="exact"/>
              <w:rPr>
                <w:sz w:val="20"/>
                <w:szCs w:val="20"/>
                <w:color w:val="auto"/>
              </w:rPr>
            </w:pPr>
            <w:r>
              <w:rPr>
                <w:rFonts w:ascii="Arial" w:cs="Arial" w:eastAsia="Arial" w:hAnsi="Arial"/>
                <w:sz w:val="14"/>
                <w:szCs w:val="14"/>
                <w:b w:val="1"/>
                <w:bCs w:val="1"/>
                <w:color w:val="FFFFFF"/>
                <w:w w:val="97"/>
              </w:rPr>
              <w:t>Units of Stock That</w:t>
            </w:r>
          </w:p>
        </w:tc>
      </w:tr>
      <w:tr>
        <w:trPr>
          <w:trHeight w:val="184"/>
        </w:trPr>
        <w:tc>
          <w:tcPr>
            <w:tcW w:w="80" w:type="dxa"/>
            <w:vAlign w:val="bottom"/>
            <w:tcBorders>
              <w:left w:val="single" w:sz="8" w:color="DD924E"/>
              <w:bottom w:val="single" w:sz="8" w:color="DD924E"/>
            </w:tcBorders>
            <w:shd w:val="clear" w:color="auto" w:fill="DD924E"/>
          </w:tcPr>
          <w:p>
            <w:pPr>
              <w:spacing w:after="0"/>
              <w:rPr>
                <w:sz w:val="15"/>
                <w:szCs w:val="15"/>
                <w:color w:val="auto"/>
              </w:rPr>
            </w:pPr>
          </w:p>
        </w:tc>
        <w:tc>
          <w:tcPr>
            <w:tcW w:w="1460" w:type="dxa"/>
            <w:vAlign w:val="bottom"/>
            <w:tcBorders>
              <w:bottom w:val="single" w:sz="8" w:color="auto"/>
            </w:tcBorders>
            <w:shd w:val="clear" w:color="auto" w:fill="DD924E"/>
          </w:tcPr>
          <w:p>
            <w:pPr>
              <w:ind w:left="540"/>
              <w:spacing w:after="0"/>
              <w:rPr>
                <w:sz w:val="20"/>
                <w:szCs w:val="20"/>
                <w:color w:val="auto"/>
              </w:rPr>
            </w:pPr>
            <w:r>
              <w:rPr>
                <w:rFonts w:ascii="Arial" w:cs="Arial" w:eastAsia="Arial" w:hAnsi="Arial"/>
                <w:sz w:val="14"/>
                <w:szCs w:val="14"/>
                <w:b w:val="1"/>
                <w:bCs w:val="1"/>
                <w:color w:val="FFFFFF"/>
              </w:rPr>
              <w:t>Name</w:t>
            </w:r>
          </w:p>
        </w:tc>
        <w:tc>
          <w:tcPr>
            <w:tcW w:w="100" w:type="dxa"/>
            <w:vAlign w:val="bottom"/>
            <w:tcBorders>
              <w:bottom w:val="single" w:sz="8" w:color="DD924E"/>
            </w:tcBorders>
            <w:shd w:val="clear" w:color="auto" w:fill="DD924E"/>
          </w:tcPr>
          <w:p>
            <w:pPr>
              <w:spacing w:after="0"/>
              <w:rPr>
                <w:sz w:val="15"/>
                <w:szCs w:val="15"/>
                <w:color w:val="auto"/>
              </w:rPr>
            </w:pPr>
          </w:p>
        </w:tc>
        <w:tc>
          <w:tcPr>
            <w:tcW w:w="204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Options (#) Exercisable</w:t>
            </w:r>
          </w:p>
        </w:tc>
        <w:tc>
          <w:tcPr>
            <w:tcW w:w="120" w:type="dxa"/>
            <w:vAlign w:val="bottom"/>
            <w:tcBorders>
              <w:bottom w:val="single" w:sz="8" w:color="DD924E"/>
            </w:tcBorders>
            <w:shd w:val="clear" w:color="auto" w:fill="DD924E"/>
          </w:tcPr>
          <w:p>
            <w:pPr>
              <w:spacing w:after="0"/>
              <w:rPr>
                <w:sz w:val="15"/>
                <w:szCs w:val="15"/>
                <w:color w:val="auto"/>
              </w:rPr>
            </w:pPr>
          </w:p>
        </w:tc>
        <w:tc>
          <w:tcPr>
            <w:tcW w:w="2060" w:type="dxa"/>
            <w:vAlign w:val="bottom"/>
            <w:tcBorders>
              <w:bottom w:val="single" w:sz="8" w:color="auto"/>
            </w:tcBorders>
            <w:shd w:val="clear" w:color="auto" w:fill="DD924E"/>
          </w:tcPr>
          <w:p>
            <w:pPr>
              <w:jc w:val="center"/>
              <w:ind w:left="132"/>
              <w:spacing w:after="0"/>
              <w:rPr>
                <w:sz w:val="20"/>
                <w:szCs w:val="20"/>
                <w:color w:val="auto"/>
              </w:rPr>
            </w:pPr>
            <w:r>
              <w:rPr>
                <w:rFonts w:ascii="Arial" w:cs="Arial" w:eastAsia="Arial" w:hAnsi="Arial"/>
                <w:sz w:val="14"/>
                <w:szCs w:val="14"/>
                <w:b w:val="1"/>
                <w:bCs w:val="1"/>
                <w:color w:val="FFFFFF"/>
                <w:w w:val="98"/>
              </w:rPr>
              <w:t>Options (#) Unexercisable</w:t>
            </w:r>
          </w:p>
        </w:tc>
        <w:tc>
          <w:tcPr>
            <w:tcW w:w="200" w:type="dxa"/>
            <w:vAlign w:val="bottom"/>
            <w:tcBorders>
              <w:bottom w:val="single" w:sz="8" w:color="auto"/>
            </w:tcBorders>
            <w:shd w:val="clear" w:color="auto" w:fill="DD924E"/>
          </w:tcPr>
          <w:p>
            <w:pPr>
              <w:spacing w:after="0"/>
              <w:rPr>
                <w:sz w:val="15"/>
                <w:szCs w:val="15"/>
                <w:color w:val="auto"/>
              </w:rPr>
            </w:pPr>
          </w:p>
        </w:tc>
        <w:tc>
          <w:tcPr>
            <w:tcW w:w="100" w:type="dxa"/>
            <w:vAlign w:val="bottom"/>
            <w:tcBorders>
              <w:bottom w:val="single" w:sz="8" w:color="DD924E"/>
            </w:tcBorders>
            <w:shd w:val="clear" w:color="auto" w:fill="DD924E"/>
          </w:tcPr>
          <w:p>
            <w:pPr>
              <w:spacing w:after="0"/>
              <w:rPr>
                <w:sz w:val="15"/>
                <w:szCs w:val="15"/>
                <w:color w:val="auto"/>
              </w:rPr>
            </w:pPr>
          </w:p>
        </w:tc>
        <w:tc>
          <w:tcPr>
            <w:tcW w:w="190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7"/>
              </w:rPr>
              <w:t>Have Not Vested</w:t>
            </w:r>
          </w:p>
        </w:tc>
        <w:tc>
          <w:tcPr>
            <w:tcW w:w="80" w:type="dxa"/>
            <w:vAlign w:val="bottom"/>
            <w:tcBorders>
              <w:bottom w:val="single" w:sz="8" w:color="DD924E"/>
              <w:right w:val="single" w:sz="8" w:color="DD924E"/>
            </w:tcBorders>
            <w:shd w:val="clear" w:color="auto" w:fill="DD924E"/>
          </w:tcPr>
          <w:p>
            <w:pPr>
              <w:spacing w:after="0"/>
              <w:rPr>
                <w:sz w:val="15"/>
                <w:szCs w:val="15"/>
                <w:color w:val="auto"/>
              </w:rPr>
            </w:pPr>
          </w:p>
        </w:tc>
      </w:tr>
      <w:tr>
        <w:trPr>
          <w:trHeight w:val="205"/>
        </w:trPr>
        <w:tc>
          <w:tcPr>
            <w:tcW w:w="80" w:type="dxa"/>
            <w:vAlign w:val="bottom"/>
            <w:tcBorders>
              <w:left w:val="single" w:sz="8" w:color="DD924E"/>
            </w:tcBorders>
            <w:shd w:val="clear" w:color="auto" w:fill="FBF4ED"/>
          </w:tcPr>
          <w:p>
            <w:pPr>
              <w:spacing w:after="0"/>
              <w:rPr>
                <w:sz w:val="17"/>
                <w:szCs w:val="17"/>
                <w:color w:val="auto"/>
              </w:rPr>
            </w:pPr>
          </w:p>
        </w:tc>
        <w:tc>
          <w:tcPr>
            <w:tcW w:w="1460" w:type="dxa"/>
            <w:vAlign w:val="bottom"/>
            <w:shd w:val="clear" w:color="auto" w:fill="FBF4ED"/>
          </w:tcPr>
          <w:p>
            <w:pPr>
              <w:spacing w:after="0"/>
              <w:rPr>
                <w:sz w:val="20"/>
                <w:szCs w:val="20"/>
                <w:color w:val="auto"/>
              </w:rPr>
            </w:pPr>
            <w:r>
              <w:rPr>
                <w:rFonts w:ascii="Arial" w:cs="Arial" w:eastAsia="Arial" w:hAnsi="Arial"/>
                <w:sz w:val="14"/>
                <w:szCs w:val="14"/>
                <w:color w:val="auto"/>
              </w:rPr>
              <w:t>David Kelso</w:t>
            </w:r>
          </w:p>
        </w:tc>
        <w:tc>
          <w:tcPr>
            <w:tcW w:w="2260" w:type="dxa"/>
            <w:vAlign w:val="bottom"/>
            <w:gridSpan w:val="3"/>
            <w:shd w:val="clear" w:color="auto" w:fill="FBF4ED"/>
          </w:tcPr>
          <w:p>
            <w:pPr>
              <w:jc w:val="right"/>
              <w:ind w:right="100"/>
              <w:spacing w:after="0"/>
              <w:rPr>
                <w:sz w:val="20"/>
                <w:szCs w:val="20"/>
                <w:color w:val="auto"/>
              </w:rPr>
            </w:pPr>
            <w:r>
              <w:rPr>
                <w:rFonts w:ascii="Arial" w:cs="Arial" w:eastAsia="Arial" w:hAnsi="Arial"/>
                <w:sz w:val="14"/>
                <w:szCs w:val="14"/>
                <w:color w:val="auto"/>
              </w:rPr>
              <w:t>26,294</w:t>
            </w:r>
          </w:p>
        </w:tc>
        <w:tc>
          <w:tcPr>
            <w:tcW w:w="2060" w:type="dxa"/>
            <w:vAlign w:val="bottom"/>
            <w:shd w:val="clear" w:color="auto" w:fill="FBF4ED"/>
          </w:tcPr>
          <w:p>
            <w:pPr>
              <w:spacing w:after="0"/>
              <w:rPr>
                <w:sz w:val="17"/>
                <w:szCs w:val="17"/>
                <w:color w:val="auto"/>
              </w:rPr>
            </w:pPr>
          </w:p>
        </w:tc>
        <w:tc>
          <w:tcPr>
            <w:tcW w:w="300" w:type="dxa"/>
            <w:vAlign w:val="bottom"/>
            <w:gridSpan w:val="2"/>
            <w:shd w:val="clear" w:color="auto" w:fill="FBF4ED"/>
          </w:tcPr>
          <w:p>
            <w:pPr>
              <w:ind w:left="60"/>
              <w:spacing w:after="0"/>
              <w:rPr>
                <w:sz w:val="20"/>
                <w:szCs w:val="20"/>
                <w:color w:val="auto"/>
              </w:rPr>
            </w:pPr>
            <w:r>
              <w:rPr>
                <w:rFonts w:ascii="Arial" w:cs="Arial" w:eastAsia="Arial" w:hAnsi="Arial"/>
                <w:sz w:val="14"/>
                <w:szCs w:val="14"/>
                <w:color w:val="auto"/>
              </w:rPr>
              <w:t>—</w:t>
            </w:r>
          </w:p>
        </w:tc>
        <w:tc>
          <w:tcPr>
            <w:tcW w:w="1980" w:type="dxa"/>
            <w:vAlign w:val="bottom"/>
            <w:tcBorders>
              <w:right w:val="single" w:sz="8" w:color="DD924E"/>
            </w:tcBorders>
            <w:gridSpan w:val="2"/>
            <w:shd w:val="clear" w:color="auto" w:fill="FBF4ED"/>
          </w:tcPr>
          <w:p>
            <w:pPr>
              <w:jc w:val="right"/>
              <w:ind w:right="80"/>
              <w:spacing w:after="0"/>
              <w:rPr>
                <w:sz w:val="20"/>
                <w:szCs w:val="20"/>
                <w:color w:val="auto"/>
              </w:rPr>
            </w:pPr>
            <w:r>
              <w:rPr>
                <w:rFonts w:ascii="Arial" w:cs="Arial" w:eastAsia="Arial" w:hAnsi="Arial"/>
                <w:sz w:val="14"/>
                <w:szCs w:val="14"/>
                <w:color w:val="auto"/>
              </w:rPr>
              <w:t>1,854</w:t>
            </w:r>
          </w:p>
        </w:tc>
      </w:tr>
      <w:tr>
        <w:trPr>
          <w:trHeight w:val="199"/>
        </w:trPr>
        <w:tc>
          <w:tcPr>
            <w:tcW w:w="80" w:type="dxa"/>
            <w:vAlign w:val="bottom"/>
            <w:tcBorders>
              <w:left w:val="single" w:sz="8" w:color="DD924E"/>
            </w:tcBorders>
          </w:tcPr>
          <w:p>
            <w:pPr>
              <w:spacing w:after="0"/>
              <w:rPr>
                <w:sz w:val="17"/>
                <w:szCs w:val="17"/>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Deborah Kerr</w:t>
            </w:r>
          </w:p>
        </w:tc>
        <w:tc>
          <w:tcPr>
            <w:tcW w:w="100" w:type="dxa"/>
            <w:vAlign w:val="bottom"/>
          </w:tcPr>
          <w:p>
            <w:pPr>
              <w:spacing w:after="0"/>
              <w:rPr>
                <w:sz w:val="17"/>
                <w:szCs w:val="17"/>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60" w:type="dxa"/>
            <w:vAlign w:val="bottom"/>
          </w:tcPr>
          <w:p>
            <w:pPr>
              <w:spacing w:after="0"/>
              <w:rPr>
                <w:sz w:val="17"/>
                <w:szCs w:val="17"/>
                <w:color w:val="auto"/>
              </w:rPr>
            </w:pPr>
          </w:p>
        </w:tc>
        <w:tc>
          <w:tcPr>
            <w:tcW w:w="3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980" w:type="dxa"/>
            <w:vAlign w:val="bottom"/>
            <w:tcBorders>
              <w:right w:val="single" w:sz="8" w:color="DD924E"/>
            </w:tcBorders>
            <w:gridSpan w:val="2"/>
          </w:tcPr>
          <w:p>
            <w:pPr>
              <w:jc w:val="right"/>
              <w:ind w:right="80"/>
              <w:spacing w:after="0"/>
              <w:rPr>
                <w:sz w:val="20"/>
                <w:szCs w:val="20"/>
                <w:color w:val="auto"/>
              </w:rPr>
            </w:pPr>
            <w:r>
              <w:rPr>
                <w:rFonts w:ascii="Arial" w:cs="Arial" w:eastAsia="Arial" w:hAnsi="Arial"/>
                <w:sz w:val="14"/>
                <w:szCs w:val="14"/>
                <w:color w:val="auto"/>
              </w:rPr>
              <w:t>1,854</w:t>
            </w:r>
          </w:p>
        </w:tc>
      </w:tr>
      <w:tr>
        <w:trPr>
          <w:trHeight w:val="211"/>
        </w:trPr>
        <w:tc>
          <w:tcPr>
            <w:tcW w:w="80" w:type="dxa"/>
            <w:vAlign w:val="bottom"/>
            <w:tcBorders>
              <w:left w:val="single" w:sz="8" w:color="DD924E"/>
            </w:tcBorders>
            <w:shd w:val="clear" w:color="auto" w:fill="FBF4ED"/>
          </w:tcPr>
          <w:p>
            <w:pPr>
              <w:spacing w:after="0"/>
              <w:rPr>
                <w:sz w:val="18"/>
                <w:szCs w:val="18"/>
                <w:color w:val="auto"/>
              </w:rPr>
            </w:pPr>
          </w:p>
        </w:tc>
        <w:tc>
          <w:tcPr>
            <w:tcW w:w="1460" w:type="dxa"/>
            <w:vAlign w:val="bottom"/>
            <w:shd w:val="clear" w:color="auto" w:fill="FBF4ED"/>
          </w:tcPr>
          <w:p>
            <w:pPr>
              <w:spacing w:after="0"/>
              <w:rPr>
                <w:sz w:val="20"/>
                <w:szCs w:val="20"/>
                <w:color w:val="auto"/>
              </w:rPr>
            </w:pPr>
            <w:r>
              <w:rPr>
                <w:rFonts w:ascii="Arial" w:cs="Arial" w:eastAsia="Arial" w:hAnsi="Arial"/>
                <w:sz w:val="14"/>
                <w:szCs w:val="14"/>
                <w:color w:val="auto"/>
              </w:rPr>
              <w:t>Anne Minto</w:t>
            </w:r>
          </w:p>
        </w:tc>
        <w:tc>
          <w:tcPr>
            <w:tcW w:w="2260" w:type="dxa"/>
            <w:vAlign w:val="bottom"/>
            <w:gridSpan w:val="3"/>
            <w:shd w:val="clear" w:color="auto" w:fill="FBF4ED"/>
          </w:tcPr>
          <w:p>
            <w:pPr>
              <w:jc w:val="right"/>
              <w:ind w:right="100"/>
              <w:spacing w:after="0"/>
              <w:rPr>
                <w:sz w:val="20"/>
                <w:szCs w:val="20"/>
                <w:color w:val="auto"/>
              </w:rPr>
            </w:pPr>
            <w:r>
              <w:rPr>
                <w:rFonts w:ascii="Arial" w:cs="Arial" w:eastAsia="Arial" w:hAnsi="Arial"/>
                <w:sz w:val="14"/>
                <w:szCs w:val="14"/>
                <w:color w:val="auto"/>
              </w:rPr>
              <w:t>3,093</w:t>
            </w:r>
          </w:p>
        </w:tc>
        <w:tc>
          <w:tcPr>
            <w:tcW w:w="2060" w:type="dxa"/>
            <w:vAlign w:val="bottom"/>
            <w:shd w:val="clear" w:color="auto" w:fill="FBF4ED"/>
          </w:tcPr>
          <w:p>
            <w:pPr>
              <w:spacing w:after="0"/>
              <w:rPr>
                <w:sz w:val="18"/>
                <w:szCs w:val="18"/>
                <w:color w:val="auto"/>
              </w:rPr>
            </w:pPr>
          </w:p>
        </w:tc>
        <w:tc>
          <w:tcPr>
            <w:tcW w:w="300" w:type="dxa"/>
            <w:vAlign w:val="bottom"/>
            <w:gridSpan w:val="2"/>
            <w:shd w:val="clear" w:color="auto" w:fill="FBF4ED"/>
          </w:tcPr>
          <w:p>
            <w:pPr>
              <w:ind w:left="60"/>
              <w:spacing w:after="0"/>
              <w:rPr>
                <w:sz w:val="20"/>
                <w:szCs w:val="20"/>
                <w:color w:val="auto"/>
              </w:rPr>
            </w:pPr>
            <w:r>
              <w:rPr>
                <w:rFonts w:ascii="Arial" w:cs="Arial" w:eastAsia="Arial" w:hAnsi="Arial"/>
                <w:sz w:val="14"/>
                <w:szCs w:val="14"/>
                <w:color w:val="auto"/>
              </w:rPr>
              <w:t>—</w:t>
            </w:r>
          </w:p>
        </w:tc>
        <w:tc>
          <w:tcPr>
            <w:tcW w:w="1980" w:type="dxa"/>
            <w:vAlign w:val="bottom"/>
            <w:tcBorders>
              <w:right w:val="single" w:sz="8" w:color="DD924E"/>
            </w:tcBorders>
            <w:gridSpan w:val="2"/>
            <w:shd w:val="clear" w:color="auto" w:fill="FBF4ED"/>
          </w:tcPr>
          <w:p>
            <w:pPr>
              <w:jc w:val="right"/>
              <w:ind w:right="80"/>
              <w:spacing w:after="0"/>
              <w:rPr>
                <w:sz w:val="20"/>
                <w:szCs w:val="20"/>
                <w:color w:val="auto"/>
              </w:rPr>
            </w:pPr>
            <w:r>
              <w:rPr>
                <w:rFonts w:ascii="Arial" w:cs="Arial" w:eastAsia="Arial" w:hAnsi="Arial"/>
                <w:sz w:val="14"/>
                <w:szCs w:val="14"/>
                <w:color w:val="auto"/>
              </w:rPr>
              <w:t>1,854</w:t>
            </w:r>
          </w:p>
        </w:tc>
      </w:tr>
      <w:tr>
        <w:trPr>
          <w:trHeight w:val="199"/>
        </w:trPr>
        <w:tc>
          <w:tcPr>
            <w:tcW w:w="80" w:type="dxa"/>
            <w:vAlign w:val="bottom"/>
            <w:tcBorders>
              <w:left w:val="single" w:sz="8" w:color="DD924E"/>
            </w:tcBorders>
          </w:tcPr>
          <w:p>
            <w:pPr>
              <w:spacing w:after="0"/>
              <w:rPr>
                <w:sz w:val="17"/>
                <w:szCs w:val="17"/>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Som Mittal</w:t>
            </w:r>
          </w:p>
        </w:tc>
        <w:tc>
          <w:tcPr>
            <w:tcW w:w="100" w:type="dxa"/>
            <w:vAlign w:val="bottom"/>
          </w:tcPr>
          <w:p>
            <w:pPr>
              <w:spacing w:after="0"/>
              <w:rPr>
                <w:sz w:val="17"/>
                <w:szCs w:val="17"/>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60" w:type="dxa"/>
            <w:vAlign w:val="bottom"/>
          </w:tcPr>
          <w:p>
            <w:pPr>
              <w:spacing w:after="0"/>
              <w:rPr>
                <w:sz w:val="17"/>
                <w:szCs w:val="17"/>
                <w:color w:val="auto"/>
              </w:rPr>
            </w:pPr>
          </w:p>
        </w:tc>
        <w:tc>
          <w:tcPr>
            <w:tcW w:w="3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980" w:type="dxa"/>
            <w:vAlign w:val="bottom"/>
            <w:tcBorders>
              <w:right w:val="single" w:sz="8" w:color="DD924E"/>
            </w:tcBorders>
            <w:gridSpan w:val="2"/>
          </w:tcPr>
          <w:p>
            <w:pPr>
              <w:jc w:val="right"/>
              <w:ind w:right="80"/>
              <w:spacing w:after="0"/>
              <w:rPr>
                <w:sz w:val="20"/>
                <w:szCs w:val="20"/>
                <w:color w:val="auto"/>
              </w:rPr>
            </w:pPr>
            <w:r>
              <w:rPr>
                <w:rFonts w:ascii="Arial" w:cs="Arial" w:eastAsia="Arial" w:hAnsi="Arial"/>
                <w:sz w:val="14"/>
                <w:szCs w:val="14"/>
                <w:color w:val="auto"/>
              </w:rPr>
              <w:t>1,854</w:t>
            </w:r>
          </w:p>
        </w:tc>
      </w:tr>
      <w:tr>
        <w:trPr>
          <w:trHeight w:val="211"/>
        </w:trPr>
        <w:tc>
          <w:tcPr>
            <w:tcW w:w="80" w:type="dxa"/>
            <w:vAlign w:val="bottom"/>
            <w:tcBorders>
              <w:left w:val="single" w:sz="8" w:color="DD924E"/>
            </w:tcBorders>
            <w:shd w:val="clear" w:color="auto" w:fill="FBF4ED"/>
          </w:tcPr>
          <w:p>
            <w:pPr>
              <w:spacing w:after="0"/>
              <w:rPr>
                <w:sz w:val="18"/>
                <w:szCs w:val="18"/>
                <w:color w:val="auto"/>
              </w:rPr>
            </w:pPr>
          </w:p>
        </w:tc>
        <w:tc>
          <w:tcPr>
            <w:tcW w:w="1460" w:type="dxa"/>
            <w:vAlign w:val="bottom"/>
            <w:shd w:val="clear" w:color="auto" w:fill="FBF4ED"/>
          </w:tcPr>
          <w:p>
            <w:pPr>
              <w:spacing w:after="0"/>
              <w:rPr>
                <w:sz w:val="20"/>
                <w:szCs w:val="20"/>
                <w:color w:val="auto"/>
              </w:rPr>
            </w:pPr>
            <w:r>
              <w:rPr>
                <w:rFonts w:ascii="Arial" w:cs="Arial" w:eastAsia="Arial" w:hAnsi="Arial"/>
                <w:sz w:val="14"/>
                <w:szCs w:val="14"/>
                <w:color w:val="auto"/>
              </w:rPr>
              <w:t>Clyde Ostler</w:t>
            </w:r>
          </w:p>
        </w:tc>
        <w:tc>
          <w:tcPr>
            <w:tcW w:w="2260" w:type="dxa"/>
            <w:vAlign w:val="bottom"/>
            <w:gridSpan w:val="3"/>
            <w:shd w:val="clear" w:color="auto" w:fill="FBF4ED"/>
          </w:tcPr>
          <w:p>
            <w:pPr>
              <w:jc w:val="right"/>
              <w:ind w:right="100"/>
              <w:spacing w:after="0"/>
              <w:rPr>
                <w:sz w:val="20"/>
                <w:szCs w:val="20"/>
                <w:color w:val="auto"/>
              </w:rPr>
            </w:pPr>
            <w:r>
              <w:rPr>
                <w:rFonts w:ascii="Arial" w:cs="Arial" w:eastAsia="Arial" w:hAnsi="Arial"/>
                <w:sz w:val="14"/>
                <w:szCs w:val="14"/>
                <w:color w:val="auto"/>
              </w:rPr>
              <w:t>32,723</w:t>
            </w:r>
          </w:p>
        </w:tc>
        <w:tc>
          <w:tcPr>
            <w:tcW w:w="2060" w:type="dxa"/>
            <w:vAlign w:val="bottom"/>
            <w:shd w:val="clear" w:color="auto" w:fill="FBF4ED"/>
          </w:tcPr>
          <w:p>
            <w:pPr>
              <w:spacing w:after="0"/>
              <w:rPr>
                <w:sz w:val="18"/>
                <w:szCs w:val="18"/>
                <w:color w:val="auto"/>
              </w:rPr>
            </w:pPr>
          </w:p>
        </w:tc>
        <w:tc>
          <w:tcPr>
            <w:tcW w:w="300" w:type="dxa"/>
            <w:vAlign w:val="bottom"/>
            <w:gridSpan w:val="2"/>
            <w:shd w:val="clear" w:color="auto" w:fill="FBF4ED"/>
          </w:tcPr>
          <w:p>
            <w:pPr>
              <w:ind w:left="60"/>
              <w:spacing w:after="0"/>
              <w:rPr>
                <w:sz w:val="20"/>
                <w:szCs w:val="20"/>
                <w:color w:val="auto"/>
              </w:rPr>
            </w:pPr>
            <w:r>
              <w:rPr>
                <w:rFonts w:ascii="Arial" w:cs="Arial" w:eastAsia="Arial" w:hAnsi="Arial"/>
                <w:sz w:val="14"/>
                <w:szCs w:val="14"/>
                <w:color w:val="auto"/>
              </w:rPr>
              <w:t>—</w:t>
            </w:r>
          </w:p>
        </w:tc>
        <w:tc>
          <w:tcPr>
            <w:tcW w:w="1980" w:type="dxa"/>
            <w:vAlign w:val="bottom"/>
            <w:tcBorders>
              <w:right w:val="single" w:sz="8" w:color="DD924E"/>
            </w:tcBorders>
            <w:gridSpan w:val="2"/>
            <w:shd w:val="clear" w:color="auto" w:fill="FBF4ED"/>
          </w:tcPr>
          <w:p>
            <w:pPr>
              <w:jc w:val="right"/>
              <w:ind w:right="80"/>
              <w:spacing w:after="0"/>
              <w:rPr>
                <w:sz w:val="20"/>
                <w:szCs w:val="20"/>
                <w:color w:val="auto"/>
              </w:rPr>
            </w:pPr>
            <w:r>
              <w:rPr>
                <w:rFonts w:ascii="Arial" w:cs="Arial" w:eastAsia="Arial" w:hAnsi="Arial"/>
                <w:sz w:val="14"/>
                <w:szCs w:val="14"/>
                <w:color w:val="auto"/>
              </w:rPr>
              <w:t>1,854</w:t>
            </w:r>
          </w:p>
        </w:tc>
      </w:tr>
      <w:tr>
        <w:trPr>
          <w:trHeight w:val="199"/>
        </w:trPr>
        <w:tc>
          <w:tcPr>
            <w:tcW w:w="80" w:type="dxa"/>
            <w:vAlign w:val="bottom"/>
            <w:tcBorders>
              <w:left w:val="single" w:sz="8" w:color="DD924E"/>
            </w:tcBorders>
          </w:tcPr>
          <w:p>
            <w:pPr>
              <w:spacing w:after="0"/>
              <w:rPr>
                <w:sz w:val="17"/>
                <w:szCs w:val="17"/>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Nitin Sahney</w:t>
            </w:r>
          </w:p>
        </w:tc>
        <w:tc>
          <w:tcPr>
            <w:tcW w:w="100" w:type="dxa"/>
            <w:vAlign w:val="bottom"/>
          </w:tcPr>
          <w:p>
            <w:pPr>
              <w:spacing w:after="0"/>
              <w:rPr>
                <w:sz w:val="17"/>
                <w:szCs w:val="17"/>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60" w:type="dxa"/>
            <w:vAlign w:val="bottom"/>
          </w:tcPr>
          <w:p>
            <w:pPr>
              <w:spacing w:after="0"/>
              <w:rPr>
                <w:sz w:val="17"/>
                <w:szCs w:val="17"/>
                <w:color w:val="auto"/>
              </w:rPr>
            </w:pPr>
          </w:p>
        </w:tc>
        <w:tc>
          <w:tcPr>
            <w:tcW w:w="3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980" w:type="dxa"/>
            <w:vAlign w:val="bottom"/>
            <w:tcBorders>
              <w:right w:val="single" w:sz="8" w:color="DD924E"/>
            </w:tcBorders>
            <w:gridSpan w:val="2"/>
          </w:tcPr>
          <w:p>
            <w:pPr>
              <w:jc w:val="right"/>
              <w:ind w:right="80"/>
              <w:spacing w:after="0"/>
              <w:rPr>
                <w:sz w:val="20"/>
                <w:szCs w:val="20"/>
                <w:color w:val="auto"/>
              </w:rPr>
            </w:pPr>
            <w:r>
              <w:rPr>
                <w:rFonts w:ascii="Arial" w:cs="Arial" w:eastAsia="Arial" w:hAnsi="Arial"/>
                <w:sz w:val="14"/>
                <w:szCs w:val="14"/>
                <w:color w:val="auto"/>
              </w:rPr>
              <w:t>1,854</w:t>
            </w:r>
          </w:p>
        </w:tc>
      </w:tr>
      <w:tr>
        <w:trPr>
          <w:trHeight w:val="205"/>
        </w:trPr>
        <w:tc>
          <w:tcPr>
            <w:tcW w:w="80" w:type="dxa"/>
            <w:vAlign w:val="bottom"/>
            <w:tcBorders>
              <w:left w:val="single" w:sz="8" w:color="DD924E"/>
              <w:bottom w:val="single" w:sz="8" w:color="DD924E"/>
            </w:tcBorders>
            <w:shd w:val="clear" w:color="auto" w:fill="FBF4ED"/>
          </w:tcPr>
          <w:p>
            <w:pPr>
              <w:spacing w:after="0"/>
              <w:rPr>
                <w:sz w:val="17"/>
                <w:szCs w:val="17"/>
                <w:color w:val="auto"/>
              </w:rPr>
            </w:pPr>
          </w:p>
        </w:tc>
        <w:tc>
          <w:tcPr>
            <w:tcW w:w="1460" w:type="dxa"/>
            <w:vAlign w:val="bottom"/>
            <w:tcBorders>
              <w:bottom w:val="single" w:sz="8" w:color="DD924E"/>
            </w:tcBorders>
            <w:shd w:val="clear" w:color="auto" w:fill="FBF4ED"/>
          </w:tcPr>
          <w:p>
            <w:pPr>
              <w:spacing w:after="0"/>
              <w:rPr>
                <w:sz w:val="20"/>
                <w:szCs w:val="20"/>
                <w:color w:val="auto"/>
              </w:rPr>
            </w:pPr>
            <w:r>
              <w:rPr>
                <w:rFonts w:ascii="Arial" w:cs="Arial" w:eastAsia="Arial" w:hAnsi="Arial"/>
                <w:sz w:val="14"/>
                <w:szCs w:val="14"/>
                <w:color w:val="auto"/>
              </w:rPr>
              <w:t>Garen Staglin</w:t>
            </w:r>
          </w:p>
        </w:tc>
        <w:tc>
          <w:tcPr>
            <w:tcW w:w="2260" w:type="dxa"/>
            <w:vAlign w:val="bottom"/>
            <w:tcBorders>
              <w:bottom w:val="single" w:sz="8" w:color="DD924E"/>
            </w:tcBorders>
            <w:gridSpan w:val="3"/>
            <w:shd w:val="clear" w:color="auto" w:fill="FBF4ED"/>
          </w:tcPr>
          <w:p>
            <w:pPr>
              <w:jc w:val="right"/>
              <w:ind w:right="100"/>
              <w:spacing w:after="0"/>
              <w:rPr>
                <w:sz w:val="20"/>
                <w:szCs w:val="20"/>
                <w:color w:val="auto"/>
              </w:rPr>
            </w:pPr>
            <w:r>
              <w:rPr>
                <w:rFonts w:ascii="Arial" w:cs="Arial" w:eastAsia="Arial" w:hAnsi="Arial"/>
                <w:sz w:val="14"/>
                <w:szCs w:val="14"/>
                <w:color w:val="auto"/>
              </w:rPr>
              <w:t>32,723</w:t>
            </w:r>
          </w:p>
        </w:tc>
        <w:tc>
          <w:tcPr>
            <w:tcW w:w="2060" w:type="dxa"/>
            <w:vAlign w:val="bottom"/>
            <w:tcBorders>
              <w:bottom w:val="single" w:sz="8" w:color="DD924E"/>
            </w:tcBorders>
            <w:shd w:val="clear" w:color="auto" w:fill="FBF4ED"/>
          </w:tcPr>
          <w:p>
            <w:pPr>
              <w:spacing w:after="0"/>
              <w:rPr>
                <w:sz w:val="17"/>
                <w:szCs w:val="17"/>
                <w:color w:val="auto"/>
              </w:rPr>
            </w:pPr>
          </w:p>
        </w:tc>
        <w:tc>
          <w:tcPr>
            <w:tcW w:w="300" w:type="dxa"/>
            <w:vAlign w:val="bottom"/>
            <w:tcBorders>
              <w:bottom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DD924E"/>
              <w:right w:val="single" w:sz="8" w:color="DD924E"/>
            </w:tcBorders>
            <w:gridSpan w:val="2"/>
            <w:shd w:val="clear" w:color="auto" w:fill="FBF4ED"/>
          </w:tcPr>
          <w:p>
            <w:pPr>
              <w:jc w:val="right"/>
              <w:ind w:right="80"/>
              <w:spacing w:after="0"/>
              <w:rPr>
                <w:sz w:val="20"/>
                <w:szCs w:val="20"/>
                <w:color w:val="auto"/>
              </w:rPr>
            </w:pPr>
            <w:r>
              <w:rPr>
                <w:rFonts w:ascii="Arial" w:cs="Arial" w:eastAsia="Arial" w:hAnsi="Arial"/>
                <w:sz w:val="14"/>
                <w:szCs w:val="14"/>
                <w:color w:val="auto"/>
              </w:rPr>
              <w:t>4,079</w:t>
            </w:r>
          </w:p>
        </w:tc>
      </w:tr>
    </w:tbl>
    <w:p>
      <w:pPr>
        <w:spacing w:after="0" w:line="133" w:lineRule="exact"/>
        <w:rPr>
          <w:sz w:val="20"/>
          <w:szCs w:val="20"/>
          <w:color w:val="auto"/>
        </w:rPr>
      </w:pPr>
    </w:p>
    <w:p>
      <w:pPr>
        <w:ind w:left="840" w:right="59" w:hanging="345"/>
        <w:spacing w:after="0" w:line="236" w:lineRule="auto"/>
        <w:tabs>
          <w:tab w:leader="none" w:pos="8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For Ms. Minto and Mr. Mittal, amount reflects our reimbursement to the director for tax planning fees. For Mr. Staglin, amount reflects our reimbursement for costs associated with secretarial services ($44,280) and telephone charges.</w:t>
      </w:r>
    </w:p>
    <w:p>
      <w:pPr>
        <w:spacing w:after="0" w:line="127"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For 2017, non-employee directors were eligible to receive an annual retainer fee in the amount of $60,000 in cash and $100,000 in equity. The non-executive Chairman of our board of directors was eligible to receive an additional retainer of $150,000 which is paid $50,000 in cash and $100,000 in equity. New non-employee directors who join our board of directors during a calendar quarter are eligible to receive the full fee for such calendar quarter. The chairperson of our Audit Committee was eligible to receive an additional annual fee of $25,000, and other members of our Audit Committee were eligible to receive an additional annual fee of $12,500. The Chairpersons of committees other than our Audit Committee were eligible to receive an additional annual fee of $20,000, and members of committees other than our Audit Committee were eligible to receive an additional annual fee of $10,000.</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8" w:name="page69"/>
    <w:bookmarkEnd w:id="68"/>
    <w:p>
      <w:pPr>
        <w:spacing w:after="0" w:line="58"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There are no additional fees payable for attendance at our board or committee meetings (whether in person, telephonic or otherwise). We make quarterly cash payments to our directors who elect to receive a portion of their director fees in the form of cash. In 2017, based upon peer group analysis performed by FW Cook, the Compensation Committee approved an increase in the value of the annual equity compensation of our directors from $100,000 per year to $110,000 per year starting with the 2018 grant.</w:t>
      </w:r>
    </w:p>
    <w:p>
      <w:pPr>
        <w:spacing w:after="0" w:line="119" w:lineRule="exact"/>
        <w:rPr>
          <w:sz w:val="20"/>
          <w:szCs w:val="20"/>
          <w:color w:val="auto"/>
        </w:rPr>
      </w:pPr>
    </w:p>
    <w:p>
      <w:pPr>
        <w:jc w:val="both"/>
        <w:ind w:left="160" w:right="79"/>
        <w:spacing w:after="0" w:line="263" w:lineRule="auto"/>
        <w:rPr>
          <w:sz w:val="20"/>
          <w:szCs w:val="20"/>
          <w:color w:val="auto"/>
        </w:rPr>
      </w:pPr>
      <w:r>
        <w:rPr>
          <w:rFonts w:ascii="Arial" w:cs="Arial" w:eastAsia="Arial" w:hAnsi="Arial"/>
          <w:sz w:val="17"/>
          <w:szCs w:val="17"/>
          <w:color w:val="auto"/>
        </w:rPr>
        <w:t>Holders of restricted stock units do not receive the underlying shares of common stock until the units have vested and are settled. The restricted stock units issued to each of our non-employee directors will settle on the earliest of:</w:t>
      </w:r>
    </w:p>
    <w:p>
      <w:pPr>
        <w:spacing w:after="0" w:line="123" w:lineRule="exact"/>
        <w:rPr>
          <w:sz w:val="20"/>
          <w:szCs w:val="20"/>
          <w:color w:val="auto"/>
        </w:rPr>
      </w:pPr>
    </w:p>
    <w:p>
      <w:pPr>
        <w:ind w:left="500" w:hanging="344"/>
        <w:spacing w:after="0"/>
        <w:tabs>
          <w:tab w:leader="none" w:pos="500" w:val="left"/>
        </w:tabs>
        <w:numPr>
          <w:ilvl w:val="0"/>
          <w:numId w:val="98"/>
        </w:numPr>
        <w:rPr>
          <w:rFonts w:ascii="Arial" w:cs="Arial" w:eastAsia="Arial" w:hAnsi="Arial"/>
          <w:sz w:val="17"/>
          <w:szCs w:val="17"/>
          <w:color w:val="DD924E"/>
        </w:rPr>
      </w:pPr>
      <w:r>
        <w:rPr>
          <w:rFonts w:ascii="Arial" w:cs="Arial" w:eastAsia="Arial" w:hAnsi="Arial"/>
          <w:sz w:val="17"/>
          <w:szCs w:val="17"/>
          <w:color w:val="auto"/>
        </w:rPr>
        <w:t>such director’s death;</w:t>
      </w:r>
    </w:p>
    <w:p>
      <w:pPr>
        <w:spacing w:after="0" w:line="137" w:lineRule="exact"/>
        <w:rPr>
          <w:rFonts w:ascii="Arial" w:cs="Arial" w:eastAsia="Arial" w:hAnsi="Arial"/>
          <w:sz w:val="17"/>
          <w:szCs w:val="17"/>
          <w:color w:val="DD924E"/>
        </w:rPr>
      </w:pPr>
    </w:p>
    <w:p>
      <w:pPr>
        <w:ind w:left="500" w:right="59" w:hanging="344"/>
        <w:spacing w:after="0" w:line="247" w:lineRule="auto"/>
        <w:tabs>
          <w:tab w:leader="none" w:pos="500" w:val="left"/>
        </w:tabs>
        <w:numPr>
          <w:ilvl w:val="0"/>
          <w:numId w:val="98"/>
        </w:numPr>
        <w:rPr>
          <w:rFonts w:ascii="Arial" w:cs="Arial" w:eastAsia="Arial" w:hAnsi="Arial"/>
          <w:sz w:val="17"/>
          <w:szCs w:val="17"/>
          <w:color w:val="DD924E"/>
        </w:rPr>
      </w:pPr>
      <w:r>
        <w:rPr>
          <w:rFonts w:ascii="Arial" w:cs="Arial" w:eastAsia="Arial" w:hAnsi="Arial"/>
          <w:sz w:val="17"/>
          <w:szCs w:val="17"/>
          <w:color w:val="auto"/>
        </w:rPr>
        <w:t>180 days following the end of such director’s term on our board of directors, or if the director has satisfied our stock ownership guidelines and made an election prior to the grant, the vesting date of the award; and</w:t>
      </w:r>
    </w:p>
    <w:p>
      <w:pPr>
        <w:spacing w:after="0" w:line="110" w:lineRule="exact"/>
        <w:rPr>
          <w:rFonts w:ascii="Arial" w:cs="Arial" w:eastAsia="Arial" w:hAnsi="Arial"/>
          <w:sz w:val="17"/>
          <w:szCs w:val="17"/>
          <w:color w:val="DD924E"/>
        </w:rPr>
      </w:pPr>
    </w:p>
    <w:p>
      <w:pPr>
        <w:ind w:left="500" w:right="79" w:hanging="344"/>
        <w:spacing w:after="0" w:line="247" w:lineRule="auto"/>
        <w:tabs>
          <w:tab w:leader="none" w:pos="500" w:val="left"/>
        </w:tabs>
        <w:numPr>
          <w:ilvl w:val="0"/>
          <w:numId w:val="98"/>
        </w:numPr>
        <w:rPr>
          <w:rFonts w:ascii="Arial" w:cs="Arial" w:eastAsia="Arial" w:hAnsi="Arial"/>
          <w:sz w:val="17"/>
          <w:szCs w:val="17"/>
          <w:color w:val="DD924E"/>
        </w:rPr>
      </w:pPr>
      <w:r>
        <w:rPr>
          <w:rFonts w:ascii="Arial" w:cs="Arial" w:eastAsia="Arial" w:hAnsi="Arial"/>
          <w:sz w:val="17"/>
          <w:szCs w:val="17"/>
          <w:color w:val="auto"/>
        </w:rPr>
        <w:t>the occurrence of a “change in control,” as defined in the 2006 Plan or 2015 Plan, as applicable, that satisfies the requirements of Section 409A of the Code.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9" w:name="page70"/>
    <w:bookmarkEnd w:id="69"/>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DD924E"/>
        </w:rPr>
        <w:t>STOCK OWNERSHIP OF DIRECTORS, EXECUTIVE OFFICERS</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AND CERTAIN BENEFICIAL OWNERS</w:t>
      </w:r>
    </w:p>
    <w:p>
      <w:pPr>
        <w:spacing w:after="0" w:line="132" w:lineRule="exact"/>
        <w:rPr>
          <w:sz w:val="20"/>
          <w:szCs w:val="20"/>
          <w:color w:val="auto"/>
        </w:rPr>
      </w:pPr>
    </w:p>
    <w:p>
      <w:pPr>
        <w:ind w:left="160" w:right="79"/>
        <w:spacing w:after="0" w:line="263" w:lineRule="auto"/>
        <w:rPr>
          <w:sz w:val="20"/>
          <w:szCs w:val="20"/>
          <w:color w:val="auto"/>
        </w:rPr>
      </w:pPr>
      <w:r>
        <w:rPr>
          <w:rFonts w:ascii="Arial" w:cs="Arial" w:eastAsia="Arial" w:hAnsi="Arial"/>
          <w:sz w:val="17"/>
          <w:szCs w:val="17"/>
          <w:color w:val="auto"/>
        </w:rPr>
        <w:t>Unless otherwise indicated, the table below sets forth information with respect to the beneficial ownership of our common stock by:</w:t>
      </w:r>
    </w:p>
    <w:p>
      <w:pPr>
        <w:spacing w:after="0" w:line="123" w:lineRule="exact"/>
        <w:rPr>
          <w:sz w:val="20"/>
          <w:szCs w:val="20"/>
          <w:color w:val="auto"/>
        </w:rPr>
      </w:pPr>
    </w:p>
    <w:p>
      <w:pPr>
        <w:ind w:left="500" w:hanging="344"/>
        <w:spacing w:after="0"/>
        <w:tabs>
          <w:tab w:leader="none" w:pos="500" w:val="left"/>
        </w:tabs>
        <w:numPr>
          <w:ilvl w:val="0"/>
          <w:numId w:val="99"/>
        </w:numPr>
        <w:rPr>
          <w:rFonts w:ascii="Arial" w:cs="Arial" w:eastAsia="Arial" w:hAnsi="Arial"/>
          <w:sz w:val="17"/>
          <w:szCs w:val="17"/>
          <w:color w:val="DD924E"/>
        </w:rPr>
      </w:pPr>
      <w:r>
        <w:rPr>
          <w:rFonts w:ascii="Arial" w:cs="Arial" w:eastAsia="Arial" w:hAnsi="Arial"/>
          <w:sz w:val="17"/>
          <w:szCs w:val="17"/>
          <w:color w:val="auto"/>
        </w:rPr>
        <w:t>each of our directors and each of our named executive officers individually;</w:t>
      </w:r>
    </w:p>
    <w:p>
      <w:pPr>
        <w:spacing w:after="0" w:line="137" w:lineRule="exact"/>
        <w:rPr>
          <w:rFonts w:ascii="Arial" w:cs="Arial" w:eastAsia="Arial" w:hAnsi="Arial"/>
          <w:sz w:val="17"/>
          <w:szCs w:val="17"/>
          <w:color w:val="DD924E"/>
        </w:rPr>
      </w:pPr>
    </w:p>
    <w:p>
      <w:pPr>
        <w:ind w:left="500" w:hanging="344"/>
        <w:spacing w:after="0"/>
        <w:tabs>
          <w:tab w:leader="none" w:pos="500" w:val="left"/>
        </w:tabs>
        <w:numPr>
          <w:ilvl w:val="0"/>
          <w:numId w:val="99"/>
        </w:numPr>
        <w:rPr>
          <w:rFonts w:ascii="Arial" w:cs="Arial" w:eastAsia="Arial" w:hAnsi="Arial"/>
          <w:sz w:val="17"/>
          <w:szCs w:val="17"/>
          <w:color w:val="DD924E"/>
        </w:rPr>
      </w:pPr>
      <w:r>
        <w:rPr>
          <w:rFonts w:ascii="Arial" w:cs="Arial" w:eastAsia="Arial" w:hAnsi="Arial"/>
          <w:sz w:val="17"/>
          <w:szCs w:val="17"/>
          <w:color w:val="auto"/>
        </w:rPr>
        <w:t>each person who is known to be the beneficial owner of more than 5% of our common stock; and</w:t>
      </w:r>
    </w:p>
    <w:p>
      <w:pPr>
        <w:spacing w:after="0" w:line="125" w:lineRule="exact"/>
        <w:rPr>
          <w:rFonts w:ascii="Arial" w:cs="Arial" w:eastAsia="Arial" w:hAnsi="Arial"/>
          <w:sz w:val="17"/>
          <w:szCs w:val="17"/>
          <w:color w:val="DD924E"/>
        </w:rPr>
      </w:pPr>
    </w:p>
    <w:p>
      <w:pPr>
        <w:ind w:left="500" w:hanging="344"/>
        <w:spacing w:after="0"/>
        <w:tabs>
          <w:tab w:leader="none" w:pos="500" w:val="left"/>
        </w:tabs>
        <w:numPr>
          <w:ilvl w:val="0"/>
          <w:numId w:val="99"/>
        </w:numPr>
        <w:rPr>
          <w:rFonts w:ascii="Arial" w:cs="Arial" w:eastAsia="Arial" w:hAnsi="Arial"/>
          <w:sz w:val="17"/>
          <w:szCs w:val="17"/>
          <w:color w:val="DD924E"/>
        </w:rPr>
      </w:pPr>
      <w:r>
        <w:rPr>
          <w:rFonts w:ascii="Arial" w:cs="Arial" w:eastAsia="Arial" w:hAnsi="Arial"/>
          <w:sz w:val="17"/>
          <w:szCs w:val="17"/>
          <w:color w:val="auto"/>
        </w:rPr>
        <w:t>all of our current directors and current executive officers (i.e., not just named executive officers) as a group.</w:t>
      </w:r>
    </w:p>
    <w:p>
      <w:pPr>
        <w:spacing w:after="0" w:line="138"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The amounts and percentages of common stock beneficially owned below are as of March 29, 2018 (the “Determination Date”), and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the Determination Date. Under these rules, more than one person may be deemed to be a beneficial owner of the same securities. Except as otherwise indicated below, each of the persons named in the table has sole voting and investment power with respect to the securities beneficially owned by such person as set forth opposite such person’s name.</w:t>
      </w:r>
    </w:p>
    <w:p>
      <w:pPr>
        <w:spacing w:after="0" w:line="132" w:lineRule="exact"/>
        <w:rPr>
          <w:sz w:val="20"/>
          <w:szCs w:val="20"/>
          <w:color w:val="auto"/>
        </w:rPr>
      </w:pPr>
    </w:p>
    <w:tbl>
      <w:tblPr>
        <w:tblLayout w:type="fixed"/>
        <w:tblInd w:w="170" w:type="dxa"/>
        <w:tblCellMar>
          <w:top w:w="0" w:type="dxa"/>
          <w:left w:w="0" w:type="dxa"/>
          <w:bottom w:w="0" w:type="dxa"/>
          <w:right w:w="0" w:type="dxa"/>
        </w:tblCellMar>
      </w:tblPr>
      <w:tr>
        <w:trPr>
          <w:trHeight w:val="231"/>
        </w:trPr>
        <w:tc>
          <w:tcPr>
            <w:tcW w:w="60" w:type="dxa"/>
            <w:vAlign w:val="bottom"/>
            <w:tcBorders>
              <w:left w:val="single" w:sz="8" w:color="DD924E"/>
            </w:tcBorders>
            <w:shd w:val="clear" w:color="auto" w:fill="DD924E"/>
          </w:tcPr>
          <w:p>
            <w:pPr>
              <w:spacing w:after="0"/>
              <w:rPr>
                <w:sz w:val="20"/>
                <w:szCs w:val="20"/>
                <w:color w:val="auto"/>
              </w:rPr>
            </w:pPr>
          </w:p>
        </w:tc>
        <w:tc>
          <w:tcPr>
            <w:tcW w:w="1460" w:type="dxa"/>
            <w:vAlign w:val="bottom"/>
            <w:shd w:val="clear" w:color="auto" w:fill="DD924E"/>
          </w:tcPr>
          <w:p>
            <w:pPr>
              <w:spacing w:after="0"/>
              <w:rPr>
                <w:sz w:val="20"/>
                <w:szCs w:val="20"/>
                <w:color w:val="auto"/>
              </w:rPr>
            </w:pPr>
          </w:p>
        </w:tc>
        <w:tc>
          <w:tcPr>
            <w:tcW w:w="140" w:type="dxa"/>
            <w:vAlign w:val="bottom"/>
            <w:shd w:val="clear" w:color="auto" w:fill="DD924E"/>
          </w:tcPr>
          <w:p>
            <w:pPr>
              <w:spacing w:after="0"/>
              <w:rPr>
                <w:sz w:val="20"/>
                <w:szCs w:val="20"/>
                <w:color w:val="auto"/>
              </w:rPr>
            </w:pPr>
          </w:p>
        </w:tc>
        <w:tc>
          <w:tcPr>
            <w:tcW w:w="1800" w:type="dxa"/>
            <w:vAlign w:val="bottom"/>
            <w:shd w:val="clear" w:color="auto" w:fill="DD924E"/>
          </w:tcPr>
          <w:p>
            <w:pPr>
              <w:spacing w:after="0"/>
              <w:rPr>
                <w:sz w:val="20"/>
                <w:szCs w:val="20"/>
                <w:color w:val="auto"/>
              </w:rPr>
            </w:pPr>
          </w:p>
        </w:tc>
        <w:tc>
          <w:tcPr>
            <w:tcW w:w="100" w:type="dxa"/>
            <w:vAlign w:val="bottom"/>
            <w:shd w:val="clear" w:color="auto" w:fill="DD924E"/>
          </w:tcPr>
          <w:p>
            <w:pPr>
              <w:spacing w:after="0"/>
              <w:rPr>
                <w:sz w:val="20"/>
                <w:szCs w:val="20"/>
                <w:color w:val="auto"/>
              </w:rPr>
            </w:pPr>
          </w:p>
        </w:tc>
        <w:tc>
          <w:tcPr>
            <w:tcW w:w="60" w:type="dxa"/>
            <w:vAlign w:val="bottom"/>
            <w:shd w:val="clear" w:color="auto" w:fill="DD924E"/>
          </w:tcPr>
          <w:p>
            <w:pPr>
              <w:spacing w:after="0"/>
              <w:rPr>
                <w:sz w:val="20"/>
                <w:szCs w:val="20"/>
                <w:color w:val="auto"/>
              </w:rPr>
            </w:pPr>
          </w:p>
        </w:tc>
        <w:tc>
          <w:tcPr>
            <w:tcW w:w="2280" w:type="dxa"/>
            <w:vAlign w:val="bottom"/>
            <w:gridSpan w:val="4"/>
            <w:shd w:val="clear" w:color="auto" w:fill="DD924E"/>
          </w:tcPr>
          <w:p>
            <w:pPr>
              <w:jc w:val="right"/>
              <w:ind w:right="400"/>
              <w:spacing w:after="0"/>
              <w:rPr>
                <w:sz w:val="20"/>
                <w:szCs w:val="20"/>
                <w:color w:val="auto"/>
              </w:rPr>
            </w:pPr>
            <w:r>
              <w:rPr>
                <w:rFonts w:ascii="Arial" w:cs="Arial" w:eastAsia="Arial" w:hAnsi="Arial"/>
                <w:sz w:val="15"/>
                <w:szCs w:val="15"/>
                <w:b w:val="1"/>
                <w:bCs w:val="1"/>
                <w:color w:val="FFFFFF"/>
              </w:rPr>
              <w:t>Beneficial Ownership</w:t>
            </w:r>
          </w:p>
        </w:tc>
        <w:tc>
          <w:tcPr>
            <w:tcW w:w="60" w:type="dxa"/>
            <w:vAlign w:val="bottom"/>
            <w:shd w:val="clear" w:color="auto" w:fill="DD924E"/>
          </w:tcPr>
          <w:p>
            <w:pPr>
              <w:spacing w:after="0"/>
              <w:rPr>
                <w:sz w:val="20"/>
                <w:szCs w:val="20"/>
                <w:color w:val="auto"/>
              </w:rPr>
            </w:pPr>
          </w:p>
        </w:tc>
        <w:tc>
          <w:tcPr>
            <w:tcW w:w="1660" w:type="dxa"/>
            <w:vAlign w:val="bottom"/>
            <w:vMerge w:val="restart"/>
            <w:shd w:val="clear" w:color="auto" w:fill="DD924E"/>
          </w:tcPr>
          <w:p>
            <w:pPr>
              <w:jc w:val="center"/>
              <w:spacing w:after="0"/>
              <w:rPr>
                <w:sz w:val="20"/>
                <w:szCs w:val="20"/>
                <w:color w:val="auto"/>
              </w:rPr>
            </w:pPr>
            <w:r>
              <w:rPr>
                <w:rFonts w:ascii="Arial" w:cs="Arial" w:eastAsia="Arial" w:hAnsi="Arial"/>
                <w:sz w:val="15"/>
                <w:szCs w:val="15"/>
                <w:b w:val="1"/>
                <w:bCs w:val="1"/>
                <w:color w:val="FFFFFF"/>
              </w:rPr>
              <w:t>Vested but Unsettled</w:t>
            </w:r>
          </w:p>
        </w:tc>
        <w:tc>
          <w:tcPr>
            <w:tcW w:w="100" w:type="dxa"/>
            <w:vAlign w:val="bottom"/>
            <w:shd w:val="clear" w:color="auto" w:fill="DD924E"/>
          </w:tcPr>
          <w:p>
            <w:pPr>
              <w:spacing w:after="0"/>
              <w:rPr>
                <w:sz w:val="20"/>
                <w:szCs w:val="20"/>
                <w:color w:val="auto"/>
              </w:rPr>
            </w:pPr>
          </w:p>
        </w:tc>
        <w:tc>
          <w:tcPr>
            <w:tcW w:w="1080" w:type="dxa"/>
            <w:vAlign w:val="bottom"/>
            <w:tcBorders>
              <w:right w:val="single" w:sz="8" w:color="DD924E"/>
            </w:tcBorders>
            <w:shd w:val="clear" w:color="auto" w:fill="DD924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DD924E"/>
              <w:left w:val="single" w:sz="8" w:color="DD924E"/>
            </w:tcBorders>
            <w:shd w:val="clear" w:color="auto" w:fill="DD924E"/>
          </w:tcPr>
          <w:p>
            <w:pPr>
              <w:spacing w:after="0" w:line="20" w:lineRule="exact"/>
              <w:rPr>
                <w:sz w:val="1"/>
                <w:szCs w:val="1"/>
                <w:color w:val="auto"/>
              </w:rPr>
            </w:pPr>
          </w:p>
        </w:tc>
        <w:tc>
          <w:tcPr>
            <w:tcW w:w="1460" w:type="dxa"/>
            <w:vAlign w:val="bottom"/>
            <w:tcBorders>
              <w:top w:val="single" w:sz="8" w:color="DD924E"/>
            </w:tcBorders>
            <w:shd w:val="clear" w:color="auto" w:fill="DD924E"/>
          </w:tcPr>
          <w:p>
            <w:pPr>
              <w:spacing w:after="0" w:line="20" w:lineRule="exact"/>
              <w:rPr>
                <w:sz w:val="1"/>
                <w:szCs w:val="1"/>
                <w:color w:val="auto"/>
              </w:rPr>
            </w:pPr>
          </w:p>
        </w:tc>
        <w:tc>
          <w:tcPr>
            <w:tcW w:w="140" w:type="dxa"/>
            <w:vAlign w:val="bottom"/>
            <w:tcBorders>
              <w:top w:val="single" w:sz="8" w:color="DD924E"/>
            </w:tcBorders>
            <w:shd w:val="clear" w:color="auto" w:fill="DD924E"/>
          </w:tcPr>
          <w:p>
            <w:pPr>
              <w:spacing w:after="0" w:line="20" w:lineRule="exact"/>
              <w:rPr>
                <w:sz w:val="1"/>
                <w:szCs w:val="1"/>
                <w:color w:val="auto"/>
              </w:rPr>
            </w:pPr>
          </w:p>
        </w:tc>
        <w:tc>
          <w:tcPr>
            <w:tcW w:w="1800" w:type="dxa"/>
            <w:vAlign w:val="bottom"/>
            <w:tcBorders>
              <w:top w:val="single" w:sz="8" w:color="DD924E"/>
            </w:tcBorders>
            <w:shd w:val="clear" w:color="auto" w:fill="DD924E"/>
          </w:tcPr>
          <w:p>
            <w:pPr>
              <w:spacing w:after="0" w:line="20" w:lineRule="exact"/>
              <w:rPr>
                <w:sz w:val="1"/>
                <w:szCs w:val="1"/>
                <w:color w:val="auto"/>
              </w:rPr>
            </w:pPr>
          </w:p>
        </w:tc>
        <w:tc>
          <w:tcPr>
            <w:tcW w:w="100" w:type="dxa"/>
            <w:vAlign w:val="bottom"/>
            <w:tcBorders>
              <w:top w:val="single" w:sz="8" w:color="DD924E"/>
            </w:tcBorders>
            <w:shd w:val="clear" w:color="auto" w:fill="DD924E"/>
          </w:tcPr>
          <w:p>
            <w:pPr>
              <w:spacing w:after="0" w:line="20" w:lineRule="exact"/>
              <w:rPr>
                <w:sz w:val="1"/>
                <w:szCs w:val="1"/>
                <w:color w:val="auto"/>
              </w:rPr>
            </w:pPr>
          </w:p>
        </w:tc>
        <w:tc>
          <w:tcPr>
            <w:tcW w:w="60" w:type="dxa"/>
            <w:vAlign w:val="bottom"/>
            <w:tcBorders>
              <w:top w:val="single" w:sz="8" w:color="DD924E"/>
            </w:tcBorders>
            <w:shd w:val="clear" w:color="auto" w:fill="DD924E"/>
          </w:tcPr>
          <w:p>
            <w:pPr>
              <w:spacing w:after="0" w:line="20" w:lineRule="exact"/>
              <w:rPr>
                <w:sz w:val="1"/>
                <w:szCs w:val="1"/>
                <w:color w:val="auto"/>
              </w:rPr>
            </w:pPr>
          </w:p>
        </w:tc>
        <w:tc>
          <w:tcPr>
            <w:tcW w:w="940" w:type="dxa"/>
            <w:vAlign w:val="bottom"/>
            <w:tcBorders>
              <w:top w:val="single" w:sz="8" w:color="auto"/>
            </w:tcBorders>
            <w:shd w:val="clear" w:color="auto" w:fill="DD924E"/>
          </w:tcPr>
          <w:p>
            <w:pPr>
              <w:spacing w:after="0" w:line="20" w:lineRule="exact"/>
              <w:rPr>
                <w:sz w:val="1"/>
                <w:szCs w:val="1"/>
                <w:color w:val="auto"/>
              </w:rPr>
            </w:pPr>
          </w:p>
        </w:tc>
        <w:tc>
          <w:tcPr>
            <w:tcW w:w="320" w:type="dxa"/>
            <w:vAlign w:val="bottom"/>
            <w:tcBorders>
              <w:top w:val="single" w:sz="8" w:color="auto"/>
            </w:tcBorders>
            <w:shd w:val="clear" w:color="auto" w:fill="DD924E"/>
          </w:tcPr>
          <w:p>
            <w:pPr>
              <w:spacing w:after="0" w:line="20" w:lineRule="exact"/>
              <w:rPr>
                <w:sz w:val="1"/>
                <w:szCs w:val="1"/>
                <w:color w:val="auto"/>
              </w:rPr>
            </w:pPr>
          </w:p>
        </w:tc>
        <w:tc>
          <w:tcPr>
            <w:tcW w:w="960" w:type="dxa"/>
            <w:vAlign w:val="bottom"/>
            <w:tcBorders>
              <w:top w:val="single" w:sz="8" w:color="auto"/>
            </w:tcBorders>
            <w:shd w:val="clear" w:color="auto" w:fill="DD924E"/>
          </w:tcPr>
          <w:p>
            <w:pPr>
              <w:spacing w:after="0" w:line="20" w:lineRule="exact"/>
              <w:rPr>
                <w:sz w:val="1"/>
                <w:szCs w:val="1"/>
                <w:color w:val="auto"/>
              </w:rPr>
            </w:pPr>
          </w:p>
        </w:tc>
        <w:tc>
          <w:tcPr>
            <w:tcW w:w="60" w:type="dxa"/>
            <w:vAlign w:val="bottom"/>
            <w:tcBorders>
              <w:top w:val="single" w:sz="8" w:color="DD924E"/>
            </w:tcBorders>
            <w:shd w:val="clear" w:color="auto" w:fill="DD924E"/>
          </w:tcPr>
          <w:p>
            <w:pPr>
              <w:spacing w:after="0" w:line="20" w:lineRule="exact"/>
              <w:rPr>
                <w:sz w:val="1"/>
                <w:szCs w:val="1"/>
                <w:color w:val="auto"/>
              </w:rPr>
            </w:pPr>
          </w:p>
        </w:tc>
        <w:tc>
          <w:tcPr>
            <w:tcW w:w="60" w:type="dxa"/>
            <w:vAlign w:val="bottom"/>
            <w:tcBorders>
              <w:top w:val="single" w:sz="8" w:color="DD924E"/>
            </w:tcBorders>
            <w:shd w:val="clear" w:color="auto" w:fill="DD924E"/>
          </w:tcPr>
          <w:p>
            <w:pPr>
              <w:spacing w:after="0" w:line="20" w:lineRule="exact"/>
              <w:rPr>
                <w:sz w:val="1"/>
                <w:szCs w:val="1"/>
                <w:color w:val="auto"/>
              </w:rPr>
            </w:pPr>
          </w:p>
        </w:tc>
        <w:tc>
          <w:tcPr>
            <w:tcW w:w="1660" w:type="dxa"/>
            <w:vAlign w:val="bottom"/>
            <w:tcBorders>
              <w:top w:val="single" w:sz="8" w:color="DD924E"/>
            </w:tcBorders>
            <w:vMerge w:val="continue"/>
            <w:shd w:val="clear" w:color="auto" w:fill="DD924E"/>
          </w:tcPr>
          <w:p>
            <w:pPr>
              <w:spacing w:after="0" w:line="20" w:lineRule="exact"/>
              <w:rPr>
                <w:sz w:val="1"/>
                <w:szCs w:val="1"/>
                <w:color w:val="auto"/>
              </w:rPr>
            </w:pPr>
          </w:p>
        </w:tc>
        <w:tc>
          <w:tcPr>
            <w:tcW w:w="100" w:type="dxa"/>
            <w:vAlign w:val="bottom"/>
            <w:tcBorders>
              <w:top w:val="single" w:sz="8" w:color="DD924E"/>
            </w:tcBorders>
            <w:shd w:val="clear" w:color="auto" w:fill="DD924E"/>
          </w:tcPr>
          <w:p>
            <w:pPr>
              <w:spacing w:after="0" w:line="20" w:lineRule="exact"/>
              <w:rPr>
                <w:sz w:val="1"/>
                <w:szCs w:val="1"/>
                <w:color w:val="auto"/>
              </w:rPr>
            </w:pPr>
          </w:p>
        </w:tc>
        <w:tc>
          <w:tcPr>
            <w:tcW w:w="1080" w:type="dxa"/>
            <w:vAlign w:val="bottom"/>
            <w:tcBorders>
              <w:top w:val="single" w:sz="8" w:color="DD924E"/>
              <w:right w:val="single" w:sz="8" w:color="DD924E"/>
            </w:tcBorders>
            <w:shd w:val="clear" w:color="auto" w:fill="DD924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 w:type="dxa"/>
            <w:vAlign w:val="bottom"/>
            <w:tcBorders>
              <w:left w:val="single" w:sz="8" w:color="DD924E"/>
            </w:tcBorders>
            <w:shd w:val="clear" w:color="auto" w:fill="DD924E"/>
          </w:tcPr>
          <w:p>
            <w:pPr>
              <w:spacing w:after="0"/>
              <w:rPr>
                <w:sz w:val="15"/>
                <w:szCs w:val="15"/>
                <w:color w:val="auto"/>
              </w:rPr>
            </w:pPr>
          </w:p>
        </w:tc>
        <w:tc>
          <w:tcPr>
            <w:tcW w:w="1460" w:type="dxa"/>
            <w:vAlign w:val="bottom"/>
            <w:shd w:val="clear" w:color="auto" w:fill="DD924E"/>
          </w:tcPr>
          <w:p>
            <w:pPr>
              <w:spacing w:after="0"/>
              <w:rPr>
                <w:sz w:val="15"/>
                <w:szCs w:val="15"/>
                <w:color w:val="auto"/>
              </w:rPr>
            </w:pPr>
          </w:p>
        </w:tc>
        <w:tc>
          <w:tcPr>
            <w:tcW w:w="140" w:type="dxa"/>
            <w:vAlign w:val="bottom"/>
            <w:shd w:val="clear" w:color="auto" w:fill="DD924E"/>
          </w:tcPr>
          <w:p>
            <w:pPr>
              <w:spacing w:after="0"/>
              <w:rPr>
                <w:sz w:val="15"/>
                <w:szCs w:val="15"/>
                <w:color w:val="auto"/>
              </w:rPr>
            </w:pPr>
          </w:p>
        </w:tc>
        <w:tc>
          <w:tcPr>
            <w:tcW w:w="1800" w:type="dxa"/>
            <w:vAlign w:val="bottom"/>
            <w:shd w:val="clear" w:color="auto" w:fill="DD924E"/>
          </w:tcPr>
          <w:p>
            <w:pPr>
              <w:spacing w:after="0"/>
              <w:rPr>
                <w:sz w:val="15"/>
                <w:szCs w:val="15"/>
                <w:color w:val="auto"/>
              </w:rPr>
            </w:pPr>
          </w:p>
        </w:tc>
        <w:tc>
          <w:tcPr>
            <w:tcW w:w="100" w:type="dxa"/>
            <w:vAlign w:val="bottom"/>
            <w:shd w:val="clear" w:color="auto" w:fill="DD924E"/>
          </w:tcPr>
          <w:p>
            <w:pPr>
              <w:spacing w:after="0"/>
              <w:rPr>
                <w:sz w:val="15"/>
                <w:szCs w:val="15"/>
                <w:color w:val="auto"/>
              </w:rPr>
            </w:pPr>
          </w:p>
        </w:tc>
        <w:tc>
          <w:tcPr>
            <w:tcW w:w="60" w:type="dxa"/>
            <w:vAlign w:val="bottom"/>
            <w:shd w:val="clear" w:color="auto" w:fill="DD924E"/>
          </w:tcPr>
          <w:p>
            <w:pPr>
              <w:spacing w:after="0"/>
              <w:rPr>
                <w:sz w:val="15"/>
                <w:szCs w:val="15"/>
                <w:color w:val="auto"/>
              </w:rPr>
            </w:pPr>
          </w:p>
        </w:tc>
        <w:tc>
          <w:tcPr>
            <w:tcW w:w="940" w:type="dxa"/>
            <w:vAlign w:val="bottom"/>
            <w:shd w:val="clear" w:color="auto" w:fill="DD924E"/>
          </w:tcPr>
          <w:p>
            <w:pPr>
              <w:spacing w:after="0"/>
              <w:rPr>
                <w:sz w:val="15"/>
                <w:szCs w:val="15"/>
                <w:color w:val="auto"/>
              </w:rPr>
            </w:pPr>
          </w:p>
        </w:tc>
        <w:tc>
          <w:tcPr>
            <w:tcW w:w="320" w:type="dxa"/>
            <w:vAlign w:val="bottom"/>
            <w:shd w:val="clear" w:color="auto" w:fill="DD924E"/>
          </w:tcPr>
          <w:p>
            <w:pPr>
              <w:spacing w:after="0"/>
              <w:rPr>
                <w:sz w:val="15"/>
                <w:szCs w:val="15"/>
                <w:color w:val="auto"/>
              </w:rPr>
            </w:pPr>
          </w:p>
        </w:tc>
        <w:tc>
          <w:tcPr>
            <w:tcW w:w="1020" w:type="dxa"/>
            <w:vAlign w:val="bottom"/>
            <w:gridSpan w:val="2"/>
            <w:shd w:val="clear" w:color="auto" w:fill="DD924E"/>
          </w:tcPr>
          <w:p>
            <w:pPr>
              <w:jc w:val="right"/>
              <w:ind w:right="120"/>
              <w:spacing w:after="0"/>
              <w:rPr>
                <w:sz w:val="20"/>
                <w:szCs w:val="20"/>
                <w:color w:val="auto"/>
              </w:rPr>
            </w:pPr>
            <w:r>
              <w:rPr>
                <w:rFonts w:ascii="Arial" w:cs="Arial" w:eastAsia="Arial" w:hAnsi="Arial"/>
                <w:sz w:val="15"/>
                <w:szCs w:val="15"/>
                <w:b w:val="1"/>
                <w:bCs w:val="1"/>
                <w:color w:val="FFFFFF"/>
              </w:rPr>
              <w:t>Percentage</w:t>
            </w:r>
          </w:p>
        </w:tc>
        <w:tc>
          <w:tcPr>
            <w:tcW w:w="60" w:type="dxa"/>
            <w:vAlign w:val="bottom"/>
            <w:shd w:val="clear" w:color="auto" w:fill="DD924E"/>
          </w:tcPr>
          <w:p>
            <w:pPr>
              <w:spacing w:after="0"/>
              <w:rPr>
                <w:sz w:val="15"/>
                <w:szCs w:val="15"/>
                <w:color w:val="auto"/>
              </w:rPr>
            </w:pPr>
          </w:p>
        </w:tc>
        <w:tc>
          <w:tcPr>
            <w:tcW w:w="1660" w:type="dxa"/>
            <w:vAlign w:val="bottom"/>
            <w:shd w:val="clear" w:color="auto" w:fill="DD924E"/>
          </w:tcPr>
          <w:p>
            <w:pPr>
              <w:jc w:val="center"/>
              <w:spacing w:after="0"/>
              <w:rPr>
                <w:sz w:val="20"/>
                <w:szCs w:val="20"/>
                <w:color w:val="auto"/>
              </w:rPr>
            </w:pPr>
            <w:r>
              <w:rPr>
                <w:rFonts w:ascii="Arial" w:cs="Arial" w:eastAsia="Arial" w:hAnsi="Arial"/>
                <w:sz w:val="15"/>
                <w:szCs w:val="15"/>
                <w:b w:val="1"/>
                <w:bCs w:val="1"/>
                <w:color w:val="FFFFFF"/>
              </w:rPr>
              <w:t>Restricted Stock</w:t>
            </w:r>
          </w:p>
        </w:tc>
        <w:tc>
          <w:tcPr>
            <w:tcW w:w="100" w:type="dxa"/>
            <w:vAlign w:val="bottom"/>
            <w:shd w:val="clear" w:color="auto" w:fill="DD924E"/>
          </w:tcPr>
          <w:p>
            <w:pPr>
              <w:spacing w:after="0"/>
              <w:rPr>
                <w:sz w:val="15"/>
                <w:szCs w:val="15"/>
                <w:color w:val="auto"/>
              </w:rPr>
            </w:pPr>
          </w:p>
        </w:tc>
        <w:tc>
          <w:tcPr>
            <w:tcW w:w="1080" w:type="dxa"/>
            <w:vAlign w:val="bottom"/>
            <w:tcBorders>
              <w:right w:val="single" w:sz="8" w:color="DD924E"/>
            </w:tcBorders>
            <w:shd w:val="clear" w:color="auto" w:fill="DD924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DD924E"/>
              <w:bottom w:val="single" w:sz="8" w:color="DD924E"/>
            </w:tcBorders>
            <w:shd w:val="clear" w:color="auto" w:fill="DD924E"/>
          </w:tcPr>
          <w:p>
            <w:pPr>
              <w:spacing w:after="0"/>
              <w:rPr>
                <w:sz w:val="18"/>
                <w:szCs w:val="18"/>
                <w:color w:val="auto"/>
              </w:rPr>
            </w:pPr>
          </w:p>
        </w:tc>
        <w:tc>
          <w:tcPr>
            <w:tcW w:w="3400" w:type="dxa"/>
            <w:vAlign w:val="bottom"/>
            <w:tcBorders>
              <w:bottom w:val="single" w:sz="8" w:color="auto"/>
            </w:tcBorders>
            <w:gridSpan w:val="3"/>
            <w:shd w:val="clear" w:color="auto" w:fill="DD924E"/>
          </w:tcPr>
          <w:p>
            <w:pPr>
              <w:ind w:left="180"/>
              <w:spacing w:after="0" w:line="199" w:lineRule="exact"/>
              <w:rPr>
                <w:sz w:val="20"/>
                <w:szCs w:val="20"/>
                <w:color w:val="auto"/>
              </w:rPr>
            </w:pPr>
            <w:r>
              <w:rPr>
                <w:rFonts w:ascii="Arial" w:cs="Arial" w:eastAsia="Arial" w:hAnsi="Arial"/>
                <w:sz w:val="15"/>
                <w:szCs w:val="15"/>
                <w:b w:val="1"/>
                <w:bCs w:val="1"/>
                <w:color w:val="FFFFFF"/>
              </w:rPr>
              <w:t>Name and Address of Beneficial Owner</w:t>
            </w:r>
            <w:r>
              <w:rPr>
                <w:rFonts w:ascii="Arial" w:cs="Arial" w:eastAsia="Arial" w:hAnsi="Arial"/>
                <w:sz w:val="23"/>
                <w:szCs w:val="23"/>
                <w:b w:val="1"/>
                <w:bCs w:val="1"/>
                <w:color w:val="FFFFFF"/>
                <w:vertAlign w:val="superscript"/>
              </w:rPr>
              <w:t>(1)</w:t>
            </w:r>
          </w:p>
        </w:tc>
        <w:tc>
          <w:tcPr>
            <w:tcW w:w="100" w:type="dxa"/>
            <w:vAlign w:val="bottom"/>
            <w:tcBorders>
              <w:bottom w:val="single" w:sz="8" w:color="DD924E"/>
            </w:tcBorders>
            <w:shd w:val="clear" w:color="auto" w:fill="DD924E"/>
          </w:tcPr>
          <w:p>
            <w:pPr>
              <w:spacing w:after="0"/>
              <w:rPr>
                <w:sz w:val="18"/>
                <w:szCs w:val="18"/>
                <w:color w:val="auto"/>
              </w:rPr>
            </w:pPr>
          </w:p>
        </w:tc>
        <w:tc>
          <w:tcPr>
            <w:tcW w:w="60" w:type="dxa"/>
            <w:vAlign w:val="bottom"/>
            <w:tcBorders>
              <w:bottom w:val="single" w:sz="8" w:color="auto"/>
            </w:tcBorders>
            <w:shd w:val="clear" w:color="auto" w:fill="DD924E"/>
          </w:tcPr>
          <w:p>
            <w:pPr>
              <w:spacing w:after="0"/>
              <w:rPr>
                <w:sz w:val="18"/>
                <w:szCs w:val="18"/>
                <w:color w:val="auto"/>
              </w:rPr>
            </w:pPr>
          </w:p>
        </w:tc>
        <w:tc>
          <w:tcPr>
            <w:tcW w:w="940" w:type="dxa"/>
            <w:vAlign w:val="bottom"/>
            <w:tcBorders>
              <w:bottom w:val="single" w:sz="8" w:color="auto"/>
            </w:tcBorders>
            <w:shd w:val="clear" w:color="auto" w:fill="DD924E"/>
          </w:tcPr>
          <w:p>
            <w:pPr>
              <w:jc w:val="right"/>
              <w:ind w:right="163"/>
              <w:spacing w:after="0"/>
              <w:rPr>
                <w:sz w:val="20"/>
                <w:szCs w:val="20"/>
                <w:color w:val="auto"/>
              </w:rPr>
            </w:pPr>
            <w:r>
              <w:rPr>
                <w:rFonts w:ascii="Arial" w:cs="Arial" w:eastAsia="Arial" w:hAnsi="Arial"/>
                <w:sz w:val="15"/>
                <w:szCs w:val="15"/>
                <w:b w:val="1"/>
                <w:bCs w:val="1"/>
                <w:color w:val="FFFFFF"/>
              </w:rPr>
              <w:t>Shares</w:t>
            </w:r>
          </w:p>
        </w:tc>
        <w:tc>
          <w:tcPr>
            <w:tcW w:w="320" w:type="dxa"/>
            <w:vAlign w:val="bottom"/>
            <w:tcBorders>
              <w:bottom w:val="single" w:sz="8" w:color="DD924E"/>
            </w:tcBorders>
            <w:shd w:val="clear" w:color="auto" w:fill="DD924E"/>
          </w:tcPr>
          <w:p>
            <w:pPr>
              <w:spacing w:after="0"/>
              <w:rPr>
                <w:sz w:val="18"/>
                <w:szCs w:val="18"/>
                <w:color w:val="auto"/>
              </w:rPr>
            </w:pPr>
          </w:p>
        </w:tc>
        <w:tc>
          <w:tcPr>
            <w:tcW w:w="960" w:type="dxa"/>
            <w:vAlign w:val="bottom"/>
            <w:tcBorders>
              <w:bottom w:val="single" w:sz="8" w:color="auto"/>
            </w:tcBorders>
            <w:shd w:val="clear" w:color="auto" w:fill="DD924E"/>
          </w:tcPr>
          <w:p>
            <w:pPr>
              <w:jc w:val="right"/>
              <w:ind w:right="205"/>
              <w:spacing w:after="0" w:line="199"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0"/>
                <w:szCs w:val="10"/>
                <w:b w:val="1"/>
                <w:bCs w:val="1"/>
                <w:color w:val="FFFFFF"/>
              </w:rPr>
              <w:t>(2)</w:t>
            </w:r>
          </w:p>
        </w:tc>
        <w:tc>
          <w:tcPr>
            <w:tcW w:w="60" w:type="dxa"/>
            <w:vAlign w:val="bottom"/>
            <w:tcBorders>
              <w:bottom w:val="single" w:sz="8" w:color="DD924E"/>
            </w:tcBorders>
            <w:shd w:val="clear" w:color="auto" w:fill="DD924E"/>
          </w:tcPr>
          <w:p>
            <w:pPr>
              <w:spacing w:after="0"/>
              <w:rPr>
                <w:sz w:val="18"/>
                <w:szCs w:val="18"/>
                <w:color w:val="auto"/>
              </w:rPr>
            </w:pPr>
          </w:p>
        </w:tc>
        <w:tc>
          <w:tcPr>
            <w:tcW w:w="60" w:type="dxa"/>
            <w:vAlign w:val="bottom"/>
            <w:tcBorders>
              <w:bottom w:val="single" w:sz="8" w:color="DD924E"/>
            </w:tcBorders>
            <w:shd w:val="clear" w:color="auto" w:fill="DD924E"/>
          </w:tcPr>
          <w:p>
            <w:pPr>
              <w:spacing w:after="0"/>
              <w:rPr>
                <w:sz w:val="18"/>
                <w:szCs w:val="18"/>
                <w:color w:val="auto"/>
              </w:rPr>
            </w:pPr>
          </w:p>
        </w:tc>
        <w:tc>
          <w:tcPr>
            <w:tcW w:w="1660" w:type="dxa"/>
            <w:vAlign w:val="bottom"/>
            <w:tcBorders>
              <w:bottom w:val="single" w:sz="8" w:color="auto"/>
            </w:tcBorders>
            <w:shd w:val="clear" w:color="auto" w:fill="DD924E"/>
          </w:tcPr>
          <w:p>
            <w:pPr>
              <w:jc w:val="center"/>
              <w:spacing w:after="0" w:line="199" w:lineRule="exact"/>
              <w:rPr>
                <w:sz w:val="20"/>
                <w:szCs w:val="20"/>
                <w:color w:val="auto"/>
              </w:rPr>
            </w:pPr>
            <w:r>
              <w:rPr>
                <w:rFonts w:ascii="Arial" w:cs="Arial" w:eastAsia="Arial" w:hAnsi="Arial"/>
                <w:sz w:val="15"/>
                <w:szCs w:val="15"/>
                <w:b w:val="1"/>
                <w:bCs w:val="1"/>
                <w:color w:val="FFFFFF"/>
                <w:w w:val="92"/>
              </w:rPr>
              <w:t>Units</w:t>
            </w:r>
            <w:r>
              <w:rPr>
                <w:rFonts w:ascii="Arial" w:cs="Arial" w:eastAsia="Arial" w:hAnsi="Arial"/>
                <w:sz w:val="23"/>
                <w:szCs w:val="23"/>
                <w:b w:val="1"/>
                <w:bCs w:val="1"/>
                <w:color w:val="FFFFFF"/>
                <w:w w:val="92"/>
                <w:vertAlign w:val="superscript"/>
              </w:rPr>
              <w:t>(3)</w:t>
            </w:r>
          </w:p>
        </w:tc>
        <w:tc>
          <w:tcPr>
            <w:tcW w:w="100" w:type="dxa"/>
            <w:vAlign w:val="bottom"/>
            <w:tcBorders>
              <w:bottom w:val="single" w:sz="8" w:color="DD924E"/>
            </w:tcBorders>
            <w:shd w:val="clear" w:color="auto" w:fill="DD924E"/>
          </w:tcPr>
          <w:p>
            <w:pPr>
              <w:spacing w:after="0"/>
              <w:rPr>
                <w:sz w:val="18"/>
                <w:szCs w:val="18"/>
                <w:color w:val="auto"/>
              </w:rPr>
            </w:pPr>
          </w:p>
        </w:tc>
        <w:tc>
          <w:tcPr>
            <w:tcW w:w="1080" w:type="dxa"/>
            <w:vAlign w:val="bottom"/>
            <w:tcBorders>
              <w:bottom w:val="single" w:sz="8" w:color="auto"/>
              <w:right w:val="single" w:sz="8" w:color="DD924E"/>
            </w:tcBorders>
            <w:shd w:val="clear" w:color="auto" w:fill="DD924E"/>
          </w:tcPr>
          <w:p>
            <w:pPr>
              <w:jc w:val="right"/>
              <w:ind w:right="3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11"/>
        </w:trPr>
        <w:tc>
          <w:tcPr>
            <w:tcW w:w="60" w:type="dxa"/>
            <w:vAlign w:val="bottom"/>
            <w:tcBorders>
              <w:left w:val="single" w:sz="8" w:color="DD924E"/>
              <w:bottom w:val="single" w:sz="8" w:color="FBF4ED"/>
            </w:tcBorders>
            <w:shd w:val="clear" w:color="auto" w:fill="FBF4ED"/>
          </w:tcPr>
          <w:p>
            <w:pPr>
              <w:spacing w:after="0"/>
              <w:rPr>
                <w:sz w:val="18"/>
                <w:szCs w:val="18"/>
                <w:color w:val="auto"/>
              </w:rPr>
            </w:pPr>
          </w:p>
        </w:tc>
        <w:tc>
          <w:tcPr>
            <w:tcW w:w="1600" w:type="dxa"/>
            <w:vAlign w:val="bottom"/>
            <w:tcBorders>
              <w:bottom w:val="single" w:sz="8" w:color="auto"/>
            </w:tcBorders>
            <w:gridSpan w:val="2"/>
            <w:shd w:val="clear" w:color="auto" w:fill="FBF4ED"/>
          </w:tcPr>
          <w:p>
            <w:pPr>
              <w:spacing w:after="0"/>
              <w:rPr>
                <w:sz w:val="20"/>
                <w:szCs w:val="20"/>
                <w:color w:val="auto"/>
              </w:rPr>
            </w:pPr>
            <w:r>
              <w:rPr>
                <w:rFonts w:ascii="Arial" w:cs="Arial" w:eastAsia="Arial" w:hAnsi="Arial"/>
                <w:sz w:val="15"/>
                <w:szCs w:val="15"/>
                <w:b w:val="1"/>
                <w:bCs w:val="1"/>
                <w:color w:val="auto"/>
              </w:rPr>
              <w:t>5% Beneficial Owners</w:t>
            </w:r>
          </w:p>
        </w:tc>
        <w:tc>
          <w:tcPr>
            <w:tcW w:w="1960" w:type="dxa"/>
            <w:vAlign w:val="bottom"/>
            <w:tcBorders>
              <w:bottom w:val="single" w:sz="8" w:color="FBF4ED"/>
            </w:tcBorders>
            <w:gridSpan w:val="3"/>
            <w:shd w:val="clear" w:color="auto" w:fill="FBF4ED"/>
          </w:tcPr>
          <w:p>
            <w:pPr>
              <w:spacing w:after="0"/>
              <w:rPr>
                <w:sz w:val="18"/>
                <w:szCs w:val="18"/>
                <w:color w:val="auto"/>
              </w:rPr>
            </w:pPr>
          </w:p>
        </w:tc>
        <w:tc>
          <w:tcPr>
            <w:tcW w:w="940" w:type="dxa"/>
            <w:vAlign w:val="bottom"/>
            <w:tcBorders>
              <w:bottom w:val="single" w:sz="8" w:color="FBF4ED"/>
            </w:tcBorders>
            <w:shd w:val="clear" w:color="auto" w:fill="FBF4ED"/>
          </w:tcPr>
          <w:p>
            <w:pPr>
              <w:spacing w:after="0"/>
              <w:rPr>
                <w:sz w:val="18"/>
                <w:szCs w:val="18"/>
                <w:color w:val="auto"/>
              </w:rPr>
            </w:pPr>
          </w:p>
        </w:tc>
        <w:tc>
          <w:tcPr>
            <w:tcW w:w="320" w:type="dxa"/>
            <w:vAlign w:val="bottom"/>
            <w:tcBorders>
              <w:bottom w:val="single" w:sz="8" w:color="FBF4ED"/>
            </w:tcBorders>
            <w:shd w:val="clear" w:color="auto" w:fill="FBF4ED"/>
          </w:tcPr>
          <w:p>
            <w:pPr>
              <w:spacing w:after="0"/>
              <w:rPr>
                <w:sz w:val="18"/>
                <w:szCs w:val="18"/>
                <w:color w:val="auto"/>
              </w:rPr>
            </w:pPr>
          </w:p>
        </w:tc>
        <w:tc>
          <w:tcPr>
            <w:tcW w:w="960" w:type="dxa"/>
            <w:vAlign w:val="bottom"/>
            <w:tcBorders>
              <w:bottom w:val="single" w:sz="8" w:color="FBF4ED"/>
            </w:tcBorders>
            <w:shd w:val="clear" w:color="auto" w:fill="FBF4ED"/>
          </w:tcPr>
          <w:p>
            <w:pPr>
              <w:spacing w:after="0"/>
              <w:rPr>
                <w:sz w:val="18"/>
                <w:szCs w:val="18"/>
                <w:color w:val="auto"/>
              </w:rPr>
            </w:pPr>
          </w:p>
        </w:tc>
        <w:tc>
          <w:tcPr>
            <w:tcW w:w="60" w:type="dxa"/>
            <w:vAlign w:val="bottom"/>
            <w:tcBorders>
              <w:bottom w:val="single" w:sz="8" w:color="FBF4ED"/>
            </w:tcBorders>
            <w:shd w:val="clear" w:color="auto" w:fill="FBF4ED"/>
          </w:tcPr>
          <w:p>
            <w:pPr>
              <w:spacing w:after="0"/>
              <w:rPr>
                <w:sz w:val="18"/>
                <w:szCs w:val="18"/>
                <w:color w:val="auto"/>
              </w:rPr>
            </w:pPr>
          </w:p>
        </w:tc>
        <w:tc>
          <w:tcPr>
            <w:tcW w:w="60" w:type="dxa"/>
            <w:vAlign w:val="bottom"/>
            <w:tcBorders>
              <w:bottom w:val="single" w:sz="8" w:color="FBF4ED"/>
            </w:tcBorders>
            <w:shd w:val="clear" w:color="auto" w:fill="FBF4ED"/>
          </w:tcPr>
          <w:p>
            <w:pPr>
              <w:spacing w:after="0"/>
              <w:rPr>
                <w:sz w:val="18"/>
                <w:szCs w:val="18"/>
                <w:color w:val="auto"/>
              </w:rPr>
            </w:pPr>
          </w:p>
        </w:tc>
        <w:tc>
          <w:tcPr>
            <w:tcW w:w="1660" w:type="dxa"/>
            <w:vAlign w:val="bottom"/>
            <w:tcBorders>
              <w:bottom w:val="single" w:sz="8" w:color="FBF4ED"/>
            </w:tcBorders>
            <w:shd w:val="clear" w:color="auto" w:fill="FBF4ED"/>
          </w:tcPr>
          <w:p>
            <w:pPr>
              <w:spacing w:after="0"/>
              <w:rPr>
                <w:sz w:val="18"/>
                <w:szCs w:val="18"/>
                <w:color w:val="auto"/>
              </w:rPr>
            </w:pPr>
          </w:p>
        </w:tc>
        <w:tc>
          <w:tcPr>
            <w:tcW w:w="100" w:type="dxa"/>
            <w:vAlign w:val="bottom"/>
            <w:tcBorders>
              <w:bottom w:val="single" w:sz="8" w:color="FBF4ED"/>
            </w:tcBorders>
            <w:shd w:val="clear" w:color="auto" w:fill="FBF4ED"/>
          </w:tcPr>
          <w:p>
            <w:pPr>
              <w:spacing w:after="0"/>
              <w:rPr>
                <w:sz w:val="18"/>
                <w:szCs w:val="18"/>
                <w:color w:val="auto"/>
              </w:rPr>
            </w:pPr>
          </w:p>
        </w:tc>
        <w:tc>
          <w:tcPr>
            <w:tcW w:w="1080" w:type="dxa"/>
            <w:vAlign w:val="bottom"/>
            <w:tcBorders>
              <w:bottom w:val="single" w:sz="8" w:color="FBF4ED"/>
              <w:right w:val="single" w:sz="8" w:color="DD924E"/>
            </w:tcBorders>
            <w:shd w:val="clear" w:color="auto" w:fill="FBF4ED"/>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20" w:type="dxa"/>
            <w:vAlign w:val="bottom"/>
            <w:tcBorders>
              <w:left w:val="single" w:sz="8" w:color="DD924E"/>
            </w:tcBorders>
            <w:gridSpan w:val="6"/>
          </w:tcPr>
          <w:p>
            <w:pPr>
              <w:ind w:left="60"/>
              <w:spacing w:after="0" w:line="244" w:lineRule="exact"/>
              <w:rPr>
                <w:sz w:val="20"/>
                <w:szCs w:val="20"/>
                <w:color w:val="auto"/>
              </w:rPr>
            </w:pPr>
            <w:r>
              <w:rPr>
                <w:rFonts w:ascii="Arial" w:cs="Arial" w:eastAsia="Arial" w:hAnsi="Arial"/>
                <w:sz w:val="15"/>
                <w:szCs w:val="15"/>
                <w:color w:val="auto"/>
              </w:rPr>
              <w:t>Blackrock Inc.</w:t>
            </w:r>
            <w:r>
              <w:rPr>
                <w:rFonts w:ascii="Arial" w:cs="Arial" w:eastAsia="Arial" w:hAnsi="Arial"/>
                <w:sz w:val="23"/>
                <w:szCs w:val="23"/>
                <w:color w:val="auto"/>
                <w:vertAlign w:val="superscript"/>
              </w:rPr>
              <w:t>(4)</w:t>
            </w:r>
          </w:p>
        </w:tc>
        <w:tc>
          <w:tcPr>
            <w:tcW w:w="940" w:type="dxa"/>
            <w:vAlign w:val="bottom"/>
          </w:tcPr>
          <w:p>
            <w:pPr>
              <w:jc w:val="right"/>
              <w:spacing w:after="0"/>
              <w:rPr>
                <w:sz w:val="20"/>
                <w:szCs w:val="20"/>
                <w:color w:val="auto"/>
              </w:rPr>
            </w:pPr>
            <w:r>
              <w:rPr>
                <w:rFonts w:ascii="Arial" w:cs="Arial" w:eastAsia="Arial" w:hAnsi="Arial"/>
                <w:sz w:val="15"/>
                <w:szCs w:val="15"/>
                <w:color w:val="auto"/>
              </w:rPr>
              <w:t>4,179,911</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right w:val="single" w:sz="8" w:color="DD924E"/>
            </w:tcBorders>
            <w:gridSpan w:val="2"/>
          </w:tcPr>
          <w:p>
            <w:pPr>
              <w:jc w:val="right"/>
              <w:ind w:right="3"/>
              <w:spacing w:after="0"/>
              <w:rPr>
                <w:sz w:val="20"/>
                <w:szCs w:val="20"/>
                <w:color w:val="auto"/>
              </w:rPr>
            </w:pPr>
            <w:r>
              <w:rPr>
                <w:rFonts w:ascii="Arial" w:cs="Arial" w:eastAsia="Arial" w:hAnsi="Arial"/>
                <w:sz w:val="15"/>
                <w:szCs w:val="15"/>
                <w:color w:val="auto"/>
              </w:rPr>
              <w:t>4,179,911</w:t>
            </w:r>
          </w:p>
        </w:tc>
        <w:tc>
          <w:tcPr>
            <w:tcW w:w="0" w:type="dxa"/>
            <w:vAlign w:val="bottom"/>
          </w:tcPr>
          <w:p>
            <w:pPr>
              <w:spacing w:after="0"/>
              <w:rPr>
                <w:sz w:val="1"/>
                <w:szCs w:val="1"/>
                <w:color w:val="auto"/>
              </w:rPr>
            </w:pPr>
          </w:p>
        </w:tc>
      </w:tr>
      <w:tr>
        <w:trPr>
          <w:trHeight w:val="244"/>
        </w:trPr>
        <w:tc>
          <w:tcPr>
            <w:tcW w:w="3620" w:type="dxa"/>
            <w:vAlign w:val="bottom"/>
            <w:tcBorders>
              <w:left w:val="single" w:sz="8" w:color="DD924E"/>
            </w:tcBorders>
            <w:gridSpan w:val="6"/>
            <w:shd w:val="clear" w:color="auto" w:fill="FBF4ED"/>
          </w:tcPr>
          <w:p>
            <w:pPr>
              <w:ind w:left="60"/>
              <w:spacing w:after="0" w:line="244" w:lineRule="exact"/>
              <w:rPr>
                <w:sz w:val="20"/>
                <w:szCs w:val="20"/>
                <w:color w:val="auto"/>
              </w:rPr>
            </w:pPr>
            <w:r>
              <w:rPr>
                <w:rFonts w:ascii="Arial" w:cs="Arial" w:eastAsia="Arial" w:hAnsi="Arial"/>
                <w:sz w:val="15"/>
                <w:szCs w:val="15"/>
                <w:color w:val="auto"/>
              </w:rPr>
              <w:t>FMR LLC</w:t>
            </w:r>
            <w:r>
              <w:rPr>
                <w:rFonts w:ascii="Arial" w:cs="Arial" w:eastAsia="Arial" w:hAnsi="Arial"/>
                <w:sz w:val="23"/>
                <w:szCs w:val="23"/>
                <w:color w:val="auto"/>
                <w:vertAlign w:val="superscript"/>
              </w:rPr>
              <w:t>(5)</w:t>
            </w:r>
          </w:p>
        </w:tc>
        <w:tc>
          <w:tcPr>
            <w:tcW w:w="940" w:type="dxa"/>
            <w:vAlign w:val="bottom"/>
            <w:shd w:val="clear" w:color="auto" w:fill="FBF4ED"/>
          </w:tcPr>
          <w:p>
            <w:pPr>
              <w:jc w:val="right"/>
              <w:spacing w:after="0"/>
              <w:rPr>
                <w:sz w:val="20"/>
                <w:szCs w:val="20"/>
                <w:color w:val="auto"/>
              </w:rPr>
            </w:pPr>
            <w:r>
              <w:rPr>
                <w:rFonts w:ascii="Arial" w:cs="Arial" w:eastAsia="Arial" w:hAnsi="Arial"/>
                <w:sz w:val="15"/>
                <w:szCs w:val="15"/>
                <w:color w:val="auto"/>
              </w:rPr>
              <w:t>3,585,991</w:t>
            </w:r>
          </w:p>
        </w:tc>
        <w:tc>
          <w:tcPr>
            <w:tcW w:w="320" w:type="dxa"/>
            <w:vAlign w:val="bottom"/>
            <w:shd w:val="clear" w:color="auto" w:fill="FBF4ED"/>
          </w:tcPr>
          <w:p>
            <w:pPr>
              <w:spacing w:after="0"/>
              <w:rPr>
                <w:sz w:val="21"/>
                <w:szCs w:val="21"/>
                <w:color w:val="auto"/>
              </w:rPr>
            </w:pPr>
          </w:p>
        </w:tc>
        <w:tc>
          <w:tcPr>
            <w:tcW w:w="960" w:type="dxa"/>
            <w:vAlign w:val="bottom"/>
            <w:shd w:val="clear" w:color="auto" w:fill="FBF4ED"/>
          </w:tcPr>
          <w:p>
            <w:pPr>
              <w:jc w:val="right"/>
              <w:spacing w:after="0"/>
              <w:rPr>
                <w:sz w:val="20"/>
                <w:szCs w:val="20"/>
                <w:color w:val="auto"/>
              </w:rPr>
            </w:pPr>
            <w:r>
              <w:rPr>
                <w:rFonts w:ascii="Arial" w:cs="Arial" w:eastAsia="Arial" w:hAnsi="Arial"/>
                <w:sz w:val="15"/>
                <w:szCs w:val="15"/>
                <w:color w:val="auto"/>
              </w:rPr>
              <w:t>10.4</w:t>
            </w:r>
          </w:p>
        </w:tc>
        <w:tc>
          <w:tcPr>
            <w:tcW w:w="60" w:type="dxa"/>
            <w:vAlign w:val="bottom"/>
            <w:shd w:val="clear" w:color="auto" w:fill="FBF4ED"/>
          </w:tcPr>
          <w:p>
            <w:pPr>
              <w:spacing w:after="0"/>
              <w:rPr>
                <w:sz w:val="21"/>
                <w:szCs w:val="21"/>
                <w:color w:val="auto"/>
              </w:rPr>
            </w:pPr>
          </w:p>
        </w:tc>
        <w:tc>
          <w:tcPr>
            <w:tcW w:w="60" w:type="dxa"/>
            <w:vAlign w:val="bottom"/>
            <w:shd w:val="clear" w:color="auto" w:fill="FBF4ED"/>
          </w:tcPr>
          <w:p>
            <w:pPr>
              <w:spacing w:after="0"/>
              <w:rPr>
                <w:sz w:val="21"/>
                <w:szCs w:val="21"/>
                <w:color w:val="auto"/>
              </w:rPr>
            </w:pPr>
          </w:p>
        </w:tc>
        <w:tc>
          <w:tcPr>
            <w:tcW w:w="166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right w:val="single" w:sz="8" w:color="DD924E"/>
            </w:tcBorders>
            <w:gridSpan w:val="2"/>
            <w:shd w:val="clear" w:color="auto" w:fill="FBF4ED"/>
          </w:tcPr>
          <w:p>
            <w:pPr>
              <w:jc w:val="right"/>
              <w:ind w:right="3"/>
              <w:spacing w:after="0"/>
              <w:rPr>
                <w:sz w:val="20"/>
                <w:szCs w:val="20"/>
                <w:color w:val="auto"/>
              </w:rPr>
            </w:pPr>
            <w:r>
              <w:rPr>
                <w:rFonts w:ascii="Arial" w:cs="Arial" w:eastAsia="Arial" w:hAnsi="Arial"/>
                <w:sz w:val="15"/>
                <w:szCs w:val="15"/>
                <w:color w:val="auto"/>
              </w:rPr>
              <w:t>3,585,991</w:t>
            </w:r>
          </w:p>
        </w:tc>
        <w:tc>
          <w:tcPr>
            <w:tcW w:w="0" w:type="dxa"/>
            <w:vAlign w:val="bottom"/>
          </w:tcPr>
          <w:p>
            <w:pPr>
              <w:spacing w:after="0"/>
              <w:rPr>
                <w:sz w:val="1"/>
                <w:szCs w:val="1"/>
                <w:color w:val="auto"/>
              </w:rPr>
            </w:pPr>
          </w:p>
        </w:tc>
      </w:tr>
      <w:tr>
        <w:trPr>
          <w:trHeight w:val="244"/>
        </w:trPr>
        <w:tc>
          <w:tcPr>
            <w:tcW w:w="3620" w:type="dxa"/>
            <w:vAlign w:val="bottom"/>
            <w:tcBorders>
              <w:left w:val="single" w:sz="8" w:color="DD924E"/>
            </w:tcBorders>
            <w:gridSpan w:val="6"/>
          </w:tcPr>
          <w:p>
            <w:pPr>
              <w:ind w:left="60"/>
              <w:spacing w:after="0" w:line="244" w:lineRule="exact"/>
              <w:rPr>
                <w:sz w:val="20"/>
                <w:szCs w:val="20"/>
                <w:color w:val="auto"/>
              </w:rPr>
            </w:pPr>
            <w:r>
              <w:rPr>
                <w:rFonts w:ascii="Arial" w:cs="Arial" w:eastAsia="Arial" w:hAnsi="Arial"/>
                <w:sz w:val="15"/>
                <w:szCs w:val="15"/>
                <w:color w:val="auto"/>
              </w:rPr>
              <w:t>Vanguard Group, Inc.</w:t>
            </w:r>
            <w:r>
              <w:rPr>
                <w:rFonts w:ascii="Arial" w:cs="Arial" w:eastAsia="Arial" w:hAnsi="Arial"/>
                <w:sz w:val="23"/>
                <w:szCs w:val="23"/>
                <w:color w:val="auto"/>
                <w:vertAlign w:val="superscript"/>
              </w:rPr>
              <w:t>(6)</w:t>
            </w:r>
          </w:p>
        </w:tc>
        <w:tc>
          <w:tcPr>
            <w:tcW w:w="940" w:type="dxa"/>
            <w:vAlign w:val="bottom"/>
          </w:tcPr>
          <w:p>
            <w:pPr>
              <w:jc w:val="right"/>
              <w:spacing w:after="0"/>
              <w:rPr>
                <w:sz w:val="20"/>
                <w:szCs w:val="20"/>
                <w:color w:val="auto"/>
              </w:rPr>
            </w:pPr>
            <w:r>
              <w:rPr>
                <w:rFonts w:ascii="Arial" w:cs="Arial" w:eastAsia="Arial" w:hAnsi="Arial"/>
                <w:sz w:val="15"/>
                <w:szCs w:val="15"/>
                <w:color w:val="auto"/>
              </w:rPr>
              <w:t>3,079,081</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right w:val="single" w:sz="8" w:color="DD924E"/>
            </w:tcBorders>
            <w:gridSpan w:val="2"/>
          </w:tcPr>
          <w:p>
            <w:pPr>
              <w:jc w:val="right"/>
              <w:ind w:right="3"/>
              <w:spacing w:after="0"/>
              <w:rPr>
                <w:sz w:val="20"/>
                <w:szCs w:val="20"/>
                <w:color w:val="auto"/>
              </w:rPr>
            </w:pPr>
            <w:r>
              <w:rPr>
                <w:rFonts w:ascii="Arial" w:cs="Arial" w:eastAsia="Arial" w:hAnsi="Arial"/>
                <w:sz w:val="15"/>
                <w:szCs w:val="15"/>
                <w:color w:val="auto"/>
              </w:rPr>
              <w:t>3,079,081</w:t>
            </w:r>
          </w:p>
        </w:tc>
        <w:tc>
          <w:tcPr>
            <w:tcW w:w="0" w:type="dxa"/>
            <w:vAlign w:val="bottom"/>
          </w:tcPr>
          <w:p>
            <w:pPr>
              <w:spacing w:after="0"/>
              <w:rPr>
                <w:sz w:val="1"/>
                <w:szCs w:val="1"/>
                <w:color w:val="auto"/>
              </w:rPr>
            </w:pPr>
          </w:p>
        </w:tc>
      </w:tr>
      <w:tr>
        <w:trPr>
          <w:trHeight w:val="167"/>
        </w:trPr>
        <w:tc>
          <w:tcPr>
            <w:tcW w:w="60" w:type="dxa"/>
            <w:vAlign w:val="bottom"/>
            <w:tcBorders>
              <w:left w:val="single" w:sz="8" w:color="DD924E"/>
            </w:tcBorders>
            <w:shd w:val="clear" w:color="auto" w:fill="FBF4ED"/>
          </w:tcPr>
          <w:p>
            <w:pPr>
              <w:spacing w:after="0"/>
              <w:rPr>
                <w:sz w:val="14"/>
                <w:szCs w:val="14"/>
                <w:color w:val="auto"/>
              </w:rPr>
            </w:pPr>
          </w:p>
        </w:tc>
        <w:tc>
          <w:tcPr>
            <w:tcW w:w="1460" w:type="dxa"/>
            <w:vAlign w:val="bottom"/>
            <w:shd w:val="clear" w:color="auto" w:fill="FBF4ED"/>
          </w:tcPr>
          <w:p>
            <w:pPr>
              <w:spacing w:after="0"/>
              <w:rPr>
                <w:sz w:val="14"/>
                <w:szCs w:val="14"/>
                <w:color w:val="auto"/>
              </w:rPr>
            </w:pPr>
          </w:p>
        </w:tc>
        <w:tc>
          <w:tcPr>
            <w:tcW w:w="140" w:type="dxa"/>
            <w:vAlign w:val="bottom"/>
            <w:shd w:val="clear" w:color="auto" w:fill="FBF4ED"/>
          </w:tcPr>
          <w:p>
            <w:pPr>
              <w:spacing w:after="0"/>
              <w:rPr>
                <w:sz w:val="14"/>
                <w:szCs w:val="14"/>
                <w:color w:val="auto"/>
              </w:rPr>
            </w:pPr>
          </w:p>
        </w:tc>
        <w:tc>
          <w:tcPr>
            <w:tcW w:w="1960" w:type="dxa"/>
            <w:vAlign w:val="bottom"/>
            <w:gridSpan w:val="3"/>
            <w:shd w:val="clear" w:color="auto" w:fill="FBF4ED"/>
          </w:tcPr>
          <w:p>
            <w:pPr>
              <w:spacing w:after="0"/>
              <w:rPr>
                <w:sz w:val="14"/>
                <w:szCs w:val="14"/>
                <w:color w:val="auto"/>
              </w:rPr>
            </w:pPr>
          </w:p>
        </w:tc>
        <w:tc>
          <w:tcPr>
            <w:tcW w:w="940" w:type="dxa"/>
            <w:vAlign w:val="bottom"/>
            <w:shd w:val="clear" w:color="auto" w:fill="FBF4ED"/>
          </w:tcPr>
          <w:p>
            <w:pPr>
              <w:spacing w:after="0"/>
              <w:rPr>
                <w:sz w:val="14"/>
                <w:szCs w:val="14"/>
                <w:color w:val="auto"/>
              </w:rPr>
            </w:pPr>
          </w:p>
        </w:tc>
        <w:tc>
          <w:tcPr>
            <w:tcW w:w="320" w:type="dxa"/>
            <w:vAlign w:val="bottom"/>
            <w:shd w:val="clear" w:color="auto" w:fill="FBF4ED"/>
          </w:tcPr>
          <w:p>
            <w:pPr>
              <w:spacing w:after="0"/>
              <w:rPr>
                <w:sz w:val="14"/>
                <w:szCs w:val="14"/>
                <w:color w:val="auto"/>
              </w:rPr>
            </w:pPr>
          </w:p>
        </w:tc>
        <w:tc>
          <w:tcPr>
            <w:tcW w:w="960" w:type="dxa"/>
            <w:vAlign w:val="bottom"/>
            <w:shd w:val="clear" w:color="auto" w:fill="FBF4ED"/>
          </w:tcPr>
          <w:p>
            <w:pPr>
              <w:spacing w:after="0"/>
              <w:rPr>
                <w:sz w:val="14"/>
                <w:szCs w:val="14"/>
                <w:color w:val="auto"/>
              </w:rPr>
            </w:pPr>
          </w:p>
        </w:tc>
        <w:tc>
          <w:tcPr>
            <w:tcW w:w="60" w:type="dxa"/>
            <w:vAlign w:val="bottom"/>
            <w:shd w:val="clear" w:color="auto" w:fill="FBF4ED"/>
          </w:tcPr>
          <w:p>
            <w:pPr>
              <w:spacing w:after="0"/>
              <w:rPr>
                <w:sz w:val="14"/>
                <w:szCs w:val="14"/>
                <w:color w:val="auto"/>
              </w:rPr>
            </w:pPr>
          </w:p>
        </w:tc>
        <w:tc>
          <w:tcPr>
            <w:tcW w:w="60" w:type="dxa"/>
            <w:vAlign w:val="bottom"/>
            <w:shd w:val="clear" w:color="auto" w:fill="FBF4ED"/>
          </w:tcPr>
          <w:p>
            <w:pPr>
              <w:spacing w:after="0"/>
              <w:rPr>
                <w:sz w:val="14"/>
                <w:szCs w:val="14"/>
                <w:color w:val="auto"/>
              </w:rPr>
            </w:pPr>
          </w:p>
        </w:tc>
        <w:tc>
          <w:tcPr>
            <w:tcW w:w="1660" w:type="dxa"/>
            <w:vAlign w:val="bottom"/>
            <w:shd w:val="clear" w:color="auto" w:fill="FBF4ED"/>
          </w:tcPr>
          <w:p>
            <w:pPr>
              <w:spacing w:after="0"/>
              <w:rPr>
                <w:sz w:val="14"/>
                <w:szCs w:val="14"/>
                <w:color w:val="auto"/>
              </w:rPr>
            </w:pPr>
          </w:p>
        </w:tc>
        <w:tc>
          <w:tcPr>
            <w:tcW w:w="100" w:type="dxa"/>
            <w:vAlign w:val="bottom"/>
            <w:shd w:val="clear" w:color="auto" w:fill="FBF4ED"/>
          </w:tcPr>
          <w:p>
            <w:pPr>
              <w:spacing w:after="0"/>
              <w:rPr>
                <w:sz w:val="14"/>
                <w:szCs w:val="14"/>
                <w:color w:val="auto"/>
              </w:rPr>
            </w:pPr>
          </w:p>
        </w:tc>
        <w:tc>
          <w:tcPr>
            <w:tcW w:w="1080" w:type="dxa"/>
            <w:vAlign w:val="bottom"/>
            <w:tcBorders>
              <w:right w:val="single" w:sz="8" w:color="DD924E"/>
            </w:tcBorders>
            <w:shd w:val="clear" w:color="auto" w:fill="FBF4ED"/>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20" w:type="dxa"/>
            <w:vAlign w:val="bottom"/>
            <w:tcBorders>
              <w:left w:val="single" w:sz="8" w:color="DD924E"/>
            </w:tcBorders>
            <w:gridSpan w:val="6"/>
          </w:tcPr>
          <w:p>
            <w:pPr>
              <w:ind w:left="60"/>
              <w:spacing w:after="0"/>
              <w:rPr>
                <w:sz w:val="20"/>
                <w:szCs w:val="20"/>
                <w:color w:val="auto"/>
              </w:rPr>
            </w:pPr>
            <w:r>
              <w:rPr>
                <w:rFonts w:ascii="Arial" w:cs="Arial" w:eastAsia="Arial" w:hAnsi="Arial"/>
                <w:sz w:val="15"/>
                <w:szCs w:val="15"/>
                <w:b w:val="1"/>
                <w:bCs w:val="1"/>
                <w:color w:val="auto"/>
              </w:rPr>
              <w:t>NEOs and Directors</w:t>
            </w: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DD924E"/>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60" w:type="dxa"/>
            <w:vAlign w:val="bottom"/>
            <w:tcBorders>
              <w:left w:val="single" w:sz="8" w:color="DD924E"/>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right w:val="single" w:sz="8" w:color="DD924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3620" w:type="dxa"/>
            <w:vAlign w:val="bottom"/>
            <w:tcBorders>
              <w:left w:val="single" w:sz="8" w:color="DD924E"/>
            </w:tcBorders>
            <w:gridSpan w:val="6"/>
            <w:shd w:val="clear" w:color="auto" w:fill="FBF4ED"/>
          </w:tcPr>
          <w:p>
            <w:pPr>
              <w:ind w:left="60"/>
              <w:spacing w:after="0"/>
              <w:rPr>
                <w:sz w:val="20"/>
                <w:szCs w:val="20"/>
                <w:color w:val="auto"/>
              </w:rPr>
            </w:pPr>
            <w:r>
              <w:rPr>
                <w:rFonts w:ascii="Arial" w:cs="Arial" w:eastAsia="Arial" w:hAnsi="Arial"/>
                <w:sz w:val="15"/>
                <w:szCs w:val="15"/>
                <w:color w:val="auto"/>
              </w:rPr>
              <w:t>Pavan Bagai</w:t>
            </w:r>
          </w:p>
        </w:tc>
        <w:tc>
          <w:tcPr>
            <w:tcW w:w="940" w:type="dxa"/>
            <w:vAlign w:val="bottom"/>
            <w:shd w:val="clear" w:color="auto" w:fill="FBF4ED"/>
          </w:tcPr>
          <w:p>
            <w:pPr>
              <w:jc w:val="right"/>
              <w:spacing w:after="0"/>
              <w:rPr>
                <w:sz w:val="20"/>
                <w:szCs w:val="20"/>
                <w:color w:val="auto"/>
              </w:rPr>
            </w:pPr>
            <w:r>
              <w:rPr>
                <w:rFonts w:ascii="Arial" w:cs="Arial" w:eastAsia="Arial" w:hAnsi="Arial"/>
                <w:sz w:val="15"/>
                <w:szCs w:val="15"/>
                <w:color w:val="auto"/>
              </w:rPr>
              <w:t>64,916</w:t>
            </w:r>
          </w:p>
        </w:tc>
        <w:tc>
          <w:tcPr>
            <w:tcW w:w="320" w:type="dxa"/>
            <w:vAlign w:val="bottom"/>
            <w:shd w:val="clear" w:color="auto" w:fill="FBF4ED"/>
          </w:tcPr>
          <w:p>
            <w:pPr>
              <w:spacing w:after="0"/>
              <w:rPr>
                <w:sz w:val="20"/>
                <w:szCs w:val="20"/>
                <w:color w:val="auto"/>
              </w:rPr>
            </w:pPr>
          </w:p>
        </w:tc>
        <w:tc>
          <w:tcPr>
            <w:tcW w:w="96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FBF4ED"/>
          </w:tcPr>
          <w:p>
            <w:pPr>
              <w:spacing w:after="0"/>
              <w:rPr>
                <w:sz w:val="20"/>
                <w:szCs w:val="20"/>
                <w:color w:val="auto"/>
              </w:rPr>
            </w:pPr>
          </w:p>
        </w:tc>
        <w:tc>
          <w:tcPr>
            <w:tcW w:w="60" w:type="dxa"/>
            <w:vAlign w:val="bottom"/>
            <w:shd w:val="clear" w:color="auto" w:fill="FBF4ED"/>
          </w:tcPr>
          <w:p>
            <w:pPr>
              <w:spacing w:after="0"/>
              <w:rPr>
                <w:sz w:val="20"/>
                <w:szCs w:val="20"/>
                <w:color w:val="auto"/>
              </w:rPr>
            </w:pPr>
          </w:p>
        </w:tc>
        <w:tc>
          <w:tcPr>
            <w:tcW w:w="166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right w:val="single" w:sz="8" w:color="DD924E"/>
            </w:tcBorders>
            <w:gridSpan w:val="2"/>
            <w:shd w:val="clear" w:color="auto" w:fill="FBF4ED"/>
          </w:tcPr>
          <w:p>
            <w:pPr>
              <w:jc w:val="right"/>
              <w:ind w:right="3"/>
              <w:spacing w:after="0"/>
              <w:rPr>
                <w:sz w:val="20"/>
                <w:szCs w:val="20"/>
                <w:color w:val="auto"/>
              </w:rPr>
            </w:pPr>
            <w:r>
              <w:rPr>
                <w:rFonts w:ascii="Arial" w:cs="Arial" w:eastAsia="Arial" w:hAnsi="Arial"/>
                <w:sz w:val="15"/>
                <w:szCs w:val="15"/>
                <w:color w:val="auto"/>
              </w:rPr>
              <w:t>64,916</w:t>
            </w:r>
          </w:p>
        </w:tc>
        <w:tc>
          <w:tcPr>
            <w:tcW w:w="0" w:type="dxa"/>
            <w:vAlign w:val="bottom"/>
          </w:tcPr>
          <w:p>
            <w:pPr>
              <w:spacing w:after="0"/>
              <w:rPr>
                <w:sz w:val="1"/>
                <w:szCs w:val="1"/>
                <w:color w:val="auto"/>
              </w:rPr>
            </w:pPr>
          </w:p>
        </w:tc>
      </w:tr>
      <w:tr>
        <w:trPr>
          <w:trHeight w:val="231"/>
        </w:trPr>
        <w:tc>
          <w:tcPr>
            <w:tcW w:w="3620" w:type="dxa"/>
            <w:vAlign w:val="bottom"/>
            <w:tcBorders>
              <w:left w:val="single" w:sz="8" w:color="DD924E"/>
            </w:tcBorders>
            <w:gridSpan w:val="6"/>
          </w:tcPr>
          <w:p>
            <w:pPr>
              <w:ind w:left="60"/>
              <w:spacing w:after="0"/>
              <w:rPr>
                <w:sz w:val="20"/>
                <w:szCs w:val="20"/>
                <w:color w:val="auto"/>
              </w:rPr>
            </w:pPr>
            <w:r>
              <w:rPr>
                <w:rFonts w:ascii="Arial" w:cs="Arial" w:eastAsia="Arial" w:hAnsi="Arial"/>
                <w:sz w:val="15"/>
                <w:szCs w:val="15"/>
                <w:color w:val="auto"/>
              </w:rPr>
              <w:t>Vishal Chhibbar</w:t>
            </w:r>
          </w:p>
        </w:tc>
        <w:tc>
          <w:tcPr>
            <w:tcW w:w="1260" w:type="dxa"/>
            <w:vAlign w:val="bottom"/>
            <w:gridSpan w:val="2"/>
          </w:tcPr>
          <w:p>
            <w:pPr>
              <w:jc w:val="right"/>
              <w:ind w:right="180"/>
              <w:spacing w:after="0" w:line="231" w:lineRule="exact"/>
              <w:rPr>
                <w:sz w:val="20"/>
                <w:szCs w:val="20"/>
                <w:color w:val="auto"/>
              </w:rPr>
            </w:pPr>
            <w:r>
              <w:rPr>
                <w:rFonts w:ascii="Arial" w:cs="Arial" w:eastAsia="Arial" w:hAnsi="Arial"/>
                <w:sz w:val="15"/>
                <w:szCs w:val="15"/>
                <w:color w:val="auto"/>
              </w:rPr>
              <w:t>47,361</w:t>
            </w:r>
            <w:r>
              <w:rPr>
                <w:rFonts w:ascii="Arial" w:cs="Arial" w:eastAsia="Arial" w:hAnsi="Arial"/>
                <w:sz w:val="23"/>
                <w:szCs w:val="23"/>
                <w:color w:val="auto"/>
                <w:vertAlign w:val="superscript"/>
              </w:rPr>
              <w:t>(7)</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right w:val="single" w:sz="8" w:color="DD924E"/>
            </w:tcBorders>
            <w:gridSpan w:val="2"/>
          </w:tcPr>
          <w:p>
            <w:pPr>
              <w:jc w:val="right"/>
              <w:ind w:right="3"/>
              <w:spacing w:after="0"/>
              <w:rPr>
                <w:sz w:val="20"/>
                <w:szCs w:val="20"/>
                <w:color w:val="auto"/>
              </w:rPr>
            </w:pPr>
            <w:r>
              <w:rPr>
                <w:rFonts w:ascii="Arial" w:cs="Arial" w:eastAsia="Arial" w:hAnsi="Arial"/>
                <w:sz w:val="15"/>
                <w:szCs w:val="15"/>
                <w:color w:val="auto"/>
              </w:rPr>
              <w:t>47,361</w:t>
            </w:r>
          </w:p>
        </w:tc>
        <w:tc>
          <w:tcPr>
            <w:tcW w:w="0" w:type="dxa"/>
            <w:vAlign w:val="bottom"/>
          </w:tcPr>
          <w:p>
            <w:pPr>
              <w:spacing w:after="0"/>
              <w:rPr>
                <w:sz w:val="1"/>
                <w:szCs w:val="1"/>
                <w:color w:val="auto"/>
              </w:rPr>
            </w:pPr>
          </w:p>
        </w:tc>
      </w:tr>
      <w:tr>
        <w:trPr>
          <w:trHeight w:val="231"/>
        </w:trPr>
        <w:tc>
          <w:tcPr>
            <w:tcW w:w="3620" w:type="dxa"/>
            <w:vAlign w:val="bottom"/>
            <w:tcBorders>
              <w:left w:val="single" w:sz="8" w:color="DD924E"/>
            </w:tcBorders>
            <w:gridSpan w:val="6"/>
            <w:shd w:val="clear" w:color="auto" w:fill="FBF4ED"/>
          </w:tcPr>
          <w:p>
            <w:pPr>
              <w:ind w:left="60"/>
              <w:spacing w:after="0"/>
              <w:rPr>
                <w:sz w:val="20"/>
                <w:szCs w:val="20"/>
                <w:color w:val="auto"/>
              </w:rPr>
            </w:pPr>
            <w:r>
              <w:rPr>
                <w:rFonts w:ascii="Arial" w:cs="Arial" w:eastAsia="Arial" w:hAnsi="Arial"/>
                <w:sz w:val="15"/>
                <w:szCs w:val="15"/>
                <w:color w:val="auto"/>
              </w:rPr>
              <w:t>Rohit Kapoor</w:t>
            </w:r>
          </w:p>
        </w:tc>
        <w:tc>
          <w:tcPr>
            <w:tcW w:w="1260" w:type="dxa"/>
            <w:vAlign w:val="bottom"/>
            <w:gridSpan w:val="2"/>
            <w:shd w:val="clear" w:color="auto" w:fill="FBF4ED"/>
          </w:tcPr>
          <w:p>
            <w:pPr>
              <w:jc w:val="right"/>
              <w:ind w:right="180"/>
              <w:spacing w:after="0" w:line="231" w:lineRule="exact"/>
              <w:rPr>
                <w:sz w:val="20"/>
                <w:szCs w:val="20"/>
                <w:color w:val="auto"/>
              </w:rPr>
            </w:pPr>
            <w:r>
              <w:rPr>
                <w:rFonts w:ascii="Arial" w:cs="Arial" w:eastAsia="Arial" w:hAnsi="Arial"/>
                <w:sz w:val="15"/>
                <w:szCs w:val="15"/>
                <w:color w:val="auto"/>
              </w:rPr>
              <w:t>1,216,865</w:t>
            </w:r>
            <w:r>
              <w:rPr>
                <w:rFonts w:ascii="Arial" w:cs="Arial" w:eastAsia="Arial" w:hAnsi="Arial"/>
                <w:sz w:val="23"/>
                <w:szCs w:val="23"/>
                <w:color w:val="auto"/>
                <w:vertAlign w:val="superscript"/>
              </w:rPr>
              <w:t>(8)</w:t>
            </w:r>
          </w:p>
        </w:tc>
        <w:tc>
          <w:tcPr>
            <w:tcW w:w="960" w:type="dxa"/>
            <w:vAlign w:val="bottom"/>
            <w:shd w:val="clear" w:color="auto" w:fill="FBF4ED"/>
          </w:tcPr>
          <w:p>
            <w:pPr>
              <w:jc w:val="right"/>
              <w:spacing w:after="0"/>
              <w:rPr>
                <w:sz w:val="20"/>
                <w:szCs w:val="20"/>
                <w:color w:val="auto"/>
              </w:rPr>
            </w:pPr>
            <w:r>
              <w:rPr>
                <w:rFonts w:ascii="Arial" w:cs="Arial" w:eastAsia="Arial" w:hAnsi="Arial"/>
                <w:sz w:val="15"/>
                <w:szCs w:val="15"/>
                <w:color w:val="auto"/>
              </w:rPr>
              <w:t>3.5</w:t>
            </w:r>
          </w:p>
        </w:tc>
        <w:tc>
          <w:tcPr>
            <w:tcW w:w="60" w:type="dxa"/>
            <w:vAlign w:val="bottom"/>
            <w:shd w:val="clear" w:color="auto" w:fill="FBF4ED"/>
          </w:tcPr>
          <w:p>
            <w:pPr>
              <w:spacing w:after="0"/>
              <w:rPr>
                <w:sz w:val="20"/>
                <w:szCs w:val="20"/>
                <w:color w:val="auto"/>
              </w:rPr>
            </w:pPr>
          </w:p>
        </w:tc>
        <w:tc>
          <w:tcPr>
            <w:tcW w:w="60" w:type="dxa"/>
            <w:vAlign w:val="bottom"/>
            <w:shd w:val="clear" w:color="auto" w:fill="FBF4ED"/>
          </w:tcPr>
          <w:p>
            <w:pPr>
              <w:spacing w:after="0"/>
              <w:rPr>
                <w:sz w:val="20"/>
                <w:szCs w:val="20"/>
                <w:color w:val="auto"/>
              </w:rPr>
            </w:pPr>
          </w:p>
        </w:tc>
        <w:tc>
          <w:tcPr>
            <w:tcW w:w="166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right w:val="single" w:sz="8" w:color="DD924E"/>
            </w:tcBorders>
            <w:gridSpan w:val="2"/>
            <w:shd w:val="clear" w:color="auto" w:fill="FBF4ED"/>
          </w:tcPr>
          <w:p>
            <w:pPr>
              <w:jc w:val="right"/>
              <w:ind w:right="3"/>
              <w:spacing w:after="0"/>
              <w:rPr>
                <w:sz w:val="20"/>
                <w:szCs w:val="20"/>
                <w:color w:val="auto"/>
              </w:rPr>
            </w:pPr>
            <w:r>
              <w:rPr>
                <w:rFonts w:ascii="Arial" w:cs="Arial" w:eastAsia="Arial" w:hAnsi="Arial"/>
                <w:sz w:val="15"/>
                <w:szCs w:val="15"/>
                <w:color w:val="auto"/>
              </w:rPr>
              <w:t>1,216,865</w:t>
            </w:r>
          </w:p>
        </w:tc>
        <w:tc>
          <w:tcPr>
            <w:tcW w:w="0" w:type="dxa"/>
            <w:vAlign w:val="bottom"/>
          </w:tcPr>
          <w:p>
            <w:pPr>
              <w:spacing w:after="0"/>
              <w:rPr>
                <w:sz w:val="1"/>
                <w:szCs w:val="1"/>
                <w:color w:val="auto"/>
              </w:rPr>
            </w:pPr>
          </w:p>
        </w:tc>
      </w:tr>
      <w:tr>
        <w:trPr>
          <w:trHeight w:val="222"/>
        </w:trPr>
        <w:tc>
          <w:tcPr>
            <w:tcW w:w="3620" w:type="dxa"/>
            <w:vAlign w:val="bottom"/>
            <w:tcBorders>
              <w:left w:val="single" w:sz="8" w:color="DD924E"/>
            </w:tcBorders>
            <w:gridSpan w:val="6"/>
          </w:tcPr>
          <w:p>
            <w:pPr>
              <w:ind w:left="60"/>
              <w:spacing w:after="0"/>
              <w:rPr>
                <w:sz w:val="20"/>
                <w:szCs w:val="20"/>
                <w:color w:val="auto"/>
              </w:rPr>
            </w:pPr>
            <w:r>
              <w:rPr>
                <w:rFonts w:ascii="Arial" w:cs="Arial" w:eastAsia="Arial" w:hAnsi="Arial"/>
                <w:sz w:val="15"/>
                <w:szCs w:val="15"/>
                <w:color w:val="auto"/>
              </w:rPr>
              <w:t>Nalin Miglani</w:t>
            </w:r>
          </w:p>
        </w:tc>
        <w:tc>
          <w:tcPr>
            <w:tcW w:w="126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080" w:type="dxa"/>
            <w:vAlign w:val="bottom"/>
            <w:tcBorders>
              <w:right w:val="single" w:sz="8" w:color="DD924E"/>
            </w:tcBorders>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0"/>
        </w:trPr>
        <w:tc>
          <w:tcPr>
            <w:tcW w:w="3620" w:type="dxa"/>
            <w:vAlign w:val="bottom"/>
            <w:tcBorders>
              <w:left w:val="single" w:sz="8" w:color="DD924E"/>
            </w:tcBorders>
            <w:gridSpan w:val="6"/>
            <w:shd w:val="clear" w:color="auto" w:fill="FBF4ED"/>
          </w:tcPr>
          <w:p>
            <w:pPr>
              <w:ind w:left="60"/>
              <w:spacing w:after="0"/>
              <w:rPr>
                <w:sz w:val="20"/>
                <w:szCs w:val="20"/>
                <w:color w:val="auto"/>
              </w:rPr>
            </w:pPr>
            <w:r>
              <w:rPr>
                <w:rFonts w:ascii="Arial" w:cs="Arial" w:eastAsia="Arial" w:hAnsi="Arial"/>
                <w:sz w:val="15"/>
                <w:szCs w:val="15"/>
                <w:color w:val="auto"/>
              </w:rPr>
              <w:t>Nagaraja Srivatsan</w:t>
            </w:r>
          </w:p>
        </w:tc>
        <w:tc>
          <w:tcPr>
            <w:tcW w:w="940" w:type="dxa"/>
            <w:vAlign w:val="bottom"/>
            <w:shd w:val="clear" w:color="auto" w:fill="FBF4ED"/>
          </w:tcPr>
          <w:p>
            <w:pPr>
              <w:jc w:val="right"/>
              <w:spacing w:after="0"/>
              <w:rPr>
                <w:sz w:val="20"/>
                <w:szCs w:val="20"/>
                <w:color w:val="auto"/>
              </w:rPr>
            </w:pPr>
            <w:r>
              <w:rPr>
                <w:rFonts w:ascii="Arial" w:cs="Arial" w:eastAsia="Arial" w:hAnsi="Arial"/>
                <w:sz w:val="15"/>
                <w:szCs w:val="15"/>
                <w:color w:val="auto"/>
              </w:rPr>
              <w:t>3,896</w:t>
            </w:r>
          </w:p>
        </w:tc>
        <w:tc>
          <w:tcPr>
            <w:tcW w:w="320" w:type="dxa"/>
            <w:vAlign w:val="bottom"/>
            <w:shd w:val="clear" w:color="auto" w:fill="FBF4ED"/>
          </w:tcPr>
          <w:p>
            <w:pPr>
              <w:spacing w:after="0"/>
              <w:rPr>
                <w:sz w:val="20"/>
                <w:szCs w:val="20"/>
                <w:color w:val="auto"/>
              </w:rPr>
            </w:pPr>
          </w:p>
        </w:tc>
        <w:tc>
          <w:tcPr>
            <w:tcW w:w="96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FBF4ED"/>
          </w:tcPr>
          <w:p>
            <w:pPr>
              <w:spacing w:after="0"/>
              <w:rPr>
                <w:sz w:val="20"/>
                <w:szCs w:val="20"/>
                <w:color w:val="auto"/>
              </w:rPr>
            </w:pPr>
          </w:p>
        </w:tc>
        <w:tc>
          <w:tcPr>
            <w:tcW w:w="60" w:type="dxa"/>
            <w:vAlign w:val="bottom"/>
            <w:shd w:val="clear" w:color="auto" w:fill="FBF4ED"/>
          </w:tcPr>
          <w:p>
            <w:pPr>
              <w:spacing w:after="0"/>
              <w:rPr>
                <w:sz w:val="20"/>
                <w:szCs w:val="20"/>
                <w:color w:val="auto"/>
              </w:rPr>
            </w:pPr>
          </w:p>
        </w:tc>
        <w:tc>
          <w:tcPr>
            <w:tcW w:w="166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right w:val="single" w:sz="8" w:color="DD924E"/>
            </w:tcBorders>
            <w:gridSpan w:val="2"/>
            <w:shd w:val="clear" w:color="auto" w:fill="FBF4ED"/>
          </w:tcPr>
          <w:p>
            <w:pPr>
              <w:jc w:val="right"/>
              <w:ind w:right="3"/>
              <w:spacing w:after="0"/>
              <w:rPr>
                <w:sz w:val="20"/>
                <w:szCs w:val="20"/>
                <w:color w:val="auto"/>
              </w:rPr>
            </w:pPr>
            <w:r>
              <w:rPr>
                <w:rFonts w:ascii="Arial" w:cs="Arial" w:eastAsia="Arial" w:hAnsi="Arial"/>
                <w:sz w:val="15"/>
                <w:szCs w:val="15"/>
                <w:color w:val="auto"/>
              </w:rPr>
              <w:t>3,896</w:t>
            </w:r>
          </w:p>
        </w:tc>
        <w:tc>
          <w:tcPr>
            <w:tcW w:w="0" w:type="dxa"/>
            <w:vAlign w:val="bottom"/>
          </w:tcPr>
          <w:p>
            <w:pPr>
              <w:spacing w:after="0"/>
              <w:rPr>
                <w:sz w:val="1"/>
                <w:szCs w:val="1"/>
                <w:color w:val="auto"/>
              </w:rPr>
            </w:pPr>
          </w:p>
        </w:tc>
      </w:tr>
      <w:tr>
        <w:trPr>
          <w:trHeight w:val="231"/>
        </w:trPr>
        <w:tc>
          <w:tcPr>
            <w:tcW w:w="3620" w:type="dxa"/>
            <w:vAlign w:val="bottom"/>
            <w:tcBorders>
              <w:left w:val="single" w:sz="8" w:color="DD924E"/>
            </w:tcBorders>
            <w:gridSpan w:val="6"/>
          </w:tcPr>
          <w:p>
            <w:pPr>
              <w:ind w:left="60"/>
              <w:spacing w:after="0"/>
              <w:rPr>
                <w:sz w:val="20"/>
                <w:szCs w:val="20"/>
                <w:color w:val="auto"/>
              </w:rPr>
            </w:pPr>
            <w:r>
              <w:rPr>
                <w:rFonts w:ascii="Arial" w:cs="Arial" w:eastAsia="Arial" w:hAnsi="Arial"/>
                <w:sz w:val="15"/>
                <w:szCs w:val="15"/>
                <w:color w:val="auto"/>
              </w:rPr>
              <w:t>David B. Kelso</w:t>
            </w:r>
          </w:p>
        </w:tc>
        <w:tc>
          <w:tcPr>
            <w:tcW w:w="1260" w:type="dxa"/>
            <w:vAlign w:val="bottom"/>
            <w:gridSpan w:val="2"/>
          </w:tcPr>
          <w:p>
            <w:pPr>
              <w:jc w:val="right"/>
              <w:ind w:right="180"/>
              <w:spacing w:after="0" w:line="231" w:lineRule="exact"/>
              <w:rPr>
                <w:sz w:val="20"/>
                <w:szCs w:val="20"/>
                <w:color w:val="auto"/>
              </w:rPr>
            </w:pPr>
            <w:r>
              <w:rPr>
                <w:rFonts w:ascii="Arial" w:cs="Arial" w:eastAsia="Arial" w:hAnsi="Arial"/>
                <w:sz w:val="15"/>
                <w:szCs w:val="15"/>
                <w:color w:val="auto"/>
              </w:rPr>
              <w:t>26,294</w:t>
            </w:r>
            <w:r>
              <w:rPr>
                <w:rFonts w:ascii="Arial" w:cs="Arial" w:eastAsia="Arial" w:hAnsi="Arial"/>
                <w:sz w:val="23"/>
                <w:szCs w:val="23"/>
                <w:color w:val="auto"/>
                <w:vertAlign w:val="superscript"/>
              </w:rPr>
              <w:t>(9)</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38,061</w:t>
            </w:r>
          </w:p>
        </w:tc>
        <w:tc>
          <w:tcPr>
            <w:tcW w:w="1180" w:type="dxa"/>
            <w:vAlign w:val="bottom"/>
            <w:tcBorders>
              <w:right w:val="single" w:sz="8" w:color="DD924E"/>
            </w:tcBorders>
            <w:gridSpan w:val="2"/>
          </w:tcPr>
          <w:p>
            <w:pPr>
              <w:jc w:val="right"/>
              <w:ind w:right="3"/>
              <w:spacing w:after="0"/>
              <w:rPr>
                <w:sz w:val="20"/>
                <w:szCs w:val="20"/>
                <w:color w:val="auto"/>
              </w:rPr>
            </w:pPr>
            <w:r>
              <w:rPr>
                <w:rFonts w:ascii="Arial" w:cs="Arial" w:eastAsia="Arial" w:hAnsi="Arial"/>
                <w:sz w:val="15"/>
                <w:szCs w:val="15"/>
                <w:color w:val="auto"/>
              </w:rPr>
              <w:t>64,355</w:t>
            </w:r>
          </w:p>
        </w:tc>
        <w:tc>
          <w:tcPr>
            <w:tcW w:w="0" w:type="dxa"/>
            <w:vAlign w:val="bottom"/>
          </w:tcPr>
          <w:p>
            <w:pPr>
              <w:spacing w:after="0"/>
              <w:rPr>
                <w:sz w:val="1"/>
                <w:szCs w:val="1"/>
                <w:color w:val="auto"/>
              </w:rPr>
            </w:pPr>
          </w:p>
        </w:tc>
      </w:tr>
      <w:tr>
        <w:trPr>
          <w:trHeight w:val="231"/>
        </w:trPr>
        <w:tc>
          <w:tcPr>
            <w:tcW w:w="3620" w:type="dxa"/>
            <w:vAlign w:val="bottom"/>
            <w:tcBorders>
              <w:left w:val="single" w:sz="8" w:color="DD924E"/>
            </w:tcBorders>
            <w:gridSpan w:val="6"/>
            <w:shd w:val="clear" w:color="auto" w:fill="FBF4ED"/>
          </w:tcPr>
          <w:p>
            <w:pPr>
              <w:ind w:left="60"/>
              <w:spacing w:after="0"/>
              <w:rPr>
                <w:sz w:val="20"/>
                <w:szCs w:val="20"/>
                <w:color w:val="auto"/>
              </w:rPr>
            </w:pPr>
            <w:r>
              <w:rPr>
                <w:rFonts w:ascii="Arial" w:cs="Arial" w:eastAsia="Arial" w:hAnsi="Arial"/>
                <w:sz w:val="15"/>
                <w:szCs w:val="15"/>
                <w:color w:val="auto"/>
              </w:rPr>
              <w:t>Deborah Kerr</w:t>
            </w:r>
          </w:p>
        </w:tc>
        <w:tc>
          <w:tcPr>
            <w:tcW w:w="1260" w:type="dxa"/>
            <w:vAlign w:val="bottom"/>
            <w:gridSpan w:val="2"/>
            <w:shd w:val="clear" w:color="auto" w:fill="FBF4ED"/>
          </w:tcPr>
          <w:p>
            <w:pPr>
              <w:jc w:val="right"/>
              <w:ind w:right="34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FBF4ED"/>
          </w:tcPr>
          <w:p>
            <w:pPr>
              <w:jc w:val="right"/>
              <w:ind w:right="60"/>
              <w:spacing w:after="0"/>
              <w:rPr>
                <w:sz w:val="20"/>
                <w:szCs w:val="20"/>
                <w:color w:val="auto"/>
              </w:rPr>
            </w:pPr>
            <w:r>
              <w:rPr>
                <w:rFonts w:ascii="Arial" w:cs="Arial" w:eastAsia="Arial" w:hAnsi="Arial"/>
                <w:sz w:val="15"/>
                <w:szCs w:val="15"/>
                <w:color w:val="auto"/>
              </w:rPr>
              <w:t>—</w:t>
            </w:r>
          </w:p>
        </w:tc>
        <w:tc>
          <w:tcPr>
            <w:tcW w:w="1720" w:type="dxa"/>
            <w:vAlign w:val="bottom"/>
            <w:gridSpan w:val="2"/>
            <w:shd w:val="clear" w:color="auto" w:fill="FBF4ED"/>
          </w:tcPr>
          <w:p>
            <w:pPr>
              <w:jc w:val="right"/>
              <w:spacing w:after="0"/>
              <w:rPr>
                <w:sz w:val="20"/>
                <w:szCs w:val="20"/>
                <w:color w:val="auto"/>
              </w:rPr>
            </w:pPr>
            <w:r>
              <w:rPr>
                <w:rFonts w:ascii="Arial" w:cs="Arial" w:eastAsia="Arial" w:hAnsi="Arial"/>
                <w:sz w:val="15"/>
                <w:szCs w:val="15"/>
                <w:color w:val="auto"/>
              </w:rPr>
              <w:t>6,416</w:t>
            </w:r>
          </w:p>
        </w:tc>
        <w:tc>
          <w:tcPr>
            <w:tcW w:w="1180" w:type="dxa"/>
            <w:vAlign w:val="bottom"/>
            <w:tcBorders>
              <w:right w:val="single" w:sz="8" w:color="DD924E"/>
            </w:tcBorders>
            <w:gridSpan w:val="2"/>
            <w:shd w:val="clear" w:color="auto" w:fill="FBF4ED"/>
          </w:tcPr>
          <w:p>
            <w:pPr>
              <w:jc w:val="right"/>
              <w:ind w:right="3"/>
              <w:spacing w:after="0"/>
              <w:rPr>
                <w:sz w:val="20"/>
                <w:szCs w:val="20"/>
                <w:color w:val="auto"/>
              </w:rPr>
            </w:pPr>
            <w:r>
              <w:rPr>
                <w:rFonts w:ascii="Arial" w:cs="Arial" w:eastAsia="Arial" w:hAnsi="Arial"/>
                <w:sz w:val="15"/>
                <w:szCs w:val="15"/>
                <w:color w:val="auto"/>
              </w:rPr>
              <w:t>6,416</w:t>
            </w:r>
          </w:p>
        </w:tc>
        <w:tc>
          <w:tcPr>
            <w:tcW w:w="0" w:type="dxa"/>
            <w:vAlign w:val="bottom"/>
          </w:tcPr>
          <w:p>
            <w:pPr>
              <w:spacing w:after="0"/>
              <w:rPr>
                <w:sz w:val="1"/>
                <w:szCs w:val="1"/>
                <w:color w:val="auto"/>
              </w:rPr>
            </w:pPr>
          </w:p>
        </w:tc>
      </w:tr>
      <w:tr>
        <w:trPr>
          <w:trHeight w:val="231"/>
        </w:trPr>
        <w:tc>
          <w:tcPr>
            <w:tcW w:w="3620" w:type="dxa"/>
            <w:vAlign w:val="bottom"/>
            <w:tcBorders>
              <w:left w:val="single" w:sz="8" w:color="DD924E"/>
            </w:tcBorders>
            <w:gridSpan w:val="6"/>
          </w:tcPr>
          <w:p>
            <w:pPr>
              <w:ind w:left="60"/>
              <w:spacing w:after="0"/>
              <w:rPr>
                <w:sz w:val="20"/>
                <w:szCs w:val="20"/>
                <w:color w:val="auto"/>
              </w:rPr>
            </w:pPr>
            <w:r>
              <w:rPr>
                <w:rFonts w:ascii="Arial" w:cs="Arial" w:eastAsia="Arial" w:hAnsi="Arial"/>
                <w:sz w:val="15"/>
                <w:szCs w:val="15"/>
                <w:color w:val="auto"/>
              </w:rPr>
              <w:t>Anne E. Minto</w:t>
            </w:r>
          </w:p>
        </w:tc>
        <w:tc>
          <w:tcPr>
            <w:tcW w:w="1260" w:type="dxa"/>
            <w:vAlign w:val="bottom"/>
            <w:gridSpan w:val="2"/>
          </w:tcPr>
          <w:p>
            <w:pPr>
              <w:jc w:val="right"/>
              <w:ind w:right="120"/>
              <w:spacing w:after="0" w:line="231" w:lineRule="exact"/>
              <w:rPr>
                <w:sz w:val="20"/>
                <w:szCs w:val="20"/>
                <w:color w:val="auto"/>
              </w:rPr>
            </w:pPr>
            <w:r>
              <w:rPr>
                <w:rFonts w:ascii="Arial" w:cs="Arial" w:eastAsia="Arial" w:hAnsi="Arial"/>
                <w:sz w:val="15"/>
                <w:szCs w:val="15"/>
                <w:color w:val="auto"/>
              </w:rPr>
              <w:t>3,093</w:t>
            </w:r>
            <w:r>
              <w:rPr>
                <w:rFonts w:ascii="Arial" w:cs="Arial" w:eastAsia="Arial" w:hAnsi="Arial"/>
                <w:sz w:val="23"/>
                <w:szCs w:val="23"/>
                <w:color w:val="auto"/>
                <w:vertAlign w:val="superscript"/>
              </w:rPr>
              <w:t>(10)</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13,567</w:t>
            </w:r>
          </w:p>
        </w:tc>
        <w:tc>
          <w:tcPr>
            <w:tcW w:w="1180" w:type="dxa"/>
            <w:vAlign w:val="bottom"/>
            <w:tcBorders>
              <w:right w:val="single" w:sz="8" w:color="DD924E"/>
            </w:tcBorders>
            <w:gridSpan w:val="2"/>
          </w:tcPr>
          <w:p>
            <w:pPr>
              <w:jc w:val="right"/>
              <w:ind w:right="3"/>
              <w:spacing w:after="0"/>
              <w:rPr>
                <w:sz w:val="20"/>
                <w:szCs w:val="20"/>
                <w:color w:val="auto"/>
              </w:rPr>
            </w:pPr>
            <w:r>
              <w:rPr>
                <w:rFonts w:ascii="Arial" w:cs="Arial" w:eastAsia="Arial" w:hAnsi="Arial"/>
                <w:sz w:val="15"/>
                <w:szCs w:val="15"/>
                <w:color w:val="auto"/>
              </w:rPr>
              <w:t>16,660</w:t>
            </w:r>
          </w:p>
        </w:tc>
        <w:tc>
          <w:tcPr>
            <w:tcW w:w="0" w:type="dxa"/>
            <w:vAlign w:val="bottom"/>
          </w:tcPr>
          <w:p>
            <w:pPr>
              <w:spacing w:after="0"/>
              <w:rPr>
                <w:sz w:val="1"/>
                <w:szCs w:val="1"/>
                <w:color w:val="auto"/>
              </w:rPr>
            </w:pPr>
          </w:p>
        </w:tc>
      </w:tr>
      <w:tr>
        <w:trPr>
          <w:trHeight w:val="231"/>
        </w:trPr>
        <w:tc>
          <w:tcPr>
            <w:tcW w:w="3620" w:type="dxa"/>
            <w:vAlign w:val="bottom"/>
            <w:tcBorders>
              <w:left w:val="single" w:sz="8" w:color="DD924E"/>
            </w:tcBorders>
            <w:gridSpan w:val="6"/>
            <w:shd w:val="clear" w:color="auto" w:fill="FBF4ED"/>
          </w:tcPr>
          <w:p>
            <w:pPr>
              <w:ind w:left="60"/>
              <w:spacing w:after="0"/>
              <w:rPr>
                <w:sz w:val="20"/>
                <w:szCs w:val="20"/>
                <w:color w:val="auto"/>
              </w:rPr>
            </w:pPr>
            <w:r>
              <w:rPr>
                <w:rFonts w:ascii="Arial" w:cs="Arial" w:eastAsia="Arial" w:hAnsi="Arial"/>
                <w:sz w:val="15"/>
                <w:szCs w:val="15"/>
                <w:color w:val="auto"/>
              </w:rPr>
              <w:t>Som Mittal</w:t>
            </w:r>
          </w:p>
        </w:tc>
        <w:tc>
          <w:tcPr>
            <w:tcW w:w="940" w:type="dxa"/>
            <w:vAlign w:val="bottom"/>
            <w:shd w:val="clear" w:color="auto" w:fill="FBF4ED"/>
          </w:tcPr>
          <w:p>
            <w:pPr>
              <w:jc w:val="right"/>
              <w:spacing w:after="0"/>
              <w:rPr>
                <w:sz w:val="20"/>
                <w:szCs w:val="20"/>
                <w:color w:val="auto"/>
              </w:rPr>
            </w:pPr>
            <w:r>
              <w:rPr>
                <w:rFonts w:ascii="Arial" w:cs="Arial" w:eastAsia="Arial" w:hAnsi="Arial"/>
                <w:sz w:val="15"/>
                <w:szCs w:val="15"/>
                <w:color w:val="auto"/>
              </w:rPr>
              <w:t>1,946</w:t>
            </w:r>
          </w:p>
        </w:tc>
        <w:tc>
          <w:tcPr>
            <w:tcW w:w="320" w:type="dxa"/>
            <w:vAlign w:val="bottom"/>
            <w:shd w:val="clear" w:color="auto" w:fill="FBF4ED"/>
          </w:tcPr>
          <w:p>
            <w:pPr>
              <w:spacing w:after="0"/>
              <w:rPr>
                <w:sz w:val="20"/>
                <w:szCs w:val="20"/>
                <w:color w:val="auto"/>
              </w:rPr>
            </w:pPr>
          </w:p>
        </w:tc>
        <w:tc>
          <w:tcPr>
            <w:tcW w:w="960" w:type="dxa"/>
            <w:vAlign w:val="bottom"/>
            <w:shd w:val="clear" w:color="auto" w:fill="FBF4ED"/>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FBF4ED"/>
          </w:tcPr>
          <w:p>
            <w:pPr>
              <w:spacing w:after="0"/>
              <w:rPr>
                <w:sz w:val="20"/>
                <w:szCs w:val="20"/>
                <w:color w:val="auto"/>
              </w:rPr>
            </w:pPr>
          </w:p>
        </w:tc>
        <w:tc>
          <w:tcPr>
            <w:tcW w:w="1720" w:type="dxa"/>
            <w:vAlign w:val="bottom"/>
            <w:gridSpan w:val="2"/>
            <w:shd w:val="clear" w:color="auto" w:fill="FBF4ED"/>
          </w:tcPr>
          <w:p>
            <w:pPr>
              <w:jc w:val="right"/>
              <w:spacing w:after="0"/>
              <w:rPr>
                <w:sz w:val="20"/>
                <w:szCs w:val="20"/>
                <w:color w:val="auto"/>
              </w:rPr>
            </w:pPr>
            <w:r>
              <w:rPr>
                <w:rFonts w:ascii="Arial" w:cs="Arial" w:eastAsia="Arial" w:hAnsi="Arial"/>
                <w:sz w:val="15"/>
                <w:szCs w:val="15"/>
                <w:color w:val="auto"/>
              </w:rPr>
              <w:t>8,874</w:t>
            </w:r>
          </w:p>
        </w:tc>
        <w:tc>
          <w:tcPr>
            <w:tcW w:w="1180" w:type="dxa"/>
            <w:vAlign w:val="bottom"/>
            <w:tcBorders>
              <w:right w:val="single" w:sz="8" w:color="DD924E"/>
            </w:tcBorders>
            <w:gridSpan w:val="2"/>
            <w:shd w:val="clear" w:color="auto" w:fill="FBF4ED"/>
          </w:tcPr>
          <w:p>
            <w:pPr>
              <w:jc w:val="right"/>
              <w:ind w:right="3"/>
              <w:spacing w:after="0"/>
              <w:rPr>
                <w:sz w:val="20"/>
                <w:szCs w:val="20"/>
                <w:color w:val="auto"/>
              </w:rPr>
            </w:pPr>
            <w:r>
              <w:rPr>
                <w:rFonts w:ascii="Arial" w:cs="Arial" w:eastAsia="Arial" w:hAnsi="Arial"/>
                <w:sz w:val="15"/>
                <w:szCs w:val="15"/>
                <w:color w:val="auto"/>
              </w:rPr>
              <w:t>10,820</w:t>
            </w:r>
          </w:p>
        </w:tc>
        <w:tc>
          <w:tcPr>
            <w:tcW w:w="0" w:type="dxa"/>
            <w:vAlign w:val="bottom"/>
          </w:tcPr>
          <w:p>
            <w:pPr>
              <w:spacing w:after="0"/>
              <w:rPr>
                <w:sz w:val="1"/>
                <w:szCs w:val="1"/>
                <w:color w:val="auto"/>
              </w:rPr>
            </w:pPr>
          </w:p>
        </w:tc>
      </w:tr>
      <w:tr>
        <w:trPr>
          <w:trHeight w:val="231"/>
        </w:trPr>
        <w:tc>
          <w:tcPr>
            <w:tcW w:w="3620" w:type="dxa"/>
            <w:vAlign w:val="bottom"/>
            <w:tcBorders>
              <w:left w:val="single" w:sz="8" w:color="DD924E"/>
            </w:tcBorders>
            <w:gridSpan w:val="6"/>
          </w:tcPr>
          <w:p>
            <w:pPr>
              <w:ind w:left="60"/>
              <w:spacing w:after="0"/>
              <w:rPr>
                <w:sz w:val="20"/>
                <w:szCs w:val="20"/>
                <w:color w:val="auto"/>
              </w:rPr>
            </w:pPr>
            <w:r>
              <w:rPr>
                <w:rFonts w:ascii="Arial" w:cs="Arial" w:eastAsia="Arial" w:hAnsi="Arial"/>
                <w:sz w:val="15"/>
                <w:szCs w:val="15"/>
                <w:color w:val="auto"/>
              </w:rPr>
              <w:t>Clyde W. Ostler</w:t>
            </w:r>
          </w:p>
        </w:tc>
        <w:tc>
          <w:tcPr>
            <w:tcW w:w="1260" w:type="dxa"/>
            <w:vAlign w:val="bottom"/>
            <w:gridSpan w:val="2"/>
          </w:tcPr>
          <w:p>
            <w:pPr>
              <w:jc w:val="right"/>
              <w:ind w:right="120"/>
              <w:spacing w:after="0" w:line="231" w:lineRule="exact"/>
              <w:rPr>
                <w:sz w:val="20"/>
                <w:szCs w:val="20"/>
                <w:color w:val="auto"/>
              </w:rPr>
            </w:pPr>
            <w:r>
              <w:rPr>
                <w:rFonts w:ascii="Arial" w:cs="Arial" w:eastAsia="Arial" w:hAnsi="Arial"/>
                <w:sz w:val="15"/>
                <w:szCs w:val="15"/>
                <w:color w:val="auto"/>
              </w:rPr>
              <w:t>41,953</w:t>
            </w:r>
            <w:r>
              <w:rPr>
                <w:rFonts w:ascii="Arial" w:cs="Arial" w:eastAsia="Arial" w:hAnsi="Arial"/>
                <w:sz w:val="23"/>
                <w:szCs w:val="23"/>
                <w:color w:val="auto"/>
                <w:vertAlign w:val="superscript"/>
              </w:rPr>
              <w:t>(11)</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30,734</w:t>
            </w:r>
          </w:p>
        </w:tc>
        <w:tc>
          <w:tcPr>
            <w:tcW w:w="1180" w:type="dxa"/>
            <w:vAlign w:val="bottom"/>
            <w:tcBorders>
              <w:right w:val="single" w:sz="8" w:color="DD924E"/>
            </w:tcBorders>
            <w:gridSpan w:val="2"/>
          </w:tcPr>
          <w:p>
            <w:pPr>
              <w:jc w:val="right"/>
              <w:ind w:right="3"/>
              <w:spacing w:after="0"/>
              <w:rPr>
                <w:sz w:val="20"/>
                <w:szCs w:val="20"/>
                <w:color w:val="auto"/>
              </w:rPr>
            </w:pPr>
            <w:r>
              <w:rPr>
                <w:rFonts w:ascii="Arial" w:cs="Arial" w:eastAsia="Arial" w:hAnsi="Arial"/>
                <w:sz w:val="15"/>
                <w:szCs w:val="15"/>
                <w:color w:val="auto"/>
              </w:rPr>
              <w:t>72,687</w:t>
            </w:r>
          </w:p>
        </w:tc>
        <w:tc>
          <w:tcPr>
            <w:tcW w:w="0" w:type="dxa"/>
            <w:vAlign w:val="bottom"/>
          </w:tcPr>
          <w:p>
            <w:pPr>
              <w:spacing w:after="0"/>
              <w:rPr>
                <w:sz w:val="1"/>
                <w:szCs w:val="1"/>
                <w:color w:val="auto"/>
              </w:rPr>
            </w:pPr>
          </w:p>
        </w:tc>
      </w:tr>
      <w:tr>
        <w:trPr>
          <w:trHeight w:val="231"/>
        </w:trPr>
        <w:tc>
          <w:tcPr>
            <w:tcW w:w="3620" w:type="dxa"/>
            <w:vAlign w:val="bottom"/>
            <w:tcBorders>
              <w:left w:val="single" w:sz="8" w:color="DD924E"/>
            </w:tcBorders>
            <w:gridSpan w:val="6"/>
            <w:shd w:val="clear" w:color="auto" w:fill="FBF4ED"/>
          </w:tcPr>
          <w:p>
            <w:pPr>
              <w:ind w:left="60"/>
              <w:spacing w:after="0"/>
              <w:rPr>
                <w:sz w:val="20"/>
                <w:szCs w:val="20"/>
                <w:color w:val="auto"/>
              </w:rPr>
            </w:pPr>
            <w:r>
              <w:rPr>
                <w:rFonts w:ascii="Arial" w:cs="Arial" w:eastAsia="Arial" w:hAnsi="Arial"/>
                <w:sz w:val="15"/>
                <w:szCs w:val="15"/>
                <w:color w:val="auto"/>
              </w:rPr>
              <w:t>Nitin Sahney</w:t>
            </w:r>
          </w:p>
        </w:tc>
        <w:tc>
          <w:tcPr>
            <w:tcW w:w="1260" w:type="dxa"/>
            <w:vAlign w:val="bottom"/>
            <w:gridSpan w:val="2"/>
            <w:shd w:val="clear" w:color="auto" w:fill="FBF4ED"/>
          </w:tcPr>
          <w:p>
            <w:pPr>
              <w:jc w:val="right"/>
              <w:ind w:right="34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FBF4ED"/>
          </w:tcPr>
          <w:p>
            <w:pPr>
              <w:jc w:val="right"/>
              <w:ind w:right="60"/>
              <w:spacing w:after="0"/>
              <w:rPr>
                <w:sz w:val="20"/>
                <w:szCs w:val="20"/>
                <w:color w:val="auto"/>
              </w:rPr>
            </w:pPr>
            <w:r>
              <w:rPr>
                <w:rFonts w:ascii="Arial" w:cs="Arial" w:eastAsia="Arial" w:hAnsi="Arial"/>
                <w:sz w:val="15"/>
                <w:szCs w:val="15"/>
                <w:color w:val="auto"/>
              </w:rPr>
              <w:t>—</w:t>
            </w:r>
          </w:p>
        </w:tc>
        <w:tc>
          <w:tcPr>
            <w:tcW w:w="1720" w:type="dxa"/>
            <w:vAlign w:val="bottom"/>
            <w:gridSpan w:val="2"/>
            <w:shd w:val="clear" w:color="auto" w:fill="FBF4ED"/>
          </w:tcPr>
          <w:p>
            <w:pPr>
              <w:jc w:val="right"/>
              <w:spacing w:after="0"/>
              <w:rPr>
                <w:sz w:val="20"/>
                <w:szCs w:val="20"/>
                <w:color w:val="auto"/>
              </w:rPr>
            </w:pPr>
            <w:r>
              <w:rPr>
                <w:rFonts w:ascii="Arial" w:cs="Arial" w:eastAsia="Arial" w:hAnsi="Arial"/>
                <w:sz w:val="15"/>
                <w:szCs w:val="15"/>
                <w:color w:val="auto"/>
              </w:rPr>
              <w:t>2,992</w:t>
            </w:r>
          </w:p>
        </w:tc>
        <w:tc>
          <w:tcPr>
            <w:tcW w:w="1180" w:type="dxa"/>
            <w:vAlign w:val="bottom"/>
            <w:tcBorders>
              <w:right w:val="single" w:sz="8" w:color="DD924E"/>
            </w:tcBorders>
            <w:gridSpan w:val="2"/>
            <w:shd w:val="clear" w:color="auto" w:fill="FBF4ED"/>
          </w:tcPr>
          <w:p>
            <w:pPr>
              <w:jc w:val="right"/>
              <w:ind w:right="3"/>
              <w:spacing w:after="0"/>
              <w:rPr>
                <w:sz w:val="20"/>
                <w:szCs w:val="20"/>
                <w:color w:val="auto"/>
              </w:rPr>
            </w:pPr>
            <w:r>
              <w:rPr>
                <w:rFonts w:ascii="Arial" w:cs="Arial" w:eastAsia="Arial" w:hAnsi="Arial"/>
                <w:sz w:val="15"/>
                <w:szCs w:val="15"/>
                <w:color w:val="auto"/>
              </w:rPr>
              <w:t>2,992</w:t>
            </w:r>
          </w:p>
        </w:tc>
        <w:tc>
          <w:tcPr>
            <w:tcW w:w="0" w:type="dxa"/>
            <w:vAlign w:val="bottom"/>
          </w:tcPr>
          <w:p>
            <w:pPr>
              <w:spacing w:after="0"/>
              <w:rPr>
                <w:sz w:val="1"/>
                <w:szCs w:val="1"/>
                <w:color w:val="auto"/>
              </w:rPr>
            </w:pPr>
          </w:p>
        </w:tc>
      </w:tr>
      <w:tr>
        <w:trPr>
          <w:trHeight w:val="231"/>
        </w:trPr>
        <w:tc>
          <w:tcPr>
            <w:tcW w:w="3620" w:type="dxa"/>
            <w:vAlign w:val="bottom"/>
            <w:tcBorders>
              <w:left w:val="single" w:sz="8" w:color="DD924E"/>
            </w:tcBorders>
            <w:gridSpan w:val="6"/>
          </w:tcPr>
          <w:p>
            <w:pPr>
              <w:ind w:left="60"/>
              <w:spacing w:after="0"/>
              <w:rPr>
                <w:sz w:val="20"/>
                <w:szCs w:val="20"/>
                <w:color w:val="auto"/>
              </w:rPr>
            </w:pPr>
            <w:r>
              <w:rPr>
                <w:rFonts w:ascii="Arial" w:cs="Arial" w:eastAsia="Arial" w:hAnsi="Arial"/>
                <w:sz w:val="15"/>
                <w:szCs w:val="15"/>
                <w:color w:val="auto"/>
              </w:rPr>
              <w:t>Garen K. Staglin</w:t>
            </w:r>
          </w:p>
        </w:tc>
        <w:tc>
          <w:tcPr>
            <w:tcW w:w="1260" w:type="dxa"/>
            <w:vAlign w:val="bottom"/>
            <w:gridSpan w:val="2"/>
          </w:tcPr>
          <w:p>
            <w:pPr>
              <w:jc w:val="right"/>
              <w:ind w:right="120"/>
              <w:spacing w:after="0" w:line="231" w:lineRule="exact"/>
              <w:rPr>
                <w:sz w:val="20"/>
                <w:szCs w:val="20"/>
                <w:color w:val="auto"/>
              </w:rPr>
            </w:pPr>
            <w:r>
              <w:rPr>
                <w:rFonts w:ascii="Arial" w:cs="Arial" w:eastAsia="Arial" w:hAnsi="Arial"/>
                <w:sz w:val="15"/>
                <w:szCs w:val="15"/>
                <w:color w:val="auto"/>
              </w:rPr>
              <w:t>49,715</w:t>
            </w:r>
            <w:r>
              <w:rPr>
                <w:rFonts w:ascii="Arial" w:cs="Arial" w:eastAsia="Arial" w:hAnsi="Arial"/>
                <w:sz w:val="23"/>
                <w:szCs w:val="23"/>
                <w:color w:val="auto"/>
                <w:vertAlign w:val="superscript"/>
              </w:rPr>
              <w:t>(12)</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47,693</w:t>
            </w:r>
          </w:p>
        </w:tc>
        <w:tc>
          <w:tcPr>
            <w:tcW w:w="1180" w:type="dxa"/>
            <w:vAlign w:val="bottom"/>
            <w:tcBorders>
              <w:right w:val="single" w:sz="8" w:color="DD924E"/>
            </w:tcBorders>
            <w:gridSpan w:val="2"/>
          </w:tcPr>
          <w:p>
            <w:pPr>
              <w:jc w:val="right"/>
              <w:ind w:right="3"/>
              <w:spacing w:after="0"/>
              <w:rPr>
                <w:sz w:val="20"/>
                <w:szCs w:val="20"/>
                <w:color w:val="auto"/>
              </w:rPr>
            </w:pPr>
            <w:r>
              <w:rPr>
                <w:rFonts w:ascii="Arial" w:cs="Arial" w:eastAsia="Arial" w:hAnsi="Arial"/>
                <w:sz w:val="15"/>
                <w:szCs w:val="15"/>
                <w:color w:val="auto"/>
              </w:rPr>
              <w:t>97,408</w:t>
            </w:r>
          </w:p>
        </w:tc>
        <w:tc>
          <w:tcPr>
            <w:tcW w:w="0" w:type="dxa"/>
            <w:vAlign w:val="bottom"/>
          </w:tcPr>
          <w:p>
            <w:pPr>
              <w:spacing w:after="0"/>
              <w:rPr>
                <w:sz w:val="1"/>
                <w:szCs w:val="1"/>
                <w:color w:val="auto"/>
              </w:rPr>
            </w:pPr>
          </w:p>
        </w:tc>
      </w:tr>
      <w:tr>
        <w:trPr>
          <w:trHeight w:val="173"/>
        </w:trPr>
        <w:tc>
          <w:tcPr>
            <w:tcW w:w="3620" w:type="dxa"/>
            <w:vAlign w:val="bottom"/>
            <w:tcBorders>
              <w:left w:val="single" w:sz="8" w:color="DD924E"/>
            </w:tcBorders>
            <w:gridSpan w:val="6"/>
            <w:shd w:val="clear" w:color="auto" w:fill="FBF4ED"/>
          </w:tcPr>
          <w:p>
            <w:pPr>
              <w:ind w:left="60"/>
              <w:spacing w:after="0"/>
              <w:rPr>
                <w:sz w:val="20"/>
                <w:szCs w:val="20"/>
                <w:color w:val="auto"/>
              </w:rPr>
            </w:pPr>
            <w:r>
              <w:rPr>
                <w:rFonts w:ascii="Arial" w:cs="Arial" w:eastAsia="Arial" w:hAnsi="Arial"/>
                <w:sz w:val="15"/>
                <w:szCs w:val="15"/>
                <w:b w:val="1"/>
                <w:bCs w:val="1"/>
                <w:color w:val="auto"/>
              </w:rPr>
              <w:t>All current directors and executive</w:t>
            </w:r>
          </w:p>
        </w:tc>
        <w:tc>
          <w:tcPr>
            <w:tcW w:w="940" w:type="dxa"/>
            <w:vAlign w:val="bottom"/>
            <w:shd w:val="clear" w:color="auto" w:fill="FBF4ED"/>
          </w:tcPr>
          <w:p>
            <w:pPr>
              <w:spacing w:after="0"/>
              <w:rPr>
                <w:sz w:val="15"/>
                <w:szCs w:val="15"/>
                <w:color w:val="auto"/>
              </w:rPr>
            </w:pPr>
          </w:p>
        </w:tc>
        <w:tc>
          <w:tcPr>
            <w:tcW w:w="320" w:type="dxa"/>
            <w:vAlign w:val="bottom"/>
            <w:shd w:val="clear" w:color="auto" w:fill="FBF4ED"/>
          </w:tcPr>
          <w:p>
            <w:pPr>
              <w:spacing w:after="0"/>
              <w:rPr>
                <w:sz w:val="15"/>
                <w:szCs w:val="15"/>
                <w:color w:val="auto"/>
              </w:rPr>
            </w:pPr>
          </w:p>
        </w:tc>
        <w:tc>
          <w:tcPr>
            <w:tcW w:w="960" w:type="dxa"/>
            <w:vAlign w:val="bottom"/>
            <w:shd w:val="clear" w:color="auto" w:fill="FBF4ED"/>
          </w:tcPr>
          <w:p>
            <w:pPr>
              <w:spacing w:after="0"/>
              <w:rPr>
                <w:sz w:val="15"/>
                <w:szCs w:val="15"/>
                <w:color w:val="auto"/>
              </w:rPr>
            </w:pPr>
          </w:p>
        </w:tc>
        <w:tc>
          <w:tcPr>
            <w:tcW w:w="60" w:type="dxa"/>
            <w:vAlign w:val="bottom"/>
            <w:shd w:val="clear" w:color="auto" w:fill="FBF4ED"/>
          </w:tcPr>
          <w:p>
            <w:pPr>
              <w:spacing w:after="0"/>
              <w:rPr>
                <w:sz w:val="15"/>
                <w:szCs w:val="15"/>
                <w:color w:val="auto"/>
              </w:rPr>
            </w:pPr>
          </w:p>
        </w:tc>
        <w:tc>
          <w:tcPr>
            <w:tcW w:w="60" w:type="dxa"/>
            <w:vAlign w:val="bottom"/>
            <w:shd w:val="clear" w:color="auto" w:fill="FBF4ED"/>
          </w:tcPr>
          <w:p>
            <w:pPr>
              <w:spacing w:after="0"/>
              <w:rPr>
                <w:sz w:val="15"/>
                <w:szCs w:val="15"/>
                <w:color w:val="auto"/>
              </w:rPr>
            </w:pPr>
          </w:p>
        </w:tc>
        <w:tc>
          <w:tcPr>
            <w:tcW w:w="1660" w:type="dxa"/>
            <w:vAlign w:val="bottom"/>
            <w:shd w:val="clear" w:color="auto" w:fill="FBF4ED"/>
          </w:tcPr>
          <w:p>
            <w:pPr>
              <w:spacing w:after="0"/>
              <w:rPr>
                <w:sz w:val="15"/>
                <w:szCs w:val="15"/>
                <w:color w:val="auto"/>
              </w:rPr>
            </w:pPr>
          </w:p>
        </w:tc>
        <w:tc>
          <w:tcPr>
            <w:tcW w:w="100" w:type="dxa"/>
            <w:vAlign w:val="bottom"/>
            <w:shd w:val="clear" w:color="auto" w:fill="FBF4ED"/>
          </w:tcPr>
          <w:p>
            <w:pPr>
              <w:spacing w:after="0"/>
              <w:rPr>
                <w:sz w:val="15"/>
                <w:szCs w:val="15"/>
                <w:color w:val="auto"/>
              </w:rPr>
            </w:pPr>
          </w:p>
        </w:tc>
        <w:tc>
          <w:tcPr>
            <w:tcW w:w="1080" w:type="dxa"/>
            <w:vAlign w:val="bottom"/>
            <w:tcBorders>
              <w:right w:val="single" w:sz="8" w:color="DD924E"/>
            </w:tcBorders>
            <w:shd w:val="clear" w:color="auto" w:fill="FBF4ED"/>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DD924E"/>
              <w:bottom w:val="single" w:sz="8" w:color="DD924E"/>
            </w:tcBorders>
            <w:gridSpan w:val="6"/>
            <w:shd w:val="clear" w:color="auto" w:fill="FBF4ED"/>
          </w:tcPr>
          <w:p>
            <w:pPr>
              <w:ind w:left="60"/>
              <w:spacing w:after="0" w:line="251" w:lineRule="exact"/>
              <w:rPr>
                <w:sz w:val="20"/>
                <w:szCs w:val="20"/>
                <w:color w:val="auto"/>
              </w:rPr>
            </w:pPr>
            <w:r>
              <w:rPr>
                <w:rFonts w:ascii="Arial" w:cs="Arial" w:eastAsia="Arial" w:hAnsi="Arial"/>
                <w:sz w:val="15"/>
                <w:szCs w:val="15"/>
                <w:b w:val="1"/>
                <w:bCs w:val="1"/>
                <w:color w:val="auto"/>
              </w:rPr>
              <w:t>officers as a group (15 persons)</w:t>
            </w:r>
            <w:r>
              <w:rPr>
                <w:rFonts w:ascii="Arial" w:cs="Arial" w:eastAsia="Arial" w:hAnsi="Arial"/>
                <w:sz w:val="23"/>
                <w:szCs w:val="23"/>
                <w:b w:val="1"/>
                <w:bCs w:val="1"/>
                <w:color w:val="auto"/>
                <w:vertAlign w:val="superscript"/>
              </w:rPr>
              <w:t>(13)</w:t>
            </w:r>
          </w:p>
        </w:tc>
        <w:tc>
          <w:tcPr>
            <w:tcW w:w="1260" w:type="dxa"/>
            <w:vAlign w:val="bottom"/>
            <w:tcBorders>
              <w:bottom w:val="single" w:sz="8" w:color="DD924E"/>
            </w:tcBorders>
            <w:gridSpan w:val="2"/>
            <w:shd w:val="clear" w:color="auto" w:fill="FBF4ED"/>
          </w:tcPr>
          <w:p>
            <w:pPr>
              <w:jc w:val="right"/>
              <w:ind w:right="120"/>
              <w:spacing w:after="0" w:line="251" w:lineRule="exact"/>
              <w:rPr>
                <w:sz w:val="20"/>
                <w:szCs w:val="20"/>
                <w:color w:val="auto"/>
              </w:rPr>
            </w:pPr>
            <w:r>
              <w:rPr>
                <w:rFonts w:ascii="Arial" w:cs="Arial" w:eastAsia="Arial" w:hAnsi="Arial"/>
                <w:sz w:val="15"/>
                <w:szCs w:val="15"/>
                <w:b w:val="1"/>
                <w:bCs w:val="1"/>
                <w:color w:val="auto"/>
              </w:rPr>
              <w:t>1,518,409</w:t>
            </w:r>
            <w:r>
              <w:rPr>
                <w:rFonts w:ascii="Arial" w:cs="Arial" w:eastAsia="Arial" w:hAnsi="Arial"/>
                <w:sz w:val="23"/>
                <w:szCs w:val="23"/>
                <w:color w:val="auto"/>
                <w:vertAlign w:val="superscript"/>
              </w:rPr>
              <w:t>(14)</w:t>
            </w:r>
          </w:p>
        </w:tc>
        <w:tc>
          <w:tcPr>
            <w:tcW w:w="960" w:type="dxa"/>
            <w:vAlign w:val="bottom"/>
            <w:tcBorders>
              <w:bottom w:val="single" w:sz="8" w:color="DD924E"/>
            </w:tcBorders>
            <w:shd w:val="clear" w:color="auto" w:fill="FBF4ED"/>
          </w:tcPr>
          <w:p>
            <w:pPr>
              <w:jc w:val="right"/>
              <w:spacing w:after="0"/>
              <w:rPr>
                <w:sz w:val="20"/>
                <w:szCs w:val="20"/>
                <w:color w:val="auto"/>
              </w:rPr>
            </w:pPr>
            <w:r>
              <w:rPr>
                <w:rFonts w:ascii="Arial" w:cs="Arial" w:eastAsia="Arial" w:hAnsi="Arial"/>
                <w:sz w:val="15"/>
                <w:szCs w:val="15"/>
                <w:b w:val="1"/>
                <w:bCs w:val="1"/>
                <w:color w:val="auto"/>
              </w:rPr>
              <w:t>4.4</w:t>
            </w:r>
          </w:p>
        </w:tc>
        <w:tc>
          <w:tcPr>
            <w:tcW w:w="60" w:type="dxa"/>
            <w:vAlign w:val="bottom"/>
            <w:tcBorders>
              <w:bottom w:val="single" w:sz="8" w:color="DD924E"/>
            </w:tcBorders>
            <w:shd w:val="clear" w:color="auto" w:fill="FBF4ED"/>
          </w:tcPr>
          <w:p>
            <w:pPr>
              <w:spacing w:after="0"/>
              <w:rPr>
                <w:sz w:val="21"/>
                <w:szCs w:val="21"/>
                <w:color w:val="auto"/>
              </w:rPr>
            </w:pPr>
          </w:p>
        </w:tc>
        <w:tc>
          <w:tcPr>
            <w:tcW w:w="1720" w:type="dxa"/>
            <w:vAlign w:val="bottom"/>
            <w:tcBorders>
              <w:bottom w:val="single" w:sz="8" w:color="DD924E"/>
            </w:tcBorders>
            <w:gridSpan w:val="2"/>
            <w:shd w:val="clear" w:color="auto" w:fill="FBF4ED"/>
          </w:tcPr>
          <w:p>
            <w:pPr>
              <w:jc w:val="right"/>
              <w:spacing w:after="0"/>
              <w:rPr>
                <w:sz w:val="20"/>
                <w:szCs w:val="20"/>
                <w:color w:val="auto"/>
              </w:rPr>
            </w:pPr>
            <w:r>
              <w:rPr>
                <w:rFonts w:ascii="Arial" w:cs="Arial" w:eastAsia="Arial" w:hAnsi="Arial"/>
                <w:sz w:val="15"/>
                <w:szCs w:val="15"/>
                <w:b w:val="1"/>
                <w:bCs w:val="1"/>
                <w:color w:val="auto"/>
              </w:rPr>
              <w:t>148,337</w:t>
            </w:r>
          </w:p>
        </w:tc>
        <w:tc>
          <w:tcPr>
            <w:tcW w:w="1180" w:type="dxa"/>
            <w:vAlign w:val="bottom"/>
            <w:tcBorders>
              <w:bottom w:val="single" w:sz="8" w:color="DD924E"/>
              <w:right w:val="single" w:sz="8" w:color="DD924E"/>
            </w:tcBorders>
            <w:gridSpan w:val="2"/>
            <w:shd w:val="clear" w:color="auto" w:fill="FBF4ED"/>
          </w:tcPr>
          <w:p>
            <w:pPr>
              <w:jc w:val="right"/>
              <w:ind w:right="3"/>
              <w:spacing w:after="0"/>
              <w:rPr>
                <w:sz w:val="20"/>
                <w:szCs w:val="20"/>
                <w:color w:val="auto"/>
              </w:rPr>
            </w:pPr>
            <w:r>
              <w:rPr>
                <w:rFonts w:ascii="Arial" w:cs="Arial" w:eastAsia="Arial" w:hAnsi="Arial"/>
                <w:sz w:val="15"/>
                <w:szCs w:val="15"/>
                <w:b w:val="1"/>
                <w:bCs w:val="1"/>
                <w:color w:val="auto"/>
              </w:rPr>
              <w:t>1,666,746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121920</wp:posOffset>
            </wp:positionV>
            <wp:extent cx="12865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254" w:lineRule="exact"/>
        <w:rPr>
          <w:sz w:val="20"/>
          <w:szCs w:val="20"/>
          <w:color w:val="auto"/>
        </w:rPr>
      </w:pPr>
    </w:p>
    <w:p>
      <w:pPr>
        <w:ind w:left="500" w:hanging="344"/>
        <w:spacing w:after="0"/>
        <w:tabs>
          <w:tab w:leader="none" w:pos="5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Less than 1%.</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0" w:name="page71"/>
    <w:bookmarkEnd w:id="70"/>
    <w:p>
      <w:pPr>
        <w:spacing w:after="0" w:line="63" w:lineRule="exact"/>
        <w:rPr>
          <w:sz w:val="20"/>
          <w:szCs w:val="20"/>
          <w:color w:val="auto"/>
        </w:rPr>
      </w:pPr>
    </w:p>
    <w:p>
      <w:pPr>
        <w:ind w:left="500" w:right="59" w:hanging="344"/>
        <w:spacing w:after="0" w:line="236" w:lineRule="auto"/>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beneficial owner is c/o ExlService Holdings, Inc., 280 Park Avenue, 38th Floor, New York, New York 10017.</w:t>
      </w:r>
    </w:p>
    <w:p>
      <w:pPr>
        <w:spacing w:after="0" w:line="119" w:lineRule="exact"/>
        <w:rPr>
          <w:rFonts w:ascii="Arial" w:cs="Arial" w:eastAsia="Arial" w:hAnsi="Arial"/>
          <w:sz w:val="14"/>
          <w:szCs w:val="14"/>
          <w:color w:val="auto"/>
        </w:rPr>
      </w:pPr>
    </w:p>
    <w:p>
      <w:pPr>
        <w:ind w:left="500" w:hanging="344"/>
        <w:spacing w:after="0"/>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Based on 34,442,962 shares outstanding as of the Determination Date.</w:t>
      </w:r>
    </w:p>
    <w:p>
      <w:pPr>
        <w:spacing w:after="0" w:line="133" w:lineRule="exact"/>
        <w:rPr>
          <w:rFonts w:ascii="Arial" w:cs="Arial" w:eastAsia="Arial" w:hAnsi="Arial"/>
          <w:sz w:val="14"/>
          <w:szCs w:val="14"/>
          <w:color w:val="auto"/>
        </w:rPr>
      </w:pPr>
    </w:p>
    <w:p>
      <w:pPr>
        <w:jc w:val="both"/>
        <w:ind w:left="500" w:right="59" w:hanging="344"/>
        <w:spacing w:after="0" w:line="238" w:lineRule="auto"/>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For non-management directors, this column includes restricted stock units (previously granted for service on the Board) that have vested but are unsettled. Because vested restricted stock units generally settle 180 days following the director’s term of service (see “Director Compensation for Fiscal Year 2016” for additional details on settlement), the units are not treated as beneficially owned under SEC rules because the holder does not have the right to acquire the underlying stock within 60 days of the Determination Date. Restricted stock units that are vested but unsettled count towards our stock ownership policy for non-employee directors, which requires directors to maintain stock ownership of at least five times their respective annual retainers.</w:t>
      </w:r>
    </w:p>
    <w:p>
      <w:pPr>
        <w:spacing w:after="0" w:line="144" w:lineRule="exact"/>
        <w:rPr>
          <w:rFonts w:ascii="Arial" w:cs="Arial" w:eastAsia="Arial" w:hAnsi="Arial"/>
          <w:sz w:val="14"/>
          <w:szCs w:val="14"/>
          <w:color w:val="auto"/>
        </w:rPr>
      </w:pPr>
    </w:p>
    <w:p>
      <w:pPr>
        <w:jc w:val="both"/>
        <w:ind w:left="500" w:right="79" w:hanging="344"/>
        <w:spacing w:after="0" w:line="234" w:lineRule="auto"/>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Based on the Schedule 13G/A filed on January 19, 2018, BlackRock, Inc. had sole voting power with respect to 4,106,254 shares and sole dispositive power with respect to 4,179,911 shares. The business address of Blackrock, Inc. is 55 East 52nd Street, New York, New York 10022.</w:t>
      </w:r>
    </w:p>
    <w:p>
      <w:pPr>
        <w:spacing w:after="0" w:line="118" w:lineRule="exact"/>
        <w:rPr>
          <w:rFonts w:ascii="Arial" w:cs="Arial" w:eastAsia="Arial" w:hAnsi="Arial"/>
          <w:sz w:val="14"/>
          <w:szCs w:val="14"/>
          <w:color w:val="auto"/>
        </w:rPr>
      </w:pPr>
    </w:p>
    <w:p>
      <w:pPr>
        <w:jc w:val="both"/>
        <w:ind w:left="500" w:right="79" w:hanging="344"/>
        <w:spacing w:after="0" w:line="234" w:lineRule="auto"/>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Based on the Schedule 13G/A filed on February 13, 2018, FMR LLC had sole voting power with respect to 1,558,242 shares and sole dispositive power with respect to 3,585,991 shares. The business address of FMR LLC is 245 Summer Street, Boston, Massachusetts 02210.</w:t>
      </w:r>
    </w:p>
    <w:p>
      <w:pPr>
        <w:spacing w:after="0" w:line="131" w:lineRule="exact"/>
        <w:rPr>
          <w:rFonts w:ascii="Arial" w:cs="Arial" w:eastAsia="Arial" w:hAnsi="Arial"/>
          <w:sz w:val="14"/>
          <w:szCs w:val="14"/>
          <w:color w:val="auto"/>
        </w:rPr>
      </w:pPr>
    </w:p>
    <w:p>
      <w:pPr>
        <w:jc w:val="both"/>
        <w:ind w:left="500" w:right="59" w:hanging="344"/>
        <w:spacing w:after="0" w:line="234" w:lineRule="auto"/>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Based on the Schedule 13G/A filed on February 9, 2018, Vanguard Group, Inc. had sole voting power with respect to 63,445 shares, shared voting power with respect to 4,834 shares, sole dispositive power with respect to 3,013,172 shares and shared dispositive power with respect to 65,909 shares. The business address of Vanguard Group, Inc. is 100 Vanguard Boulevard, Malvern, PA 19355.</w:t>
      </w:r>
    </w:p>
    <w:p>
      <w:pPr>
        <w:spacing w:after="0" w:line="131" w:lineRule="exact"/>
        <w:rPr>
          <w:rFonts w:ascii="Arial" w:cs="Arial" w:eastAsia="Arial" w:hAnsi="Arial"/>
          <w:sz w:val="14"/>
          <w:szCs w:val="14"/>
          <w:color w:val="auto"/>
        </w:rPr>
      </w:pPr>
    </w:p>
    <w:p>
      <w:pPr>
        <w:ind w:left="500" w:right="59" w:hanging="344"/>
        <w:spacing w:after="0" w:line="236" w:lineRule="auto"/>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amount includes 36,000 shares of our common stock of which Mr. Chhibbar has the right to acquire beneficial ownership within 60 days of the Determination Date pursuant to currently vested and exercisable stock options.</w:t>
      </w:r>
    </w:p>
    <w:p>
      <w:pPr>
        <w:spacing w:after="0" w:line="119" w:lineRule="exact"/>
        <w:rPr>
          <w:rFonts w:ascii="Arial" w:cs="Arial" w:eastAsia="Arial" w:hAnsi="Arial"/>
          <w:sz w:val="14"/>
          <w:szCs w:val="14"/>
          <w:color w:val="auto"/>
        </w:rPr>
      </w:pPr>
    </w:p>
    <w:p>
      <w:pPr>
        <w:jc w:val="both"/>
        <w:ind w:left="500" w:right="59" w:hanging="344"/>
        <w:spacing w:after="0" w:line="230" w:lineRule="auto"/>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amount includes: (a) 177,134 shares of our common stock owned indirectly by Mr. Kapoor through a family trust created in 2016 under a 2005 grantor-retained annuity trust, for which Mr. Kapoor’s spouse and Mr. Kapoor’s brother are the co-trustees and share dispositive and voting control over the shares in the trust, (b) 40,219 shares of our common stock owned indirectly by Mr. Kapoor through a family trust created in 2016 under a 2013 grantor retained annuity trust, for which Mr. Kapoor’s spouse and Mr. Kapoor’s brother are the co-trustees and share dispositive and voting control over the shares in the trust, (c) 84,000 shares of our common stock owned indirectly by Mr. Kapoor through a spousal lifetime access trust, for which Mr. Kapoor’s spouse and Mr. Kapoor’s brother are the co-trustees and share dispositive and voting control over the shares in the trust, (d) 84,000 shares of our common stock owned indirectly by Mr. Kapoor through a spousal lifetime access trust for Mr. Kapoor’s spouse, for which Mr. Kapoor and Mr. Kapoor’s brother are the co-trustees and share dispositive and voting control over the shares in the trust, (e) 333,185 shares of our common stock owned indirectly by Mr. Kapoor through a family trust for which Mr. Kapoor is the investment advisor to Commonwealth Trust Company, the trustee, and (f) 47,500 shares of our common stock of which Mr. Kapoor has the right to acquire beneficial ownership within 60 days of the Determination Date pursuant to currently vested and exercisable stock options.</w:t>
      </w:r>
    </w:p>
    <w:p>
      <w:pPr>
        <w:spacing w:after="0" w:line="135" w:lineRule="exact"/>
        <w:rPr>
          <w:rFonts w:ascii="Arial" w:cs="Arial" w:eastAsia="Arial" w:hAnsi="Arial"/>
          <w:sz w:val="14"/>
          <w:szCs w:val="14"/>
          <w:color w:val="auto"/>
        </w:rPr>
      </w:pPr>
    </w:p>
    <w:p>
      <w:pPr>
        <w:ind w:left="500" w:right="79" w:hanging="344"/>
        <w:spacing w:after="0" w:line="236" w:lineRule="auto"/>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amount consists of 26,294 shares of our common stock of which Mr. Kelso has the right to acquire beneficial ownership within 60 days of the Determination Date pursuant to currently vested and exercisable stock options.</w:t>
      </w:r>
    </w:p>
    <w:p>
      <w:pPr>
        <w:spacing w:after="0" w:line="132" w:lineRule="exact"/>
        <w:rPr>
          <w:rFonts w:ascii="Arial" w:cs="Arial" w:eastAsia="Arial" w:hAnsi="Arial"/>
          <w:sz w:val="14"/>
          <w:szCs w:val="14"/>
          <w:color w:val="auto"/>
        </w:rPr>
      </w:pPr>
    </w:p>
    <w:p>
      <w:pPr>
        <w:ind w:left="500" w:right="59" w:hanging="344"/>
        <w:spacing w:after="0" w:line="236" w:lineRule="auto"/>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amount consists of 3,093 shares of our common stock of which Ms. Minto has the right to acquire beneficial ownership within 60 days of the Determination Date pursuant to currently vested and exercisable stock options.</w:t>
      </w:r>
    </w:p>
    <w:p>
      <w:pPr>
        <w:spacing w:after="0" w:line="119" w:lineRule="exact"/>
        <w:rPr>
          <w:rFonts w:ascii="Arial" w:cs="Arial" w:eastAsia="Arial" w:hAnsi="Arial"/>
          <w:sz w:val="14"/>
          <w:szCs w:val="14"/>
          <w:color w:val="auto"/>
        </w:rPr>
      </w:pPr>
    </w:p>
    <w:p>
      <w:pPr>
        <w:ind w:left="500" w:right="79" w:hanging="344"/>
        <w:spacing w:after="0" w:line="236" w:lineRule="auto"/>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amount includes 32,723 shares of our common stock of which Mr. Ostler has the right to acquire beneficial ownership within 60 days of the Determination Date pursuant to currently vested and exercisable stock options.</w:t>
      </w:r>
    </w:p>
    <w:p>
      <w:pPr>
        <w:spacing w:after="0" w:line="132" w:lineRule="exact"/>
        <w:rPr>
          <w:rFonts w:ascii="Arial" w:cs="Arial" w:eastAsia="Arial" w:hAnsi="Arial"/>
          <w:sz w:val="14"/>
          <w:szCs w:val="14"/>
          <w:color w:val="auto"/>
        </w:rPr>
      </w:pPr>
    </w:p>
    <w:p>
      <w:pPr>
        <w:ind w:left="500" w:right="59" w:hanging="344"/>
        <w:spacing w:after="0" w:line="236" w:lineRule="auto"/>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amount includes 32,723 shares of our common stock of which Mr. Staglin has the right to acquire beneficial ownership within 60 days of the Determination Date pursuant to currently vested and exercisable stock options.</w:t>
      </w:r>
    </w:p>
    <w:p>
      <w:pPr>
        <w:spacing w:after="0" w:line="119" w:lineRule="exact"/>
        <w:rPr>
          <w:rFonts w:ascii="Arial" w:cs="Arial" w:eastAsia="Arial" w:hAnsi="Arial"/>
          <w:sz w:val="14"/>
          <w:szCs w:val="14"/>
          <w:color w:val="auto"/>
        </w:rPr>
      </w:pPr>
    </w:p>
    <w:p>
      <w:pPr>
        <w:ind w:left="500" w:right="59" w:hanging="344"/>
        <w:spacing w:after="0" w:line="236" w:lineRule="auto"/>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all current directors and current executive officers, which includes our five named executive officers and our other three executive officers.</w:t>
      </w:r>
    </w:p>
    <w:p>
      <w:pPr>
        <w:spacing w:after="0" w:line="132" w:lineRule="exact"/>
        <w:rPr>
          <w:rFonts w:ascii="Arial" w:cs="Arial" w:eastAsia="Arial" w:hAnsi="Arial"/>
          <w:sz w:val="14"/>
          <w:szCs w:val="14"/>
          <w:color w:val="auto"/>
        </w:rPr>
      </w:pPr>
    </w:p>
    <w:p>
      <w:pPr>
        <w:jc w:val="both"/>
        <w:ind w:left="500" w:right="59" w:hanging="344"/>
        <w:spacing w:after="0" w:line="234" w:lineRule="auto"/>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amount includes an aggregate of 189,133 shares of our common stock of which our current directors and current executive officers have the right to acquire beneficial ownership within 60 days of the Determination Date pursuant to currently vested and exercisable stock options.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1" w:name="page72"/>
    <w:bookmarkEnd w:id="71"/>
    <w:p>
      <w:pPr>
        <w:jc w:val="both"/>
        <w:spacing w:after="0" w:line="214" w:lineRule="auto"/>
        <w:framePr w:w="160" w:h="124" w:wrap="auto" w:vAnchor="page" w:hAnchor="page" w:x="7100" w:y="4619"/>
        <w:rPr>
          <w:rFonts w:ascii="Arial" w:cs="Arial" w:eastAsia="Arial" w:hAnsi="Arial"/>
          <w:sz w:val="14"/>
          <w:szCs w:val="14"/>
          <w:color w:val="DD924E"/>
        </w:rPr>
      </w:pPr>
      <w:r>
        <w:rPr>
          <w:rFonts w:ascii="Arial" w:cs="Arial" w:eastAsia="Arial" w:hAnsi="Arial"/>
          <w:sz w:val="14"/>
          <w:szCs w:val="14"/>
          <w:color w:val="DD924E"/>
        </w:rPr>
        <w:t>&gt;</w:t>
      </w:r>
    </w:p>
    <w:p>
      <w:pPr>
        <w:jc w:val="both"/>
        <w:spacing w:after="0" w:line="214" w:lineRule="auto"/>
        <w:framePr w:w="2900" w:h="431" w:wrap="auto" w:vAnchor="page" w:hAnchor="page" w:x="7440" w:y="4619"/>
        <w:rPr>
          <w:rFonts w:ascii="Arial" w:cs="Arial" w:eastAsia="Arial" w:hAnsi="Arial"/>
          <w:sz w:val="14"/>
          <w:szCs w:val="14"/>
          <w:color w:val="DD924E"/>
        </w:rPr>
      </w:pPr>
      <w:r>
        <w:rPr>
          <w:rFonts w:ascii="Arial" w:cs="Arial" w:eastAsia="Arial" w:hAnsi="Arial"/>
          <w:sz w:val="14"/>
          <w:szCs w:val="14"/>
          <w:color w:val="DD924E"/>
        </w:rPr>
        <w:t>Whether the transaction would impair the judgment of a director or executive officer to act in our best interest</w:t>
      </w:r>
    </w:p>
    <w:p>
      <w:pPr>
        <w:spacing w:after="0" w:line="206" w:lineRule="auto"/>
        <w:framePr w:w="160" w:h="124" w:wrap="auto" w:vAnchor="page" w:hAnchor="page" w:x="7100" w:y="4170"/>
        <w:rPr>
          <w:rFonts w:ascii="Arial" w:cs="Arial" w:eastAsia="Arial" w:hAnsi="Arial"/>
          <w:sz w:val="14"/>
          <w:szCs w:val="14"/>
          <w:color w:val="DD924E"/>
        </w:rPr>
      </w:pPr>
      <w:r>
        <w:rPr>
          <w:rFonts w:ascii="Arial" w:cs="Arial" w:eastAsia="Arial" w:hAnsi="Arial"/>
          <w:sz w:val="14"/>
          <w:szCs w:val="14"/>
          <w:color w:val="DD924E"/>
        </w:rPr>
        <w:t>&gt;</w:t>
      </w:r>
    </w:p>
    <w:p>
      <w:pPr>
        <w:spacing w:after="0" w:line="206" w:lineRule="auto"/>
        <w:framePr w:w="2900" w:h="278" w:wrap="auto" w:vAnchor="page" w:hAnchor="page" w:x="7440" w:y="4170"/>
        <w:rPr>
          <w:rFonts w:ascii="Arial" w:cs="Arial" w:eastAsia="Arial" w:hAnsi="Arial"/>
          <w:sz w:val="14"/>
          <w:szCs w:val="14"/>
          <w:color w:val="DD924E"/>
        </w:rPr>
      </w:pPr>
      <w:r>
        <w:rPr>
          <w:rFonts w:ascii="Arial" w:cs="Arial" w:eastAsia="Arial" w:hAnsi="Arial"/>
          <w:sz w:val="14"/>
          <w:szCs w:val="14"/>
          <w:color w:val="DD924E"/>
        </w:rPr>
        <w:t>The importance of the transaction to us and to the related party</w:t>
      </w:r>
    </w:p>
    <w:p>
      <w:pPr>
        <w:jc w:val="both"/>
        <w:spacing w:after="0" w:line="214" w:lineRule="auto"/>
        <w:framePr w:w="160" w:h="124" w:wrap="auto" w:vAnchor="page" w:hAnchor="page" w:x="7100" w:y="3580"/>
        <w:rPr>
          <w:rFonts w:ascii="Arial" w:cs="Arial" w:eastAsia="Arial" w:hAnsi="Arial"/>
          <w:sz w:val="14"/>
          <w:szCs w:val="14"/>
          <w:color w:val="DD924E"/>
        </w:rPr>
      </w:pPr>
      <w:r>
        <w:rPr>
          <w:rFonts w:ascii="Arial" w:cs="Arial" w:eastAsia="Arial" w:hAnsi="Arial"/>
          <w:sz w:val="14"/>
          <w:szCs w:val="14"/>
          <w:color w:val="DD924E"/>
        </w:rPr>
        <w:t>&gt;</w:t>
      </w:r>
    </w:p>
    <w:p>
      <w:pPr>
        <w:jc w:val="both"/>
        <w:spacing w:after="0" w:line="214" w:lineRule="auto"/>
        <w:framePr w:w="2900" w:h="431" w:wrap="auto" w:vAnchor="page" w:hAnchor="page" w:x="7440" w:y="3580"/>
        <w:rPr>
          <w:rFonts w:ascii="Arial" w:cs="Arial" w:eastAsia="Arial" w:hAnsi="Arial"/>
          <w:sz w:val="14"/>
          <w:szCs w:val="14"/>
          <w:color w:val="DD924E"/>
        </w:rPr>
      </w:pPr>
      <w:r>
        <w:rPr>
          <w:rFonts w:ascii="Arial" w:cs="Arial" w:eastAsia="Arial" w:hAnsi="Arial"/>
          <w:sz w:val="14"/>
          <w:szCs w:val="14"/>
          <w:color w:val="DD924E"/>
        </w:rPr>
        <w:t>The material terms of the transaction, including the amount involved and type of transaction</w:t>
      </w:r>
    </w:p>
    <w:p>
      <w:pPr>
        <w:spacing w:after="0" w:line="198" w:lineRule="auto"/>
        <w:framePr w:w="160" w:h="124" w:wrap="auto" w:vAnchor="page" w:hAnchor="page" w:x="7100" w:y="3285"/>
        <w:rPr>
          <w:rFonts w:ascii="Arial" w:cs="Arial" w:eastAsia="Arial" w:hAnsi="Arial"/>
          <w:sz w:val="14"/>
          <w:szCs w:val="14"/>
          <w:color w:val="DD924E"/>
        </w:rPr>
      </w:pPr>
      <w:r>
        <w:rPr>
          <w:rFonts w:ascii="Arial" w:cs="Arial" w:eastAsia="Arial" w:hAnsi="Arial"/>
          <w:sz w:val="14"/>
          <w:szCs w:val="14"/>
          <w:color w:val="DD924E"/>
        </w:rPr>
        <w:t>&gt;</w:t>
      </w:r>
    </w:p>
    <w:p>
      <w:pPr>
        <w:spacing w:after="0" w:line="198" w:lineRule="auto"/>
        <w:framePr w:w="2780" w:h="124" w:wrap="auto" w:vAnchor="page" w:hAnchor="page" w:x="7440" w:y="3285"/>
        <w:rPr>
          <w:rFonts w:ascii="Arial" w:cs="Arial" w:eastAsia="Arial" w:hAnsi="Arial"/>
          <w:sz w:val="13"/>
          <w:szCs w:val="13"/>
          <w:color w:val="DD924E"/>
        </w:rPr>
      </w:pPr>
      <w:r>
        <w:rPr>
          <w:rFonts w:ascii="Arial" w:cs="Arial" w:eastAsia="Arial" w:hAnsi="Arial"/>
          <w:sz w:val="13"/>
          <w:szCs w:val="13"/>
          <w:color w:val="DD924E"/>
        </w:rPr>
        <w:t>The related party’s interest in the transaction</w:t>
      </w:r>
    </w:p>
    <w:p>
      <w:pPr>
        <w:spacing w:after="0" w:line="198" w:lineRule="auto"/>
        <w:framePr w:w="160" w:h="124" w:wrap="auto" w:vAnchor="page" w:hAnchor="page" w:x="7100" w:y="2991"/>
        <w:rPr>
          <w:rFonts w:ascii="Arial" w:cs="Arial" w:eastAsia="Arial" w:hAnsi="Arial"/>
          <w:sz w:val="14"/>
          <w:szCs w:val="14"/>
          <w:color w:val="DD924E"/>
        </w:rPr>
      </w:pPr>
      <w:r>
        <w:rPr>
          <w:rFonts w:ascii="Arial" w:cs="Arial" w:eastAsia="Arial" w:hAnsi="Arial"/>
          <w:sz w:val="14"/>
          <w:szCs w:val="14"/>
          <w:color w:val="DD924E"/>
        </w:rPr>
        <w:t>&gt;</w:t>
      </w:r>
    </w:p>
    <w:p>
      <w:pPr>
        <w:spacing w:after="0" w:line="198" w:lineRule="auto"/>
        <w:framePr w:w="2640" w:h="124" w:wrap="auto" w:vAnchor="page" w:hAnchor="page" w:x="7440" w:y="2991"/>
        <w:rPr>
          <w:rFonts w:ascii="Arial" w:cs="Arial" w:eastAsia="Arial" w:hAnsi="Arial"/>
          <w:sz w:val="13"/>
          <w:szCs w:val="13"/>
          <w:color w:val="DD924E"/>
        </w:rPr>
      </w:pPr>
      <w:r>
        <w:rPr>
          <w:rFonts w:ascii="Arial" w:cs="Arial" w:eastAsia="Arial" w:hAnsi="Arial"/>
          <w:sz w:val="13"/>
          <w:szCs w:val="13"/>
          <w:color w:val="DD924E"/>
        </w:rPr>
        <w:t>The nature of the related party transaction</w:t>
      </w:r>
    </w:p>
    <w:p>
      <w:pPr>
        <w:spacing w:after="0" w:line="189" w:lineRule="auto"/>
        <w:framePr w:w="2940" w:h="155" w:wrap="auto" w:vAnchor="page" w:hAnchor="page" w:x="7260" w:y="2524"/>
        <w:rPr>
          <w:rFonts w:ascii="Arial" w:cs="Arial" w:eastAsia="Arial" w:hAnsi="Arial"/>
          <w:sz w:val="17"/>
          <w:szCs w:val="17"/>
          <w:b w:val="1"/>
          <w:bCs w:val="1"/>
          <w:color w:val="FFFFFF"/>
        </w:rPr>
      </w:pPr>
      <w:r>
        <w:rPr>
          <w:rFonts w:ascii="Arial" w:cs="Arial" w:eastAsia="Arial" w:hAnsi="Arial"/>
          <w:sz w:val="17"/>
          <w:szCs w:val="17"/>
          <w:b w:val="1"/>
          <w:bCs w:val="1"/>
          <w:color w:val="FFFFFF"/>
        </w:rPr>
        <w:t>Factors Used in Assessing Related</w:t>
      </w:r>
    </w:p>
    <w:p>
      <w:pPr>
        <w:spacing w:after="0" w:line="189" w:lineRule="auto"/>
        <w:framePr w:w="1620" w:h="155" w:wrap="auto" w:vAnchor="page" w:hAnchor="page" w:x="7920" w:y="2729"/>
        <w:rPr>
          <w:rFonts w:ascii="Arial" w:cs="Arial" w:eastAsia="Arial" w:hAnsi="Arial"/>
          <w:sz w:val="17"/>
          <w:szCs w:val="17"/>
          <w:b w:val="1"/>
          <w:bCs w:val="1"/>
          <w:color w:val="FFFFFF"/>
        </w:rPr>
      </w:pPr>
      <w:r>
        <w:rPr>
          <w:rFonts w:ascii="Arial" w:cs="Arial" w:eastAsia="Arial" w:hAnsi="Arial"/>
          <w:sz w:val="17"/>
          <w:szCs w:val="17"/>
          <w:b w:val="1"/>
          <w:bCs w:val="1"/>
          <w:color w:val="FFFFFF"/>
        </w:rPr>
        <w:t>Party Transactions</w:t>
      </w:r>
    </w:p>
    <w:p>
      <w:pPr>
        <w:spacing w:after="0" w:line="30" w:lineRule="exact"/>
        <w:rPr>
          <w:rFonts w:ascii="Arial" w:cs="Arial" w:eastAsia="Arial" w:hAnsi="Arial"/>
          <w:sz w:val="17"/>
          <w:szCs w:val="17"/>
          <w:b w:val="1"/>
          <w:bCs w:val="1"/>
          <w:color w:val="FFFFFF"/>
        </w:rPr>
      </w:pPr>
    </w:p>
    <w:p>
      <w:pPr>
        <w:ind w:left="640"/>
        <w:spacing w:after="0"/>
        <w:rPr>
          <w:sz w:val="20"/>
          <w:szCs w:val="20"/>
          <w:color w:val="auto"/>
        </w:rPr>
      </w:pPr>
      <w:r>
        <w:rPr>
          <w:rFonts w:ascii="Arial" w:cs="Arial" w:eastAsia="Arial" w:hAnsi="Arial"/>
          <w:sz w:val="24"/>
          <w:szCs w:val="24"/>
          <w:b w:val="1"/>
          <w:bCs w:val="1"/>
          <w:color w:val="DD924E"/>
        </w:rPr>
        <w:t>CERTAIN RELATIONSHIPS AND RELATED PERSON TRANSACTIONS</w:t>
      </w:r>
    </w:p>
    <w:p>
      <w:pPr>
        <w:spacing w:after="0" w:line="142" w:lineRule="exact"/>
        <w:rPr>
          <w:rFonts w:ascii="Arial" w:cs="Arial" w:eastAsia="Arial" w:hAnsi="Arial"/>
          <w:sz w:val="17"/>
          <w:szCs w:val="17"/>
          <w:b w:val="1"/>
          <w:bCs w:val="1"/>
          <w:color w:val="FFFFFF"/>
        </w:rPr>
      </w:pPr>
    </w:p>
    <w:p>
      <w:pPr>
        <w:ind w:left="160"/>
        <w:spacing w:after="0"/>
        <w:rPr>
          <w:sz w:val="20"/>
          <w:szCs w:val="20"/>
          <w:color w:val="auto"/>
        </w:rPr>
      </w:pPr>
      <w:r>
        <w:rPr>
          <w:rFonts w:ascii="Arial" w:cs="Arial" w:eastAsia="Arial" w:hAnsi="Arial"/>
          <w:sz w:val="17"/>
          <w:szCs w:val="17"/>
          <w:b w:val="1"/>
          <w:bCs w:val="1"/>
          <w:color w:val="518DC8"/>
        </w:rPr>
        <w:t>Review and Approval of Related Party Transactions</w:t>
      </w:r>
    </w:p>
    <w:p>
      <w:pPr>
        <w:spacing w:after="0" w:line="158" w:lineRule="exact"/>
        <w:rPr>
          <w:rFonts w:ascii="Arial" w:cs="Arial" w:eastAsia="Arial" w:hAnsi="Arial"/>
          <w:sz w:val="17"/>
          <w:szCs w:val="17"/>
          <w:b w:val="1"/>
          <w:bCs w:val="1"/>
          <w:color w:val="FFFFFF"/>
        </w:rPr>
      </w:pPr>
    </w:p>
    <w:p>
      <w:pPr>
        <w:jc w:val="both"/>
        <w:ind w:left="160" w:right="3539"/>
        <w:spacing w:after="0" w:line="251" w:lineRule="auto"/>
        <w:rPr>
          <w:sz w:val="20"/>
          <w:szCs w:val="20"/>
          <w:color w:val="auto"/>
        </w:rPr>
      </w:pPr>
      <w:r>
        <w:rPr>
          <w:rFonts w:ascii="Arial" w:cs="Arial" w:eastAsia="Arial" w:hAnsi="Arial"/>
          <w:sz w:val="17"/>
          <w:szCs w:val="17"/>
          <w:color w:val="auto"/>
        </w:rPr>
        <w:t>We review all relationships and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such transaction or potential transaction to our General Counsel or our Audit Committee. Our board of directors has adopted a policy regarding the review of potential related party transactions. Under this policy, our General Counsel will review the facts and circumstances of any covered transaction. If our General Counsel determines that the transaction involves a related party transaction and that the amount involved does not equal or exceed $120,000, our General Counsel will approve or disapprove the transaction. If our General Counsel determines that the transaction involves a related party transaction and that the amount involved equals or exceeds $120,000, our General Counsel will refer the transaction to our Audit Committee for consideration. In the course of reviewing, approving or ratifying a disclosable related</w:t>
      </w:r>
    </w:p>
    <w:p>
      <w:pPr>
        <w:spacing w:after="0" w:line="20" w:lineRule="exact"/>
        <w:rPr>
          <w:rFonts w:ascii="Arial" w:cs="Arial" w:eastAsia="Arial" w:hAnsi="Arial"/>
          <w:sz w:val="17"/>
          <w:szCs w:val="17"/>
          <w:b w:val="1"/>
          <w:bCs w:val="1"/>
          <w:color w:val="FFFFFF"/>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column">
              <wp:posOffset>3570605</wp:posOffset>
            </wp:positionH>
            <wp:positionV relativeFrom="paragraph">
              <wp:posOffset>-2180590</wp:posOffset>
            </wp:positionV>
            <wp:extent cx="2108200" cy="16687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08200" cy="1668780"/>
                    </a:xfrm>
                    <a:prstGeom prst="rect">
                      <a:avLst/>
                    </a:prstGeom>
                    <a:noFill/>
                  </pic:spPr>
                </pic:pic>
              </a:graphicData>
            </a:graphic>
          </wp:anchor>
        </w:drawing>
      </w:r>
    </w:p>
    <w:p>
      <w:pPr>
        <w:jc w:val="both"/>
        <w:ind w:left="160" w:right="79"/>
        <w:spacing w:after="0" w:line="263" w:lineRule="auto"/>
        <w:rPr>
          <w:sz w:val="20"/>
          <w:szCs w:val="20"/>
          <w:color w:val="auto"/>
        </w:rPr>
      </w:pPr>
      <w:r>
        <w:rPr>
          <w:rFonts w:ascii="Arial" w:cs="Arial" w:eastAsia="Arial" w:hAnsi="Arial"/>
          <w:sz w:val="17"/>
          <w:szCs w:val="17"/>
          <w:color w:val="auto"/>
        </w:rPr>
        <w:t>party transaction, our General Counsel and Audit Committee considers all factors it considers appropriate, including but not limited to the factors in the box to the right.</w:t>
      </w:r>
    </w:p>
    <w:p>
      <w:pPr>
        <w:spacing w:after="0" w:line="103" w:lineRule="exact"/>
        <w:rPr>
          <w:rFonts w:ascii="Arial" w:cs="Arial" w:eastAsia="Arial" w:hAnsi="Arial"/>
          <w:sz w:val="17"/>
          <w:szCs w:val="17"/>
          <w:b w:val="1"/>
          <w:bCs w:val="1"/>
          <w:color w:val="FFFFFF"/>
        </w:rPr>
      </w:pPr>
    </w:p>
    <w:p>
      <w:pPr>
        <w:ind w:left="160"/>
        <w:spacing w:after="0"/>
        <w:rPr>
          <w:sz w:val="20"/>
          <w:szCs w:val="20"/>
          <w:color w:val="auto"/>
        </w:rPr>
      </w:pPr>
      <w:r>
        <w:rPr>
          <w:rFonts w:ascii="Arial" w:cs="Arial" w:eastAsia="Arial" w:hAnsi="Arial"/>
          <w:sz w:val="17"/>
          <w:szCs w:val="17"/>
          <w:b w:val="1"/>
          <w:bCs w:val="1"/>
          <w:color w:val="518DC8"/>
        </w:rPr>
        <w:t>Related Party Transactions</w:t>
      </w:r>
    </w:p>
    <w:p>
      <w:pPr>
        <w:spacing w:after="0" w:line="145" w:lineRule="exact"/>
        <w:rPr>
          <w:rFonts w:ascii="Arial" w:cs="Arial" w:eastAsia="Arial" w:hAnsi="Arial"/>
          <w:sz w:val="17"/>
          <w:szCs w:val="17"/>
          <w:b w:val="1"/>
          <w:bCs w:val="1"/>
          <w:color w:val="FFFFFF"/>
        </w:rPr>
      </w:pPr>
    </w:p>
    <w:p>
      <w:pPr>
        <w:jc w:val="both"/>
        <w:ind w:left="160" w:right="59"/>
        <w:spacing w:after="0" w:line="257" w:lineRule="auto"/>
        <w:rPr>
          <w:sz w:val="20"/>
          <w:szCs w:val="20"/>
          <w:color w:val="auto"/>
        </w:rPr>
      </w:pPr>
      <w:r>
        <w:rPr>
          <w:rFonts w:ascii="Arial" w:cs="Arial" w:eastAsia="Arial" w:hAnsi="Arial"/>
          <w:sz w:val="17"/>
          <w:szCs w:val="17"/>
          <w:color w:val="auto"/>
        </w:rPr>
        <w:t>As required under SEC rules, transactions that are determined to be directly or indirectly material to us or a related person and which involve amounts exceeding $120,000 in the previous fiscal year are disclosed in our proxy statement.</w:t>
      </w:r>
    </w:p>
    <w:p>
      <w:pPr>
        <w:spacing w:after="0" w:line="128" w:lineRule="exact"/>
        <w:rPr>
          <w:rFonts w:ascii="Arial" w:cs="Arial" w:eastAsia="Arial" w:hAnsi="Arial"/>
          <w:sz w:val="17"/>
          <w:szCs w:val="17"/>
          <w:b w:val="1"/>
          <w:bCs w:val="1"/>
          <w:color w:val="FFFFFF"/>
        </w:rPr>
      </w:pPr>
    </w:p>
    <w:p>
      <w:pPr>
        <w:jc w:val="both"/>
        <w:ind w:left="160" w:right="59"/>
        <w:spacing w:after="0" w:line="253" w:lineRule="auto"/>
        <w:rPr>
          <w:sz w:val="20"/>
          <w:szCs w:val="20"/>
          <w:color w:val="auto"/>
        </w:rPr>
      </w:pPr>
      <w:r>
        <w:rPr>
          <w:rFonts w:ascii="Arial" w:cs="Arial" w:eastAsia="Arial" w:hAnsi="Arial"/>
          <w:sz w:val="17"/>
          <w:szCs w:val="17"/>
          <w:color w:val="auto"/>
        </w:rPr>
        <w:t>For fiscal year 2017, the Company recognized revenue of approximately $1.75 million for consulting services provided to PharmaCord, LLC. One of the Company’s directors, Nitin Sahney, is the member-manager and chief executive officer of PharmaCord, LLC. The terms of the Company’s services with PharmaCord, LLC are, in the Company’s opinion, no less favorable than the terms the Company would have been able to negotiate with an unrelated party, and the transactions with PharmaCord have been approved or ratified by our Audit Committee, with Mr. Sahney recusing himself from the discussion and decision regarding the transactions. After considering the amounts and other facts and circumstances regarding the relationship, the Board has determined that our transactions with PharmaCord, LLC do not impair Mr. Sahney’s independence under applicable Nasdaq standards and federal securities laws.</w:t>
      </w:r>
    </w:p>
    <w:p>
      <w:pPr>
        <w:sectPr>
          <w:pgSz w:w="11900" w:h="16838" w:orient="portrait"/>
          <w:cols w:equalWidth="0" w:num="1">
            <w:col w:w="9019"/>
          </w:cols>
          <w:pgMar w:left="1440" w:top="1440" w:right="1440" w:bottom="1440" w:gutter="0" w:footer="0" w:header="0"/>
        </w:sect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200" w:lineRule="exact"/>
        <w:rPr>
          <w:rFonts w:ascii="Arial" w:cs="Arial" w:eastAsia="Arial" w:hAnsi="Arial"/>
          <w:sz w:val="17"/>
          <w:szCs w:val="17"/>
          <w:b w:val="1"/>
          <w:bCs w:val="1"/>
          <w:color w:val="FFFFFF"/>
        </w:rPr>
      </w:pPr>
    </w:p>
    <w:p>
      <w:pPr>
        <w:spacing w:after="0" w:line="343" w:lineRule="exact"/>
        <w:rPr>
          <w:rFonts w:ascii="Arial" w:cs="Arial" w:eastAsia="Arial" w:hAnsi="Arial"/>
          <w:sz w:val="17"/>
          <w:szCs w:val="17"/>
          <w:b w:val="1"/>
          <w:bCs w:val="1"/>
          <w:color w:val="FFFFFF"/>
        </w:rPr>
      </w:pPr>
    </w:p>
    <w:p>
      <w:pPr>
        <w:jc w:val="center"/>
        <w:ind w:right="-100"/>
        <w:spacing w:after="0"/>
        <w:rPr>
          <w:sz w:val="20"/>
          <w:szCs w:val="20"/>
          <w:color w:val="auto"/>
        </w:rPr>
      </w:pPr>
      <w:r>
        <w:rPr>
          <w:rFonts w:ascii="Arial" w:cs="Arial" w:eastAsia="Arial" w:hAnsi="Arial"/>
          <w:sz w:val="17"/>
          <w:szCs w:val="17"/>
          <w:color w:val="auto"/>
        </w:rPr>
        <w:t>68</w:t>
      </w:r>
    </w:p>
    <w:p>
      <w:pPr>
        <w:spacing w:after="0" w:line="20" w:lineRule="exact"/>
        <w:rPr>
          <w:rFonts w:ascii="Arial" w:cs="Arial" w:eastAsia="Arial" w:hAnsi="Arial"/>
          <w:sz w:val="17"/>
          <w:szCs w:val="17"/>
          <w:b w:val="1"/>
          <w:bCs w:val="1"/>
          <w:color w:val="FFFFFF"/>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2" w:name="page73"/>
    <w:bookmarkEnd w:id="72"/>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REPORT OF THE AUDIT COMMITTEE</w:t>
      </w:r>
    </w:p>
    <w:p>
      <w:pPr>
        <w:spacing w:after="0" w:line="162" w:lineRule="exact"/>
        <w:rPr>
          <w:sz w:val="20"/>
          <w:szCs w:val="20"/>
          <w:color w:val="auto"/>
        </w:rPr>
      </w:pPr>
    </w:p>
    <w:p>
      <w:pPr>
        <w:ind w:left="160" w:right="79"/>
        <w:spacing w:after="0" w:line="263" w:lineRule="auto"/>
        <w:rPr>
          <w:sz w:val="20"/>
          <w:szCs w:val="20"/>
          <w:color w:val="auto"/>
        </w:rPr>
      </w:pPr>
      <w:r>
        <w:rPr>
          <w:rFonts w:ascii="Arial" w:cs="Arial" w:eastAsia="Arial" w:hAnsi="Arial"/>
          <w:sz w:val="17"/>
          <w:szCs w:val="17"/>
          <w:color w:val="auto"/>
        </w:rPr>
        <w:t>The Audit Committee of the board of directors of ExlService Holdings, Inc. assists our board of directors in fulfilling its oversight responsibilities with respect to the following:</w:t>
      </w:r>
    </w:p>
    <w:p>
      <w:pPr>
        <w:spacing w:after="0" w:line="123" w:lineRule="exact"/>
        <w:rPr>
          <w:sz w:val="20"/>
          <w:szCs w:val="20"/>
          <w:color w:val="auto"/>
        </w:rPr>
      </w:pPr>
    </w:p>
    <w:p>
      <w:pPr>
        <w:ind w:left="500" w:right="59" w:hanging="344"/>
        <w:spacing w:after="0" w:line="247" w:lineRule="auto"/>
        <w:tabs>
          <w:tab w:leader="none" w:pos="500" w:val="left"/>
        </w:tabs>
        <w:numPr>
          <w:ilvl w:val="0"/>
          <w:numId w:val="102"/>
        </w:numPr>
        <w:rPr>
          <w:rFonts w:ascii="Arial" w:cs="Arial" w:eastAsia="Arial" w:hAnsi="Arial"/>
          <w:sz w:val="17"/>
          <w:szCs w:val="17"/>
          <w:color w:val="DD924E"/>
        </w:rPr>
      </w:pPr>
      <w:r>
        <w:rPr>
          <w:rFonts w:ascii="Arial" w:cs="Arial" w:eastAsia="Arial" w:hAnsi="Arial"/>
          <w:sz w:val="17"/>
          <w:szCs w:val="17"/>
          <w:color w:val="auto"/>
        </w:rPr>
        <w:t>our accounting and financial reporting processes, including the integrity of the financial statements and other financial information provided by us to our stockholders, the public, stock exchanges and others;</w:t>
      </w:r>
    </w:p>
    <w:p>
      <w:pPr>
        <w:spacing w:after="0" w:line="123" w:lineRule="exact"/>
        <w:rPr>
          <w:rFonts w:ascii="Arial" w:cs="Arial" w:eastAsia="Arial" w:hAnsi="Arial"/>
          <w:sz w:val="17"/>
          <w:szCs w:val="17"/>
          <w:color w:val="DD924E"/>
        </w:rPr>
      </w:pPr>
    </w:p>
    <w:p>
      <w:pPr>
        <w:ind w:left="500" w:hanging="344"/>
        <w:spacing w:after="0"/>
        <w:tabs>
          <w:tab w:leader="none" w:pos="500" w:val="left"/>
        </w:tabs>
        <w:numPr>
          <w:ilvl w:val="0"/>
          <w:numId w:val="102"/>
        </w:numPr>
        <w:rPr>
          <w:rFonts w:ascii="Arial" w:cs="Arial" w:eastAsia="Arial" w:hAnsi="Arial"/>
          <w:sz w:val="17"/>
          <w:szCs w:val="17"/>
          <w:color w:val="DD924E"/>
        </w:rPr>
      </w:pPr>
      <w:r>
        <w:rPr>
          <w:rFonts w:ascii="Arial" w:cs="Arial" w:eastAsia="Arial" w:hAnsi="Arial"/>
          <w:sz w:val="17"/>
          <w:szCs w:val="17"/>
          <w:color w:val="auto"/>
        </w:rPr>
        <w:t>our compliance with legal and regulatory requirements;</w:t>
      </w:r>
    </w:p>
    <w:p>
      <w:pPr>
        <w:spacing w:after="0" w:line="125" w:lineRule="exact"/>
        <w:rPr>
          <w:rFonts w:ascii="Arial" w:cs="Arial" w:eastAsia="Arial" w:hAnsi="Arial"/>
          <w:sz w:val="17"/>
          <w:szCs w:val="17"/>
          <w:color w:val="DD924E"/>
        </w:rPr>
      </w:pPr>
    </w:p>
    <w:p>
      <w:pPr>
        <w:ind w:left="500" w:hanging="344"/>
        <w:spacing w:after="0"/>
        <w:tabs>
          <w:tab w:leader="none" w:pos="500" w:val="left"/>
        </w:tabs>
        <w:numPr>
          <w:ilvl w:val="0"/>
          <w:numId w:val="102"/>
        </w:numPr>
        <w:rPr>
          <w:rFonts w:ascii="Arial" w:cs="Arial" w:eastAsia="Arial" w:hAnsi="Arial"/>
          <w:sz w:val="17"/>
          <w:szCs w:val="17"/>
          <w:color w:val="DD924E"/>
        </w:rPr>
      </w:pPr>
      <w:r>
        <w:rPr>
          <w:rFonts w:ascii="Arial" w:cs="Arial" w:eastAsia="Arial" w:hAnsi="Arial"/>
          <w:sz w:val="17"/>
          <w:szCs w:val="17"/>
          <w:color w:val="auto"/>
        </w:rPr>
        <w:t>our registered independent public accounting firm’s qualifications and independence;</w:t>
      </w:r>
    </w:p>
    <w:p>
      <w:pPr>
        <w:spacing w:after="0" w:line="137" w:lineRule="exact"/>
        <w:rPr>
          <w:rFonts w:ascii="Arial" w:cs="Arial" w:eastAsia="Arial" w:hAnsi="Arial"/>
          <w:sz w:val="17"/>
          <w:szCs w:val="17"/>
          <w:color w:val="DD924E"/>
        </w:rPr>
      </w:pPr>
    </w:p>
    <w:p>
      <w:pPr>
        <w:ind w:left="500" w:hanging="344"/>
        <w:spacing w:after="0"/>
        <w:tabs>
          <w:tab w:leader="none" w:pos="500" w:val="left"/>
        </w:tabs>
        <w:numPr>
          <w:ilvl w:val="0"/>
          <w:numId w:val="102"/>
        </w:numPr>
        <w:rPr>
          <w:rFonts w:ascii="Arial" w:cs="Arial" w:eastAsia="Arial" w:hAnsi="Arial"/>
          <w:sz w:val="17"/>
          <w:szCs w:val="17"/>
          <w:color w:val="DD924E"/>
        </w:rPr>
      </w:pPr>
      <w:r>
        <w:rPr>
          <w:rFonts w:ascii="Arial" w:cs="Arial" w:eastAsia="Arial" w:hAnsi="Arial"/>
          <w:sz w:val="17"/>
          <w:szCs w:val="17"/>
          <w:color w:val="auto"/>
        </w:rPr>
        <w:t>the audit of our financial statements; and</w:t>
      </w:r>
    </w:p>
    <w:p>
      <w:pPr>
        <w:spacing w:after="0" w:line="137" w:lineRule="exact"/>
        <w:rPr>
          <w:rFonts w:ascii="Arial" w:cs="Arial" w:eastAsia="Arial" w:hAnsi="Arial"/>
          <w:sz w:val="17"/>
          <w:szCs w:val="17"/>
          <w:color w:val="DD924E"/>
        </w:rPr>
      </w:pPr>
    </w:p>
    <w:p>
      <w:pPr>
        <w:ind w:left="500" w:hanging="344"/>
        <w:spacing w:after="0"/>
        <w:tabs>
          <w:tab w:leader="none" w:pos="500" w:val="left"/>
        </w:tabs>
        <w:numPr>
          <w:ilvl w:val="0"/>
          <w:numId w:val="102"/>
        </w:numPr>
        <w:rPr>
          <w:rFonts w:ascii="Arial" w:cs="Arial" w:eastAsia="Arial" w:hAnsi="Arial"/>
          <w:sz w:val="17"/>
          <w:szCs w:val="17"/>
          <w:color w:val="DD924E"/>
        </w:rPr>
      </w:pPr>
      <w:r>
        <w:rPr>
          <w:rFonts w:ascii="Arial" w:cs="Arial" w:eastAsia="Arial" w:hAnsi="Arial"/>
          <w:sz w:val="17"/>
          <w:szCs w:val="17"/>
          <w:color w:val="auto"/>
        </w:rPr>
        <w:t>the performance of our internal audit function and independent registered public accounting firm.</w:t>
      </w:r>
    </w:p>
    <w:p>
      <w:pPr>
        <w:spacing w:after="0" w:line="125"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In connection with these responsibilities, the Audit Committee met with management and Ernst &amp; Young LLP to review and discuss the December 31, 2017 audited consolidated financial statements. The Audit Committee also discussed with Ernst &amp; Young LLP the matters required to be discussed by the Statement on Auditing Standards No. 61 (Communication with Audit Committees), as amended, as adopted by the Public Company Accounting Oversight Board in Rule 3200T. The Audit Committee also received written disclosures and the letter from Ernst &amp; Young LLP required by Rule 3526 of the Public Company Accounting Oversight Board (Communications with Audit Committees Concerning Independence), and the Audit Committee discussed with Ernst &amp; Young LLP the firm’s independence.</w:t>
      </w:r>
    </w:p>
    <w:p>
      <w:pPr>
        <w:spacing w:after="0" w:line="134" w:lineRule="exact"/>
        <w:rPr>
          <w:sz w:val="20"/>
          <w:szCs w:val="20"/>
          <w:color w:val="auto"/>
        </w:rPr>
      </w:pPr>
    </w:p>
    <w:p>
      <w:pPr>
        <w:jc w:val="both"/>
        <w:ind w:left="160" w:right="59"/>
        <w:spacing w:after="0" w:line="263" w:lineRule="auto"/>
        <w:rPr>
          <w:sz w:val="20"/>
          <w:szCs w:val="20"/>
          <w:color w:val="auto"/>
        </w:rPr>
      </w:pPr>
      <w:r>
        <w:rPr>
          <w:rFonts w:ascii="Arial" w:cs="Arial" w:eastAsia="Arial" w:hAnsi="Arial"/>
          <w:sz w:val="17"/>
          <w:szCs w:val="17"/>
          <w:color w:val="auto"/>
        </w:rPr>
        <w:t>Based on the review and discussions referred to above, the Audit Committee approved the inclusion of the audited financial statements in the Company’s Annual Report on Form 10-K for the fiscal year ended December 31, 2017.</w:t>
      </w:r>
    </w:p>
    <w:p>
      <w:pPr>
        <w:spacing w:after="0" w:line="1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AUDIT COMMITTEE</w:t>
      </w:r>
    </w:p>
    <w:p>
      <w:pPr>
        <w:spacing w:after="0" w:line="13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Mr. Clyde W. Ostler (Chairman)</w:t>
      </w:r>
    </w:p>
    <w:p>
      <w:pPr>
        <w:spacing w:after="0" w:line="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Mr. David B. Kelso</w:t>
      </w:r>
    </w:p>
    <w:p>
      <w:pPr>
        <w:spacing w:after="0" w:line="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Ms. Deborah Kerr</w:t>
      </w:r>
    </w:p>
    <w:p>
      <w:pPr>
        <w:spacing w:after="0" w:line="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Mr. Nitin Sahney</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3" w:name="page74"/>
    <w:bookmarkEnd w:id="73"/>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PROPOSAL 1</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ELECTION OF DIRECTORS</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518DC8"/>
        </w:rPr>
        <w:t>The Nominees</w:t>
      </w:r>
    </w:p>
    <w:p>
      <w:pPr>
        <w:spacing w:after="0" w:line="158"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Our Nominating and Governance Committee has nominated, and our board of directors has designated, Ms. Kerr and Messrs. Sahney and Staglin to stand for election as Class III directors at the Annual Meeting. All three nominees are standing for re-election. If elected, each of the Class III director nominees will serve on our board of directors until our 2021 Annual Meeting of Stockholders or until their successors are duly elected and qualified in accordance with our by-laws.</w:t>
      </w:r>
    </w:p>
    <w:p>
      <w:pPr>
        <w:spacing w:after="0" w:line="132"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The proxies given to the proxy holders will be voted or not voted as directed and, if no direction is given, will be voted FOR these three nominees. Our board of directors knows of no reason why any of these nominees should be unable or unwilling to serve. However, if for any reason any nominee should be unable or unwilling to stand for election, the shares represented by proxies will be voted for the election of any substitute nominee designated by our board of directors to fill the vacancy.</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518DC8"/>
        </w:rPr>
        <w:t>General Information About Nominees</w:t>
      </w:r>
    </w:p>
    <w:p>
      <w:pPr>
        <w:spacing w:after="0" w:line="158"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 Other information required with respect to any solicitation of proxies in connection with the election of directors is found elsewhere in this proxy statement.</w:t>
      </w:r>
    </w:p>
    <w:p>
      <w:pPr>
        <w:spacing w:after="0" w:line="133" w:lineRule="exact"/>
        <w:rPr>
          <w:sz w:val="20"/>
          <w:szCs w:val="20"/>
          <w:color w:val="auto"/>
        </w:rPr>
      </w:pPr>
    </w:p>
    <w:tbl>
      <w:tblPr>
        <w:tblLayout w:type="fixed"/>
        <w:tblInd w:w="170" w:type="dxa"/>
        <w:tblCellMar>
          <w:top w:w="0" w:type="dxa"/>
          <w:left w:w="0" w:type="dxa"/>
          <w:bottom w:w="0" w:type="dxa"/>
          <w:right w:w="0" w:type="dxa"/>
        </w:tblCellMar>
      </w:tblPr>
      <w:tr>
        <w:trPr>
          <w:trHeight w:val="249"/>
        </w:trPr>
        <w:tc>
          <w:tcPr>
            <w:tcW w:w="60" w:type="dxa"/>
            <w:vAlign w:val="bottom"/>
            <w:tcBorders>
              <w:left w:val="single" w:sz="8" w:color="DD924E"/>
              <w:bottom w:val="single" w:sz="8" w:color="DD924E"/>
            </w:tcBorders>
            <w:shd w:val="clear" w:color="auto" w:fill="DD924E"/>
          </w:tcPr>
          <w:p>
            <w:pPr>
              <w:spacing w:after="0"/>
              <w:rPr>
                <w:sz w:val="21"/>
                <w:szCs w:val="21"/>
                <w:color w:val="auto"/>
              </w:rPr>
            </w:pPr>
          </w:p>
        </w:tc>
        <w:tc>
          <w:tcPr>
            <w:tcW w:w="1480" w:type="dxa"/>
            <w:vAlign w:val="bottom"/>
            <w:tcBorders>
              <w:bottom w:val="single" w:sz="8" w:color="auto"/>
            </w:tcBorders>
            <w:shd w:val="clear" w:color="auto" w:fill="DD924E"/>
          </w:tcPr>
          <w:p>
            <w:pPr>
              <w:ind w:left="500"/>
              <w:spacing w:after="0"/>
              <w:rPr>
                <w:sz w:val="20"/>
                <w:szCs w:val="20"/>
                <w:color w:val="auto"/>
              </w:rPr>
            </w:pPr>
            <w:r>
              <w:rPr>
                <w:rFonts w:ascii="Arial" w:cs="Arial" w:eastAsia="Arial" w:hAnsi="Arial"/>
                <w:sz w:val="17"/>
                <w:szCs w:val="17"/>
                <w:b w:val="1"/>
                <w:bCs w:val="1"/>
                <w:color w:val="FFFFFF"/>
              </w:rPr>
              <w:t>Name</w:t>
            </w:r>
          </w:p>
        </w:tc>
        <w:tc>
          <w:tcPr>
            <w:tcW w:w="100" w:type="dxa"/>
            <w:vAlign w:val="bottom"/>
            <w:tcBorders>
              <w:bottom w:val="single" w:sz="8" w:color="DD924E"/>
            </w:tcBorders>
            <w:shd w:val="clear" w:color="auto" w:fill="DD924E"/>
          </w:tcPr>
          <w:p>
            <w:pPr>
              <w:spacing w:after="0"/>
              <w:rPr>
                <w:sz w:val="21"/>
                <w:szCs w:val="21"/>
                <w:color w:val="auto"/>
              </w:rPr>
            </w:pPr>
          </w:p>
        </w:tc>
        <w:tc>
          <w:tcPr>
            <w:tcW w:w="62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7"/>
                <w:szCs w:val="17"/>
                <w:b w:val="1"/>
                <w:bCs w:val="1"/>
                <w:color w:val="FFFFFF"/>
                <w:w w:val="99"/>
              </w:rPr>
              <w:t>Age</w:t>
            </w:r>
          </w:p>
        </w:tc>
        <w:tc>
          <w:tcPr>
            <w:tcW w:w="100" w:type="dxa"/>
            <w:vAlign w:val="bottom"/>
            <w:tcBorders>
              <w:bottom w:val="single" w:sz="8" w:color="DD924E"/>
            </w:tcBorders>
            <w:shd w:val="clear" w:color="auto" w:fill="DD924E"/>
          </w:tcPr>
          <w:p>
            <w:pPr>
              <w:spacing w:after="0"/>
              <w:rPr>
                <w:sz w:val="21"/>
                <w:szCs w:val="21"/>
                <w:color w:val="auto"/>
              </w:rPr>
            </w:pPr>
          </w:p>
        </w:tc>
        <w:tc>
          <w:tcPr>
            <w:tcW w:w="160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7"/>
                <w:szCs w:val="17"/>
                <w:b w:val="1"/>
                <w:bCs w:val="1"/>
                <w:color w:val="FFFFFF"/>
              </w:rPr>
              <w:t>Director Since</w:t>
            </w:r>
          </w:p>
        </w:tc>
        <w:tc>
          <w:tcPr>
            <w:tcW w:w="100" w:type="dxa"/>
            <w:vAlign w:val="bottom"/>
            <w:tcBorders>
              <w:bottom w:val="single" w:sz="8" w:color="DD924E"/>
            </w:tcBorders>
            <w:shd w:val="clear" w:color="auto" w:fill="DD924E"/>
          </w:tcPr>
          <w:p>
            <w:pPr>
              <w:spacing w:after="0"/>
              <w:rPr>
                <w:sz w:val="21"/>
                <w:szCs w:val="21"/>
                <w:color w:val="auto"/>
              </w:rPr>
            </w:pPr>
          </w:p>
        </w:tc>
        <w:tc>
          <w:tcPr>
            <w:tcW w:w="154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7"/>
                <w:szCs w:val="17"/>
                <w:b w:val="1"/>
                <w:bCs w:val="1"/>
                <w:color w:val="FFFFFF"/>
              </w:rPr>
              <w:t>Independent</w:t>
            </w:r>
          </w:p>
        </w:tc>
        <w:tc>
          <w:tcPr>
            <w:tcW w:w="100" w:type="dxa"/>
            <w:vAlign w:val="bottom"/>
            <w:tcBorders>
              <w:bottom w:val="single" w:sz="8" w:color="DD924E"/>
            </w:tcBorders>
            <w:shd w:val="clear" w:color="auto" w:fill="DD924E"/>
          </w:tcPr>
          <w:p>
            <w:pPr>
              <w:spacing w:after="0"/>
              <w:rPr>
                <w:sz w:val="21"/>
                <w:szCs w:val="21"/>
                <w:color w:val="auto"/>
              </w:rPr>
            </w:pPr>
          </w:p>
        </w:tc>
        <w:tc>
          <w:tcPr>
            <w:tcW w:w="200" w:type="dxa"/>
            <w:vAlign w:val="bottom"/>
            <w:tcBorders>
              <w:bottom w:val="single" w:sz="8" w:color="auto"/>
            </w:tcBorders>
            <w:shd w:val="clear" w:color="auto" w:fill="DD924E"/>
          </w:tcPr>
          <w:p>
            <w:pPr>
              <w:spacing w:after="0"/>
              <w:rPr>
                <w:sz w:val="21"/>
                <w:szCs w:val="21"/>
                <w:color w:val="auto"/>
              </w:rPr>
            </w:pPr>
          </w:p>
        </w:tc>
        <w:tc>
          <w:tcPr>
            <w:tcW w:w="2820" w:type="dxa"/>
            <w:vAlign w:val="bottom"/>
            <w:tcBorders>
              <w:bottom w:val="single" w:sz="8" w:color="auto"/>
            </w:tcBorders>
            <w:shd w:val="clear" w:color="auto" w:fill="DD924E"/>
          </w:tcPr>
          <w:p>
            <w:pPr>
              <w:ind w:left="340"/>
              <w:spacing w:after="0"/>
              <w:rPr>
                <w:sz w:val="20"/>
                <w:szCs w:val="20"/>
                <w:color w:val="auto"/>
              </w:rPr>
            </w:pPr>
            <w:r>
              <w:rPr>
                <w:rFonts w:ascii="Arial" w:cs="Arial" w:eastAsia="Arial" w:hAnsi="Arial"/>
                <w:sz w:val="17"/>
                <w:szCs w:val="17"/>
                <w:b w:val="1"/>
                <w:bCs w:val="1"/>
                <w:color w:val="FFFFFF"/>
              </w:rPr>
              <w:t>Committee Membership</w:t>
            </w:r>
          </w:p>
        </w:tc>
        <w:tc>
          <w:tcPr>
            <w:tcW w:w="80" w:type="dxa"/>
            <w:vAlign w:val="bottom"/>
            <w:tcBorders>
              <w:bottom w:val="single" w:sz="8" w:color="DD924E"/>
              <w:right w:val="single" w:sz="8" w:color="DD924E"/>
            </w:tcBorders>
            <w:shd w:val="clear" w:color="auto" w:fill="DD924E"/>
          </w:tcPr>
          <w:p>
            <w:pPr>
              <w:spacing w:after="0"/>
              <w:rPr>
                <w:sz w:val="21"/>
                <w:szCs w:val="21"/>
                <w:color w:val="auto"/>
              </w:rPr>
            </w:pPr>
          </w:p>
        </w:tc>
      </w:tr>
      <w:tr>
        <w:trPr>
          <w:trHeight w:val="217"/>
        </w:trPr>
        <w:tc>
          <w:tcPr>
            <w:tcW w:w="154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7"/>
                <w:szCs w:val="17"/>
                <w:color w:val="auto"/>
              </w:rPr>
              <w:t>Deborah Kerr</w:t>
            </w:r>
          </w:p>
        </w:tc>
        <w:tc>
          <w:tcPr>
            <w:tcW w:w="720" w:type="dxa"/>
            <w:vAlign w:val="bottom"/>
            <w:gridSpan w:val="2"/>
            <w:shd w:val="clear" w:color="auto" w:fill="FBF4ED"/>
          </w:tcPr>
          <w:p>
            <w:pPr>
              <w:jc w:val="center"/>
              <w:ind w:left="15"/>
              <w:spacing w:after="0"/>
              <w:rPr>
                <w:sz w:val="20"/>
                <w:szCs w:val="20"/>
                <w:color w:val="auto"/>
              </w:rPr>
            </w:pPr>
            <w:r>
              <w:rPr>
                <w:rFonts w:ascii="Arial" w:cs="Arial" w:eastAsia="Arial" w:hAnsi="Arial"/>
                <w:sz w:val="17"/>
                <w:szCs w:val="17"/>
                <w:color w:val="auto"/>
                <w:w w:val="94"/>
              </w:rPr>
              <w:t>46</w:t>
            </w:r>
          </w:p>
        </w:tc>
        <w:tc>
          <w:tcPr>
            <w:tcW w:w="100" w:type="dxa"/>
            <w:vAlign w:val="bottom"/>
            <w:shd w:val="clear" w:color="auto" w:fill="FBF4ED"/>
          </w:tcPr>
          <w:p>
            <w:pPr>
              <w:spacing w:after="0"/>
              <w:rPr>
                <w:sz w:val="18"/>
                <w:szCs w:val="18"/>
                <w:color w:val="auto"/>
              </w:rPr>
            </w:pPr>
          </w:p>
        </w:tc>
        <w:tc>
          <w:tcPr>
            <w:tcW w:w="1600" w:type="dxa"/>
            <w:vAlign w:val="bottom"/>
            <w:shd w:val="clear" w:color="auto" w:fill="FBF4ED"/>
          </w:tcPr>
          <w:p>
            <w:pPr>
              <w:jc w:val="center"/>
              <w:spacing w:after="0"/>
              <w:rPr>
                <w:sz w:val="20"/>
                <w:szCs w:val="20"/>
                <w:color w:val="auto"/>
              </w:rPr>
            </w:pPr>
            <w:r>
              <w:rPr>
                <w:rFonts w:ascii="Arial" w:cs="Arial" w:eastAsia="Arial" w:hAnsi="Arial"/>
                <w:sz w:val="17"/>
                <w:szCs w:val="17"/>
                <w:color w:val="auto"/>
              </w:rPr>
              <w:t>January 2015</w:t>
            </w:r>
          </w:p>
        </w:tc>
        <w:tc>
          <w:tcPr>
            <w:tcW w:w="100" w:type="dxa"/>
            <w:vAlign w:val="bottom"/>
            <w:shd w:val="clear" w:color="auto" w:fill="FBF4ED"/>
          </w:tcPr>
          <w:p>
            <w:pPr>
              <w:spacing w:after="0"/>
              <w:rPr>
                <w:sz w:val="18"/>
                <w:szCs w:val="18"/>
                <w:color w:val="auto"/>
              </w:rPr>
            </w:pPr>
          </w:p>
        </w:tc>
        <w:tc>
          <w:tcPr>
            <w:tcW w:w="1540" w:type="dxa"/>
            <w:vAlign w:val="bottom"/>
            <w:shd w:val="clear" w:color="auto" w:fill="FBF4ED"/>
          </w:tcPr>
          <w:p>
            <w:pPr>
              <w:jc w:val="center"/>
              <w:spacing w:after="0"/>
              <w:rPr>
                <w:sz w:val="20"/>
                <w:szCs w:val="20"/>
                <w:color w:val="auto"/>
              </w:rPr>
            </w:pPr>
            <w:r>
              <w:rPr>
                <w:rFonts w:ascii="Arial" w:cs="Arial" w:eastAsia="Arial" w:hAnsi="Arial"/>
                <w:sz w:val="17"/>
                <w:szCs w:val="17"/>
                <w:color w:val="auto"/>
                <w:w w:val="95"/>
              </w:rPr>
              <w:t>Yes</w:t>
            </w:r>
          </w:p>
        </w:tc>
        <w:tc>
          <w:tcPr>
            <w:tcW w:w="300" w:type="dxa"/>
            <w:vAlign w:val="bottom"/>
            <w:gridSpan w:val="2"/>
            <w:shd w:val="clear" w:color="auto" w:fill="FBF4ED"/>
          </w:tcPr>
          <w:p>
            <w:pPr>
              <w:jc w:val="right"/>
              <w:ind w:right="120"/>
              <w:spacing w:after="0"/>
              <w:rPr>
                <w:sz w:val="20"/>
                <w:szCs w:val="20"/>
                <w:color w:val="auto"/>
              </w:rPr>
            </w:pPr>
            <w:r>
              <w:rPr>
                <w:rFonts w:ascii="Arial" w:cs="Arial" w:eastAsia="Arial" w:hAnsi="Arial"/>
                <w:sz w:val="17"/>
                <w:szCs w:val="17"/>
                <w:color w:val="DD924E"/>
              </w:rPr>
              <w:t>&gt;</w:t>
            </w:r>
          </w:p>
        </w:tc>
        <w:tc>
          <w:tcPr>
            <w:tcW w:w="2900" w:type="dxa"/>
            <w:vAlign w:val="bottom"/>
            <w:tcBorders>
              <w:right w:val="single" w:sz="8" w:color="DD924E"/>
            </w:tcBorders>
            <w:gridSpan w:val="2"/>
            <w:shd w:val="clear" w:color="auto" w:fill="FBF4ED"/>
          </w:tcPr>
          <w:p>
            <w:pPr>
              <w:ind w:left="120"/>
              <w:spacing w:after="0"/>
              <w:rPr>
                <w:sz w:val="20"/>
                <w:szCs w:val="20"/>
                <w:color w:val="auto"/>
              </w:rPr>
            </w:pPr>
            <w:r>
              <w:rPr>
                <w:rFonts w:ascii="Arial" w:cs="Arial" w:eastAsia="Arial" w:hAnsi="Arial"/>
                <w:sz w:val="17"/>
                <w:szCs w:val="17"/>
                <w:color w:val="auto"/>
              </w:rPr>
              <w:t>Audit Committee</w:t>
            </w:r>
          </w:p>
        </w:tc>
      </w:tr>
      <w:tr>
        <w:trPr>
          <w:trHeight w:val="219"/>
        </w:trPr>
        <w:tc>
          <w:tcPr>
            <w:tcW w:w="60" w:type="dxa"/>
            <w:vAlign w:val="bottom"/>
            <w:tcBorders>
              <w:left w:val="single" w:sz="8" w:color="DD924E"/>
            </w:tcBorders>
            <w:shd w:val="clear" w:color="auto" w:fill="FBF4ED"/>
          </w:tcPr>
          <w:p>
            <w:pPr>
              <w:spacing w:after="0"/>
              <w:rPr>
                <w:sz w:val="19"/>
                <w:szCs w:val="19"/>
                <w:color w:val="auto"/>
              </w:rPr>
            </w:pPr>
          </w:p>
        </w:tc>
        <w:tc>
          <w:tcPr>
            <w:tcW w:w="148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62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1600" w:type="dxa"/>
            <w:vAlign w:val="bottom"/>
            <w:shd w:val="clear" w:color="auto" w:fill="FBF4ED"/>
          </w:tcPr>
          <w:p>
            <w:pPr>
              <w:spacing w:after="0"/>
              <w:rPr>
                <w:sz w:val="19"/>
                <w:szCs w:val="19"/>
                <w:color w:val="auto"/>
              </w:rPr>
            </w:pPr>
          </w:p>
        </w:tc>
        <w:tc>
          <w:tcPr>
            <w:tcW w:w="100" w:type="dxa"/>
            <w:vAlign w:val="bottom"/>
            <w:shd w:val="clear" w:color="auto" w:fill="FBF4ED"/>
          </w:tcPr>
          <w:p>
            <w:pPr>
              <w:spacing w:after="0"/>
              <w:rPr>
                <w:sz w:val="19"/>
                <w:szCs w:val="19"/>
                <w:color w:val="auto"/>
              </w:rPr>
            </w:pPr>
          </w:p>
        </w:tc>
        <w:tc>
          <w:tcPr>
            <w:tcW w:w="1540" w:type="dxa"/>
            <w:vAlign w:val="bottom"/>
            <w:shd w:val="clear" w:color="auto" w:fill="FBF4ED"/>
          </w:tcPr>
          <w:p>
            <w:pPr>
              <w:spacing w:after="0"/>
              <w:rPr>
                <w:sz w:val="19"/>
                <w:szCs w:val="19"/>
                <w:color w:val="auto"/>
              </w:rPr>
            </w:pPr>
          </w:p>
        </w:tc>
        <w:tc>
          <w:tcPr>
            <w:tcW w:w="300" w:type="dxa"/>
            <w:vAlign w:val="bottom"/>
            <w:gridSpan w:val="2"/>
            <w:shd w:val="clear" w:color="auto" w:fill="FBF4ED"/>
          </w:tcPr>
          <w:p>
            <w:pPr>
              <w:jc w:val="right"/>
              <w:ind w:right="120"/>
              <w:spacing w:after="0"/>
              <w:rPr>
                <w:sz w:val="20"/>
                <w:szCs w:val="20"/>
                <w:color w:val="auto"/>
              </w:rPr>
            </w:pPr>
            <w:r>
              <w:rPr>
                <w:rFonts w:ascii="Arial" w:cs="Arial" w:eastAsia="Arial" w:hAnsi="Arial"/>
                <w:sz w:val="17"/>
                <w:szCs w:val="17"/>
                <w:color w:val="DD924E"/>
              </w:rPr>
              <w:t>&gt;</w:t>
            </w:r>
          </w:p>
        </w:tc>
        <w:tc>
          <w:tcPr>
            <w:tcW w:w="2900" w:type="dxa"/>
            <w:vAlign w:val="bottom"/>
            <w:tcBorders>
              <w:right w:val="single" w:sz="8" w:color="DD924E"/>
            </w:tcBorders>
            <w:gridSpan w:val="2"/>
            <w:shd w:val="clear" w:color="auto" w:fill="FBF4ED"/>
          </w:tcPr>
          <w:p>
            <w:pPr>
              <w:ind w:left="120"/>
              <w:spacing w:after="0"/>
              <w:rPr>
                <w:sz w:val="20"/>
                <w:szCs w:val="20"/>
                <w:color w:val="auto"/>
              </w:rPr>
            </w:pPr>
            <w:r>
              <w:rPr>
                <w:rFonts w:ascii="Arial" w:cs="Arial" w:eastAsia="Arial" w:hAnsi="Arial"/>
                <w:sz w:val="17"/>
                <w:szCs w:val="17"/>
                <w:color w:val="auto"/>
              </w:rPr>
              <w:t>Compensation Committee</w:t>
            </w:r>
          </w:p>
        </w:tc>
      </w:tr>
      <w:tr>
        <w:trPr>
          <w:trHeight w:val="217"/>
        </w:trPr>
        <w:tc>
          <w:tcPr>
            <w:tcW w:w="1540" w:type="dxa"/>
            <w:vAlign w:val="bottom"/>
            <w:tcBorders>
              <w:left w:val="single" w:sz="8" w:color="DD924E"/>
            </w:tcBorders>
            <w:gridSpan w:val="2"/>
          </w:tcPr>
          <w:p>
            <w:pPr>
              <w:ind w:left="60"/>
              <w:spacing w:after="0"/>
              <w:rPr>
                <w:sz w:val="20"/>
                <w:szCs w:val="20"/>
                <w:color w:val="auto"/>
              </w:rPr>
            </w:pPr>
            <w:r>
              <w:rPr>
                <w:rFonts w:ascii="Arial" w:cs="Arial" w:eastAsia="Arial" w:hAnsi="Arial"/>
                <w:sz w:val="17"/>
                <w:szCs w:val="17"/>
                <w:color w:val="auto"/>
              </w:rPr>
              <w:t>Nitin Sahney</w:t>
            </w:r>
          </w:p>
        </w:tc>
        <w:tc>
          <w:tcPr>
            <w:tcW w:w="720" w:type="dxa"/>
            <w:vAlign w:val="bottom"/>
            <w:gridSpan w:val="2"/>
          </w:tcPr>
          <w:p>
            <w:pPr>
              <w:jc w:val="center"/>
              <w:ind w:left="15"/>
              <w:spacing w:after="0"/>
              <w:rPr>
                <w:sz w:val="20"/>
                <w:szCs w:val="20"/>
                <w:color w:val="auto"/>
              </w:rPr>
            </w:pPr>
            <w:r>
              <w:rPr>
                <w:rFonts w:ascii="Arial" w:cs="Arial" w:eastAsia="Arial" w:hAnsi="Arial"/>
                <w:sz w:val="17"/>
                <w:szCs w:val="17"/>
                <w:color w:val="auto"/>
                <w:w w:val="94"/>
              </w:rPr>
              <w:t>55</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rPr>
              <w:t>January 2016</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DD924E"/>
              </w:rPr>
              <w:t>&gt;</w:t>
            </w:r>
          </w:p>
        </w:tc>
        <w:tc>
          <w:tcPr>
            <w:tcW w:w="2900" w:type="dxa"/>
            <w:vAlign w:val="bottom"/>
            <w:tcBorders>
              <w:right w:val="single" w:sz="8" w:color="DD924E"/>
            </w:tcBorders>
            <w:gridSpan w:val="2"/>
          </w:tcPr>
          <w:p>
            <w:pPr>
              <w:ind w:left="120"/>
              <w:spacing w:after="0"/>
              <w:rPr>
                <w:sz w:val="20"/>
                <w:szCs w:val="20"/>
                <w:color w:val="auto"/>
              </w:rPr>
            </w:pPr>
            <w:r>
              <w:rPr>
                <w:rFonts w:ascii="Arial" w:cs="Arial" w:eastAsia="Arial" w:hAnsi="Arial"/>
                <w:sz w:val="17"/>
                <w:szCs w:val="17"/>
                <w:color w:val="auto"/>
              </w:rPr>
              <w:t>Audit Committee</w:t>
            </w:r>
          </w:p>
        </w:tc>
      </w:tr>
      <w:tr>
        <w:trPr>
          <w:trHeight w:val="192"/>
        </w:trPr>
        <w:tc>
          <w:tcPr>
            <w:tcW w:w="60" w:type="dxa"/>
            <w:vAlign w:val="bottom"/>
            <w:tcBorders>
              <w:left w:val="single" w:sz="8" w:color="DD924E"/>
            </w:tcBorders>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DD924E"/>
              </w:rPr>
              <w:t>&gt;</w:t>
            </w:r>
          </w:p>
        </w:tc>
        <w:tc>
          <w:tcPr>
            <w:tcW w:w="2900" w:type="dxa"/>
            <w:vAlign w:val="bottom"/>
            <w:tcBorders>
              <w:right w:val="single" w:sz="8" w:color="DD924E"/>
            </w:tcBorders>
            <w:gridSpan w:val="2"/>
          </w:tcPr>
          <w:p>
            <w:pPr>
              <w:ind w:left="120"/>
              <w:spacing w:after="0" w:line="193" w:lineRule="exact"/>
              <w:rPr>
                <w:sz w:val="20"/>
                <w:szCs w:val="20"/>
                <w:color w:val="auto"/>
              </w:rPr>
            </w:pPr>
            <w:r>
              <w:rPr>
                <w:rFonts w:ascii="Arial" w:cs="Arial" w:eastAsia="Arial" w:hAnsi="Arial"/>
                <w:sz w:val="17"/>
                <w:szCs w:val="17"/>
                <w:color w:val="auto"/>
              </w:rPr>
              <w:t>Nominating and Corporate</w:t>
            </w:r>
          </w:p>
        </w:tc>
      </w:tr>
      <w:tr>
        <w:trPr>
          <w:trHeight w:val="212"/>
        </w:trPr>
        <w:tc>
          <w:tcPr>
            <w:tcW w:w="60" w:type="dxa"/>
            <w:vAlign w:val="bottom"/>
            <w:tcBorders>
              <w:left w:val="single" w:sz="8" w:color="DD924E"/>
            </w:tcBorders>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tcBorders>
              <w:right w:val="single" w:sz="8" w:color="DD924E"/>
            </w:tcBorders>
            <w:gridSpan w:val="2"/>
          </w:tcPr>
          <w:p>
            <w:pPr>
              <w:ind w:left="120"/>
              <w:spacing w:after="0"/>
              <w:rPr>
                <w:sz w:val="20"/>
                <w:szCs w:val="20"/>
                <w:color w:val="auto"/>
              </w:rPr>
            </w:pPr>
            <w:r>
              <w:rPr>
                <w:rFonts w:ascii="Arial" w:cs="Arial" w:eastAsia="Arial" w:hAnsi="Arial"/>
                <w:sz w:val="17"/>
                <w:szCs w:val="17"/>
                <w:color w:val="auto"/>
              </w:rPr>
              <w:t>Governance Committee</w:t>
            </w:r>
          </w:p>
        </w:tc>
      </w:tr>
      <w:tr>
        <w:trPr>
          <w:trHeight w:val="224"/>
        </w:trPr>
        <w:tc>
          <w:tcPr>
            <w:tcW w:w="154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7"/>
                <w:szCs w:val="17"/>
                <w:color w:val="auto"/>
              </w:rPr>
              <w:t>Garen Staglin,</w:t>
            </w:r>
          </w:p>
        </w:tc>
        <w:tc>
          <w:tcPr>
            <w:tcW w:w="720" w:type="dxa"/>
            <w:vAlign w:val="bottom"/>
            <w:gridSpan w:val="2"/>
            <w:shd w:val="clear" w:color="auto" w:fill="FBF4ED"/>
          </w:tcPr>
          <w:p>
            <w:pPr>
              <w:jc w:val="center"/>
              <w:ind w:left="15"/>
              <w:spacing w:after="0"/>
              <w:rPr>
                <w:sz w:val="20"/>
                <w:szCs w:val="20"/>
                <w:color w:val="auto"/>
              </w:rPr>
            </w:pPr>
            <w:r>
              <w:rPr>
                <w:rFonts w:ascii="Arial" w:cs="Arial" w:eastAsia="Arial" w:hAnsi="Arial"/>
                <w:sz w:val="17"/>
                <w:szCs w:val="17"/>
                <w:color w:val="auto"/>
                <w:w w:val="94"/>
              </w:rPr>
              <w:t>73</w:t>
            </w:r>
          </w:p>
        </w:tc>
        <w:tc>
          <w:tcPr>
            <w:tcW w:w="100" w:type="dxa"/>
            <w:vAlign w:val="bottom"/>
            <w:shd w:val="clear" w:color="auto" w:fill="FBF4ED"/>
          </w:tcPr>
          <w:p>
            <w:pPr>
              <w:spacing w:after="0"/>
              <w:rPr>
                <w:sz w:val="19"/>
                <w:szCs w:val="19"/>
                <w:color w:val="auto"/>
              </w:rPr>
            </w:pPr>
          </w:p>
        </w:tc>
        <w:tc>
          <w:tcPr>
            <w:tcW w:w="1600" w:type="dxa"/>
            <w:vAlign w:val="bottom"/>
            <w:shd w:val="clear" w:color="auto" w:fill="FBF4ED"/>
          </w:tcPr>
          <w:p>
            <w:pPr>
              <w:jc w:val="center"/>
              <w:spacing w:after="0"/>
              <w:rPr>
                <w:sz w:val="20"/>
                <w:szCs w:val="20"/>
                <w:color w:val="auto"/>
              </w:rPr>
            </w:pPr>
            <w:r>
              <w:rPr>
                <w:rFonts w:ascii="Arial" w:cs="Arial" w:eastAsia="Arial" w:hAnsi="Arial"/>
                <w:sz w:val="17"/>
                <w:szCs w:val="17"/>
                <w:color w:val="auto"/>
              </w:rPr>
              <w:t>June 2005</w:t>
            </w:r>
          </w:p>
        </w:tc>
        <w:tc>
          <w:tcPr>
            <w:tcW w:w="100" w:type="dxa"/>
            <w:vAlign w:val="bottom"/>
            <w:shd w:val="clear" w:color="auto" w:fill="FBF4ED"/>
          </w:tcPr>
          <w:p>
            <w:pPr>
              <w:spacing w:after="0"/>
              <w:rPr>
                <w:sz w:val="19"/>
                <w:szCs w:val="19"/>
                <w:color w:val="auto"/>
              </w:rPr>
            </w:pPr>
          </w:p>
        </w:tc>
        <w:tc>
          <w:tcPr>
            <w:tcW w:w="1540" w:type="dxa"/>
            <w:vAlign w:val="bottom"/>
            <w:shd w:val="clear" w:color="auto" w:fill="FBF4ED"/>
          </w:tcPr>
          <w:p>
            <w:pPr>
              <w:jc w:val="center"/>
              <w:spacing w:after="0"/>
              <w:rPr>
                <w:sz w:val="20"/>
                <w:szCs w:val="20"/>
                <w:color w:val="auto"/>
              </w:rPr>
            </w:pPr>
            <w:r>
              <w:rPr>
                <w:rFonts w:ascii="Arial" w:cs="Arial" w:eastAsia="Arial" w:hAnsi="Arial"/>
                <w:sz w:val="17"/>
                <w:szCs w:val="17"/>
                <w:color w:val="auto"/>
                <w:w w:val="95"/>
              </w:rPr>
              <w:t>Yes</w:t>
            </w:r>
          </w:p>
        </w:tc>
        <w:tc>
          <w:tcPr>
            <w:tcW w:w="300" w:type="dxa"/>
            <w:vAlign w:val="bottom"/>
            <w:gridSpan w:val="2"/>
            <w:shd w:val="clear" w:color="auto" w:fill="FBF4ED"/>
          </w:tcPr>
          <w:p>
            <w:pPr>
              <w:jc w:val="right"/>
              <w:ind w:right="120"/>
              <w:spacing w:after="0"/>
              <w:rPr>
                <w:sz w:val="20"/>
                <w:szCs w:val="20"/>
                <w:color w:val="auto"/>
              </w:rPr>
            </w:pPr>
            <w:r>
              <w:rPr>
                <w:rFonts w:ascii="Arial" w:cs="Arial" w:eastAsia="Arial" w:hAnsi="Arial"/>
                <w:sz w:val="17"/>
                <w:szCs w:val="17"/>
                <w:color w:val="DD924E"/>
              </w:rPr>
              <w:t>&gt;</w:t>
            </w:r>
          </w:p>
        </w:tc>
        <w:tc>
          <w:tcPr>
            <w:tcW w:w="2900" w:type="dxa"/>
            <w:vAlign w:val="bottom"/>
            <w:tcBorders>
              <w:right w:val="single" w:sz="8" w:color="DD924E"/>
            </w:tcBorders>
            <w:gridSpan w:val="2"/>
            <w:shd w:val="clear" w:color="auto" w:fill="FBF4ED"/>
          </w:tcPr>
          <w:p>
            <w:pPr>
              <w:ind w:left="120"/>
              <w:spacing w:after="0"/>
              <w:rPr>
                <w:sz w:val="20"/>
                <w:szCs w:val="20"/>
                <w:color w:val="auto"/>
              </w:rPr>
            </w:pPr>
            <w:r>
              <w:rPr>
                <w:rFonts w:ascii="Arial" w:cs="Arial" w:eastAsia="Arial" w:hAnsi="Arial"/>
                <w:sz w:val="17"/>
                <w:szCs w:val="17"/>
                <w:color w:val="auto"/>
              </w:rPr>
              <w:t>Compensation Committee</w:t>
            </w:r>
          </w:p>
        </w:tc>
      </w:tr>
      <w:tr>
        <w:trPr>
          <w:trHeight w:val="192"/>
        </w:trPr>
        <w:tc>
          <w:tcPr>
            <w:tcW w:w="1540" w:type="dxa"/>
            <w:vAlign w:val="bottom"/>
            <w:tcBorders>
              <w:left w:val="single" w:sz="8" w:color="DD924E"/>
            </w:tcBorders>
            <w:gridSpan w:val="2"/>
            <w:shd w:val="clear" w:color="auto" w:fill="FBF4ED"/>
          </w:tcPr>
          <w:p>
            <w:pPr>
              <w:ind w:left="60"/>
              <w:spacing w:after="0" w:line="193" w:lineRule="exact"/>
              <w:rPr>
                <w:sz w:val="20"/>
                <w:szCs w:val="20"/>
                <w:color w:val="auto"/>
              </w:rPr>
            </w:pPr>
            <w:r>
              <w:rPr>
                <w:rFonts w:ascii="Arial" w:cs="Arial" w:eastAsia="Arial" w:hAnsi="Arial"/>
                <w:sz w:val="17"/>
                <w:szCs w:val="17"/>
                <w:color w:val="auto"/>
              </w:rPr>
              <w:t>Chairman</w:t>
            </w:r>
          </w:p>
        </w:tc>
        <w:tc>
          <w:tcPr>
            <w:tcW w:w="100" w:type="dxa"/>
            <w:vAlign w:val="bottom"/>
            <w:shd w:val="clear" w:color="auto" w:fill="FBF4ED"/>
          </w:tcPr>
          <w:p>
            <w:pPr>
              <w:spacing w:after="0"/>
              <w:rPr>
                <w:sz w:val="16"/>
                <w:szCs w:val="16"/>
                <w:color w:val="auto"/>
              </w:rPr>
            </w:pPr>
          </w:p>
        </w:tc>
        <w:tc>
          <w:tcPr>
            <w:tcW w:w="62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1600" w:type="dxa"/>
            <w:vAlign w:val="bottom"/>
            <w:shd w:val="clear" w:color="auto" w:fill="FBF4ED"/>
          </w:tcPr>
          <w:p>
            <w:pPr>
              <w:spacing w:after="0"/>
              <w:rPr>
                <w:sz w:val="16"/>
                <w:szCs w:val="16"/>
                <w:color w:val="auto"/>
              </w:rPr>
            </w:pPr>
          </w:p>
        </w:tc>
        <w:tc>
          <w:tcPr>
            <w:tcW w:w="100" w:type="dxa"/>
            <w:vAlign w:val="bottom"/>
            <w:shd w:val="clear" w:color="auto" w:fill="FBF4ED"/>
          </w:tcPr>
          <w:p>
            <w:pPr>
              <w:spacing w:after="0"/>
              <w:rPr>
                <w:sz w:val="16"/>
                <w:szCs w:val="16"/>
                <w:color w:val="auto"/>
              </w:rPr>
            </w:pPr>
          </w:p>
        </w:tc>
        <w:tc>
          <w:tcPr>
            <w:tcW w:w="1540" w:type="dxa"/>
            <w:vAlign w:val="bottom"/>
            <w:shd w:val="clear" w:color="auto" w:fill="FBF4ED"/>
          </w:tcPr>
          <w:p>
            <w:pPr>
              <w:spacing w:after="0"/>
              <w:rPr>
                <w:sz w:val="16"/>
                <w:szCs w:val="16"/>
                <w:color w:val="auto"/>
              </w:rPr>
            </w:pPr>
          </w:p>
        </w:tc>
        <w:tc>
          <w:tcPr>
            <w:tcW w:w="300" w:type="dxa"/>
            <w:vAlign w:val="bottom"/>
            <w:gridSpan w:val="2"/>
            <w:shd w:val="clear" w:color="auto" w:fill="FBF4ED"/>
          </w:tcPr>
          <w:p>
            <w:pPr>
              <w:jc w:val="right"/>
              <w:ind w:right="120"/>
              <w:spacing w:after="0" w:line="193" w:lineRule="exact"/>
              <w:rPr>
                <w:sz w:val="20"/>
                <w:szCs w:val="20"/>
                <w:color w:val="auto"/>
              </w:rPr>
            </w:pPr>
            <w:r>
              <w:rPr>
                <w:rFonts w:ascii="Arial" w:cs="Arial" w:eastAsia="Arial" w:hAnsi="Arial"/>
                <w:sz w:val="17"/>
                <w:szCs w:val="17"/>
                <w:color w:val="DD924E"/>
              </w:rPr>
              <w:t>&gt;</w:t>
            </w:r>
          </w:p>
        </w:tc>
        <w:tc>
          <w:tcPr>
            <w:tcW w:w="2900" w:type="dxa"/>
            <w:vAlign w:val="bottom"/>
            <w:tcBorders>
              <w:right w:val="single" w:sz="8" w:color="DD924E"/>
            </w:tcBorders>
            <w:gridSpan w:val="2"/>
            <w:shd w:val="clear" w:color="auto" w:fill="FBF4ED"/>
          </w:tcPr>
          <w:p>
            <w:pPr>
              <w:ind w:left="120"/>
              <w:spacing w:after="0" w:line="193" w:lineRule="exact"/>
              <w:rPr>
                <w:sz w:val="20"/>
                <w:szCs w:val="20"/>
                <w:color w:val="auto"/>
              </w:rPr>
            </w:pPr>
            <w:r>
              <w:rPr>
                <w:rFonts w:ascii="Arial" w:cs="Arial" w:eastAsia="Arial" w:hAnsi="Arial"/>
                <w:sz w:val="17"/>
                <w:szCs w:val="17"/>
                <w:color w:val="auto"/>
              </w:rPr>
              <w:t>Nominating and Corporate</w:t>
            </w:r>
          </w:p>
        </w:tc>
      </w:tr>
      <w:tr>
        <w:trPr>
          <w:trHeight w:val="212"/>
        </w:trPr>
        <w:tc>
          <w:tcPr>
            <w:tcW w:w="60" w:type="dxa"/>
            <w:vAlign w:val="bottom"/>
            <w:tcBorders>
              <w:left w:val="single" w:sz="8" w:color="DD924E"/>
              <w:bottom w:val="single" w:sz="8" w:color="DD924E"/>
            </w:tcBorders>
            <w:shd w:val="clear" w:color="auto" w:fill="FBF4ED"/>
          </w:tcPr>
          <w:p>
            <w:pPr>
              <w:spacing w:after="0"/>
              <w:rPr>
                <w:sz w:val="18"/>
                <w:szCs w:val="18"/>
                <w:color w:val="auto"/>
              </w:rPr>
            </w:pPr>
          </w:p>
        </w:tc>
        <w:tc>
          <w:tcPr>
            <w:tcW w:w="1480" w:type="dxa"/>
            <w:vAlign w:val="bottom"/>
            <w:tcBorders>
              <w:bottom w:val="single" w:sz="8" w:color="DD924E"/>
            </w:tcBorders>
            <w:shd w:val="clear" w:color="auto" w:fill="FBF4ED"/>
          </w:tcPr>
          <w:p>
            <w:pPr>
              <w:spacing w:after="0"/>
              <w:rPr>
                <w:sz w:val="18"/>
                <w:szCs w:val="18"/>
                <w:color w:val="auto"/>
              </w:rPr>
            </w:pPr>
          </w:p>
        </w:tc>
        <w:tc>
          <w:tcPr>
            <w:tcW w:w="100" w:type="dxa"/>
            <w:vAlign w:val="bottom"/>
            <w:tcBorders>
              <w:bottom w:val="single" w:sz="8" w:color="DD924E"/>
            </w:tcBorders>
            <w:shd w:val="clear" w:color="auto" w:fill="FBF4ED"/>
          </w:tcPr>
          <w:p>
            <w:pPr>
              <w:spacing w:after="0"/>
              <w:rPr>
                <w:sz w:val="18"/>
                <w:szCs w:val="18"/>
                <w:color w:val="auto"/>
              </w:rPr>
            </w:pPr>
          </w:p>
        </w:tc>
        <w:tc>
          <w:tcPr>
            <w:tcW w:w="620" w:type="dxa"/>
            <w:vAlign w:val="bottom"/>
            <w:tcBorders>
              <w:bottom w:val="single" w:sz="8" w:color="DD924E"/>
            </w:tcBorders>
            <w:shd w:val="clear" w:color="auto" w:fill="FBF4ED"/>
          </w:tcPr>
          <w:p>
            <w:pPr>
              <w:spacing w:after="0"/>
              <w:rPr>
                <w:sz w:val="18"/>
                <w:szCs w:val="18"/>
                <w:color w:val="auto"/>
              </w:rPr>
            </w:pPr>
          </w:p>
        </w:tc>
        <w:tc>
          <w:tcPr>
            <w:tcW w:w="100" w:type="dxa"/>
            <w:vAlign w:val="bottom"/>
            <w:tcBorders>
              <w:bottom w:val="single" w:sz="8" w:color="DD924E"/>
            </w:tcBorders>
            <w:shd w:val="clear" w:color="auto" w:fill="FBF4ED"/>
          </w:tcPr>
          <w:p>
            <w:pPr>
              <w:spacing w:after="0"/>
              <w:rPr>
                <w:sz w:val="18"/>
                <w:szCs w:val="18"/>
                <w:color w:val="auto"/>
              </w:rPr>
            </w:pPr>
          </w:p>
        </w:tc>
        <w:tc>
          <w:tcPr>
            <w:tcW w:w="1600" w:type="dxa"/>
            <w:vAlign w:val="bottom"/>
            <w:tcBorders>
              <w:bottom w:val="single" w:sz="8" w:color="DD924E"/>
            </w:tcBorders>
            <w:shd w:val="clear" w:color="auto" w:fill="FBF4ED"/>
          </w:tcPr>
          <w:p>
            <w:pPr>
              <w:spacing w:after="0"/>
              <w:rPr>
                <w:sz w:val="18"/>
                <w:szCs w:val="18"/>
                <w:color w:val="auto"/>
              </w:rPr>
            </w:pPr>
          </w:p>
        </w:tc>
        <w:tc>
          <w:tcPr>
            <w:tcW w:w="100" w:type="dxa"/>
            <w:vAlign w:val="bottom"/>
            <w:tcBorders>
              <w:bottom w:val="single" w:sz="8" w:color="DD924E"/>
            </w:tcBorders>
            <w:shd w:val="clear" w:color="auto" w:fill="FBF4ED"/>
          </w:tcPr>
          <w:p>
            <w:pPr>
              <w:spacing w:after="0"/>
              <w:rPr>
                <w:sz w:val="18"/>
                <w:szCs w:val="18"/>
                <w:color w:val="auto"/>
              </w:rPr>
            </w:pPr>
          </w:p>
        </w:tc>
        <w:tc>
          <w:tcPr>
            <w:tcW w:w="1540" w:type="dxa"/>
            <w:vAlign w:val="bottom"/>
            <w:tcBorders>
              <w:bottom w:val="single" w:sz="8" w:color="DD924E"/>
            </w:tcBorders>
            <w:shd w:val="clear" w:color="auto" w:fill="FBF4ED"/>
          </w:tcPr>
          <w:p>
            <w:pPr>
              <w:spacing w:after="0"/>
              <w:rPr>
                <w:sz w:val="18"/>
                <w:szCs w:val="18"/>
                <w:color w:val="auto"/>
              </w:rPr>
            </w:pPr>
          </w:p>
        </w:tc>
        <w:tc>
          <w:tcPr>
            <w:tcW w:w="100" w:type="dxa"/>
            <w:vAlign w:val="bottom"/>
            <w:tcBorders>
              <w:bottom w:val="single" w:sz="8" w:color="DD924E"/>
            </w:tcBorders>
            <w:shd w:val="clear" w:color="auto" w:fill="FBF4ED"/>
          </w:tcPr>
          <w:p>
            <w:pPr>
              <w:spacing w:after="0"/>
              <w:rPr>
                <w:sz w:val="18"/>
                <w:szCs w:val="18"/>
                <w:color w:val="auto"/>
              </w:rPr>
            </w:pPr>
          </w:p>
        </w:tc>
        <w:tc>
          <w:tcPr>
            <w:tcW w:w="200" w:type="dxa"/>
            <w:vAlign w:val="bottom"/>
            <w:tcBorders>
              <w:bottom w:val="single" w:sz="8" w:color="DD924E"/>
            </w:tcBorders>
            <w:shd w:val="clear" w:color="auto" w:fill="FBF4ED"/>
          </w:tcPr>
          <w:p>
            <w:pPr>
              <w:spacing w:after="0"/>
              <w:rPr>
                <w:sz w:val="18"/>
                <w:szCs w:val="18"/>
                <w:color w:val="auto"/>
              </w:rPr>
            </w:pPr>
          </w:p>
        </w:tc>
        <w:tc>
          <w:tcPr>
            <w:tcW w:w="2900" w:type="dxa"/>
            <w:vAlign w:val="bottom"/>
            <w:tcBorders>
              <w:bottom w:val="single" w:sz="8" w:color="DD924E"/>
              <w:right w:val="single" w:sz="8" w:color="DD924E"/>
            </w:tcBorders>
            <w:gridSpan w:val="2"/>
            <w:shd w:val="clear" w:color="auto" w:fill="FBF4ED"/>
          </w:tcPr>
          <w:p>
            <w:pPr>
              <w:ind w:left="120"/>
              <w:spacing w:after="0"/>
              <w:rPr>
                <w:sz w:val="20"/>
                <w:szCs w:val="20"/>
                <w:color w:val="auto"/>
              </w:rPr>
            </w:pPr>
            <w:r>
              <w:rPr>
                <w:rFonts w:ascii="Arial" w:cs="Arial" w:eastAsia="Arial" w:hAnsi="Arial"/>
                <w:sz w:val="17"/>
                <w:szCs w:val="17"/>
                <w:color w:val="auto"/>
              </w:rPr>
              <w:t>Governance Committee</w:t>
            </w:r>
          </w:p>
        </w:tc>
      </w:tr>
      <w:tr>
        <w:trPr>
          <w:trHeight w:val="332"/>
        </w:trPr>
        <w:tc>
          <w:tcPr>
            <w:tcW w:w="1540" w:type="dxa"/>
            <w:vAlign w:val="bottom"/>
            <w:gridSpan w:val="2"/>
          </w:tcPr>
          <w:p>
            <w:pPr>
              <w:spacing w:after="0"/>
              <w:rPr>
                <w:sz w:val="20"/>
                <w:szCs w:val="20"/>
                <w:color w:val="auto"/>
              </w:rPr>
            </w:pPr>
            <w:r>
              <w:rPr>
                <w:rFonts w:ascii="Arial" w:cs="Arial" w:eastAsia="Arial" w:hAnsi="Arial"/>
                <w:sz w:val="17"/>
                <w:szCs w:val="17"/>
                <w:b w:val="1"/>
                <w:bCs w:val="1"/>
                <w:color w:val="518DC8"/>
              </w:rPr>
              <w:t>Required Vote</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29"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The affirmative vote of a majority of votes (meaning the number of shares voted “for” a nominee must exceed the number of shares voted “against” such nominee) cast in person or represented by proxy and entitled to vote at the Annual Meeting will elect the three nominees as Class III directors for the specified three-year term. If any nominee for director receives a greater number of votes “against” his or her election than votes “for” such election, our by-laws provide that such person shall tender to the board of directors his or her resignation as a director. Unless marked to the contrary, proxies received will be voted “FOR” the nominees.</w:t>
      </w:r>
    </w:p>
    <w:p>
      <w:pPr>
        <w:spacing w:after="0" w:line="131" w:lineRule="exact"/>
        <w:rPr>
          <w:sz w:val="20"/>
          <w:szCs w:val="20"/>
          <w:color w:val="auto"/>
        </w:rPr>
      </w:pPr>
    </w:p>
    <w:tbl>
      <w:tblPr>
        <w:tblLayout w:type="fixed"/>
        <w:tblInd w:w="170" w:type="dxa"/>
        <w:tblCellMar>
          <w:top w:w="0" w:type="dxa"/>
          <w:left w:w="0" w:type="dxa"/>
          <w:bottom w:w="0" w:type="dxa"/>
          <w:right w:w="0" w:type="dxa"/>
        </w:tblCellMar>
      </w:tblPr>
      <w:tr>
        <w:trPr>
          <w:trHeight w:val="269"/>
        </w:trPr>
        <w:tc>
          <w:tcPr>
            <w:tcW w:w="840" w:type="dxa"/>
            <w:vAlign w:val="bottom"/>
            <w:tcBorders>
              <w:left w:val="single" w:sz="8" w:color="DD924E"/>
            </w:tcBorders>
            <w:shd w:val="clear" w:color="auto" w:fill="DD924E"/>
          </w:tcPr>
          <w:p>
            <w:pPr>
              <w:spacing w:after="0"/>
              <w:rPr>
                <w:sz w:val="23"/>
                <w:szCs w:val="23"/>
                <w:color w:val="auto"/>
              </w:rPr>
            </w:pPr>
          </w:p>
        </w:tc>
        <w:tc>
          <w:tcPr>
            <w:tcW w:w="7960" w:type="dxa"/>
            <w:vAlign w:val="bottom"/>
            <w:tcBorders>
              <w:right w:val="single" w:sz="8" w:color="DD924E"/>
            </w:tcBorders>
            <w:shd w:val="clear" w:color="auto" w:fill="DD924E"/>
          </w:tcPr>
          <w:p>
            <w:pPr>
              <w:ind w:left="1700"/>
              <w:spacing w:after="0"/>
              <w:rPr>
                <w:sz w:val="20"/>
                <w:szCs w:val="20"/>
                <w:color w:val="auto"/>
              </w:rPr>
            </w:pPr>
            <w:r>
              <w:rPr>
                <w:rFonts w:ascii="Arial" w:cs="Arial" w:eastAsia="Arial" w:hAnsi="Arial"/>
                <w:sz w:val="21"/>
                <w:szCs w:val="21"/>
                <w:b w:val="1"/>
                <w:bCs w:val="1"/>
                <w:color w:val="FFFFFF"/>
              </w:rPr>
              <w:t>Our board recommends that you vote:</w:t>
            </w:r>
          </w:p>
        </w:tc>
      </w:tr>
      <w:tr>
        <w:trPr>
          <w:trHeight w:val="210"/>
        </w:trPr>
        <w:tc>
          <w:tcPr>
            <w:tcW w:w="840" w:type="dxa"/>
            <w:vAlign w:val="bottom"/>
            <w:tcBorders>
              <w:left w:val="single" w:sz="8" w:color="DD924E"/>
            </w:tcBorders>
          </w:tcPr>
          <w:p>
            <w:pPr>
              <w:ind w:left="80"/>
              <w:spacing w:after="0"/>
              <w:rPr>
                <w:sz w:val="20"/>
                <w:szCs w:val="20"/>
                <w:color w:val="auto"/>
              </w:rPr>
            </w:pPr>
            <w:r>
              <w:rPr>
                <w:rFonts w:ascii="Arial" w:cs="Arial" w:eastAsia="Arial" w:hAnsi="Arial"/>
                <w:sz w:val="17"/>
                <w:szCs w:val="17"/>
                <w:b w:val="1"/>
                <w:bCs w:val="1"/>
                <w:color w:val="auto"/>
              </w:rPr>
              <w:t>FOR</w:t>
            </w:r>
          </w:p>
        </w:tc>
        <w:tc>
          <w:tcPr>
            <w:tcW w:w="7960" w:type="dxa"/>
            <w:vAlign w:val="bottom"/>
            <w:tcBorders>
              <w:right w:val="single" w:sz="8" w:color="DD924E"/>
            </w:tcBorders>
          </w:tcPr>
          <w:p>
            <w:pPr>
              <w:ind w:left="400"/>
              <w:spacing w:after="0"/>
              <w:rPr>
                <w:sz w:val="20"/>
                <w:szCs w:val="20"/>
                <w:color w:val="auto"/>
              </w:rPr>
            </w:pPr>
            <w:r>
              <w:rPr>
                <w:rFonts w:ascii="Arial" w:cs="Arial" w:eastAsia="Arial" w:hAnsi="Arial"/>
                <w:sz w:val="17"/>
                <w:szCs w:val="17"/>
                <w:b w:val="1"/>
                <w:bCs w:val="1"/>
                <w:color w:val="auto"/>
              </w:rPr>
              <w:t>the election of Ms. Kerr and Messrs. Sahney and Staglin as Class III directors of the</w:t>
            </w:r>
          </w:p>
        </w:tc>
      </w:tr>
      <w:tr>
        <w:trPr>
          <w:trHeight w:val="225"/>
        </w:trPr>
        <w:tc>
          <w:tcPr>
            <w:tcW w:w="840" w:type="dxa"/>
            <w:vAlign w:val="bottom"/>
            <w:tcBorders>
              <w:left w:val="single" w:sz="8" w:color="DD924E"/>
            </w:tcBorders>
          </w:tcPr>
          <w:p>
            <w:pPr>
              <w:spacing w:after="0"/>
              <w:rPr>
                <w:sz w:val="19"/>
                <w:szCs w:val="19"/>
                <w:color w:val="auto"/>
              </w:rPr>
            </w:pPr>
          </w:p>
        </w:tc>
        <w:tc>
          <w:tcPr>
            <w:tcW w:w="7960" w:type="dxa"/>
            <w:vAlign w:val="bottom"/>
            <w:tcBorders>
              <w:right w:val="single" w:sz="8" w:color="DD924E"/>
            </w:tcBorders>
          </w:tcPr>
          <w:p>
            <w:pPr>
              <w:ind w:left="400"/>
              <w:spacing w:after="0"/>
              <w:rPr>
                <w:sz w:val="20"/>
                <w:szCs w:val="20"/>
                <w:color w:val="auto"/>
              </w:rPr>
            </w:pPr>
            <w:r>
              <w:rPr>
                <w:rFonts w:ascii="Arial" w:cs="Arial" w:eastAsia="Arial" w:hAnsi="Arial"/>
                <w:sz w:val="17"/>
                <w:szCs w:val="17"/>
                <w:b w:val="1"/>
                <w:bCs w:val="1"/>
                <w:color w:val="auto"/>
              </w:rPr>
              <w:t>Company.</w:t>
            </w:r>
          </w:p>
        </w:tc>
      </w:tr>
      <w:tr>
        <w:trPr>
          <w:trHeight w:val="27"/>
        </w:trPr>
        <w:tc>
          <w:tcPr>
            <w:tcW w:w="840" w:type="dxa"/>
            <w:vAlign w:val="bottom"/>
            <w:tcBorders>
              <w:left w:val="single" w:sz="8" w:color="DD924E"/>
              <w:bottom w:val="single" w:sz="8" w:color="DD924E"/>
            </w:tcBorders>
          </w:tcPr>
          <w:p>
            <w:pPr>
              <w:spacing w:after="0"/>
              <w:rPr>
                <w:sz w:val="2"/>
                <w:szCs w:val="2"/>
                <w:color w:val="auto"/>
              </w:rPr>
            </w:pPr>
          </w:p>
        </w:tc>
        <w:tc>
          <w:tcPr>
            <w:tcW w:w="7960" w:type="dxa"/>
            <w:vAlign w:val="bottom"/>
            <w:tcBorders>
              <w:bottom w:val="single" w:sz="8" w:color="DD924E"/>
              <w:right w:val="single" w:sz="8" w:color="DD924E"/>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4" w:name="page75"/>
    <w:bookmarkEnd w:id="74"/>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PROPOSAL 2</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DD924E"/>
        </w:rPr>
        <w:t>RATIFICATION OF THE APPOINTMENT OF</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INDEPENDENT REGISTERED PUBLIC ACCOUNTING FIRM</w:t>
      </w:r>
    </w:p>
    <w:p>
      <w:pPr>
        <w:spacing w:after="0" w:line="132"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Our Audit Committee has selected Deloitte &amp; Touche LLP (“Deloitte”) as the independent registered public accounting firm to audit the Company’s and its subsidiaries’ books, records and accounts for the fiscal year 2018. Our board of directors has endorsed this appointment. Ratification of the selection of Deloitte by our stockholders is not required by law. However, as a matter of good corporate practice, such selection is being submitted to our stockholders for ratification at the Annual Meeting. If our stockholders do not ratify the selection, our board of directors and our Audit Committee will reconsider whether or not to retain Deloitte, but may nonetheless retain Deloitte. Even if the selection is ratified, the Audit Committee in its discretion may change such appointment at any time during the year if it determines that such change would be in the best interests of the Company and our stockholders.</w:t>
      </w:r>
    </w:p>
    <w:p>
      <w:pPr>
        <w:spacing w:after="0" w:line="133"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In retaining Deloitte as the Company’s independent registered public accounting firm, the Audit Committee considered whether the provision of non-audit services by Deloitte was compatible with maintaining Deloitte’s independence and concluded that it was. Representatives of Deloitte are expected to be present at the Annual Meeting. They will have an opportunity to make a statement, if they desire to do so, and will be available to respond to appropriate questions. Deloitte has served as our independent registered public accounting firm since February 28, 2018.</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518DC8"/>
        </w:rPr>
        <w:t>Change in Accountants</w:t>
      </w:r>
    </w:p>
    <w:p>
      <w:pPr>
        <w:spacing w:after="0" w:line="145"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Ernst &amp; Young LLP (“EY”) audited our consolidated financial statements for fiscal years 2017, 2016 and 2015. On February 27, 2018, pursuant to the Audit Committee determination, the Company dismissed EY as the Company’s independent registered public accounting firm. EY’s reports on the Company’s consolidated financial statements as of and for the fiscal years ended December 31, 2016 and 2017 did not contain an adverse opinion or disclaimer of opinion, nor were they qualified or modified as to uncertainty, audit scope, or accounting principles. During the fiscal years ended December 31, 2016 and 2017, and the subsequent interim periods through February 27, 2018, there were: (i) no disagreements within the meaning of Item 304(a)(1)(iv) of Regulation S-K and the related instructions between the Company and EY on any matters of accounting principles or practices, financial statement disclosure, or auditing scope or procedure which, if not resolved to EY’s satisfaction, would have caused EY to make reference thereto in their reports; and (ii) no “reportable events” within the meaning of Item 304(a)(1)(v) of Regulation S-K.</w:t>
      </w:r>
    </w:p>
    <w:p>
      <w:pPr>
        <w:spacing w:after="0" w:line="132"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In connection with the filing of the Company’s Current Report on Form 8-K dated February 27, 2018 (the “Form 8-K”), the Company provided EY with a copy of the above disclosures, and requested that EY furnish a letter addressed to the SEC stating whether or not EY agrees with the statements in the immediately preceding paragraph. The Company subsequently received the requested letter, and a copy of EY’s letter, dated March 1, 2018, was filed as Exhibit 16.1 to the Form 8-K.</w:t>
      </w:r>
    </w:p>
    <w:p>
      <w:pPr>
        <w:spacing w:after="0" w:line="132"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As of February 28, 2018, pursuant to the Audit Committee’s determination, the Company engaged Deloitte to serve as its independent registered public accounting firm for fiscal year 2018. During the fiscal years ended December 31, 2016 and 2017 and the subsequent interim periods through February 28, 2018, neither the Company nor anyone on its behalf has consulted with Deloitte regarding: (i) the application of accounting principles to a specific transaction, either completed or proposed, or the type of audit opinion that might be rendered on the Company’s financial statements, and neither a written report nor oral advice was provided to the Company that Deloitte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5" w:name="page76"/>
    <w:bookmarkEnd w:id="75"/>
    <w:p>
      <w:pPr>
        <w:spacing w:after="0" w:line="58" w:lineRule="exact"/>
        <w:rPr>
          <w:sz w:val="20"/>
          <w:szCs w:val="20"/>
          <w:color w:val="auto"/>
        </w:rPr>
      </w:pPr>
    </w:p>
    <w:p>
      <w:pPr>
        <w:ind w:left="160" w:right="59"/>
        <w:spacing w:after="0" w:line="263" w:lineRule="auto"/>
        <w:rPr>
          <w:sz w:val="20"/>
          <w:szCs w:val="20"/>
          <w:color w:val="auto"/>
        </w:rPr>
      </w:pPr>
      <w:r>
        <w:rPr>
          <w:rFonts w:ascii="Arial" w:cs="Arial" w:eastAsia="Arial" w:hAnsi="Arial"/>
          <w:sz w:val="17"/>
          <w:szCs w:val="17"/>
          <w:color w:val="auto"/>
        </w:rPr>
        <w:t>The change in independent registered public accounting firm did not result from any dissatisfaction with the quality of professional services rendered by EY.</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518DC8"/>
        </w:rPr>
        <w:t>Audit and Non-Audit Fees</w:t>
      </w:r>
    </w:p>
    <w:p>
      <w:pPr>
        <w:spacing w:after="0" w:line="158" w:lineRule="exact"/>
        <w:rPr>
          <w:sz w:val="20"/>
          <w:szCs w:val="20"/>
          <w:color w:val="auto"/>
        </w:rPr>
      </w:pPr>
    </w:p>
    <w:p>
      <w:pPr>
        <w:ind w:left="160" w:right="79"/>
        <w:spacing w:after="0" w:line="263" w:lineRule="auto"/>
        <w:rPr>
          <w:sz w:val="20"/>
          <w:szCs w:val="20"/>
          <w:color w:val="auto"/>
        </w:rPr>
      </w:pPr>
      <w:r>
        <w:rPr>
          <w:rFonts w:ascii="Arial" w:cs="Arial" w:eastAsia="Arial" w:hAnsi="Arial"/>
          <w:sz w:val="17"/>
          <w:szCs w:val="17"/>
          <w:color w:val="auto"/>
        </w:rPr>
        <w:t>The following is a summary of the fees billed to us by the Company’s independent registered public accounting firm for professional services rendered in each of the last two fiscal years:</w:t>
      </w:r>
    </w:p>
    <w:p>
      <w:pPr>
        <w:spacing w:after="0" w:line="124" w:lineRule="exact"/>
        <w:rPr>
          <w:sz w:val="20"/>
          <w:szCs w:val="20"/>
          <w:color w:val="auto"/>
        </w:rPr>
      </w:pPr>
    </w:p>
    <w:tbl>
      <w:tblPr>
        <w:tblLayout w:type="fixed"/>
        <w:tblInd w:w="170" w:type="dxa"/>
        <w:tblCellMar>
          <w:top w:w="0" w:type="dxa"/>
          <w:left w:w="0" w:type="dxa"/>
          <w:bottom w:w="0" w:type="dxa"/>
          <w:right w:w="0" w:type="dxa"/>
        </w:tblCellMar>
      </w:tblPr>
      <w:tr>
        <w:trPr>
          <w:trHeight w:val="167"/>
        </w:trPr>
        <w:tc>
          <w:tcPr>
            <w:tcW w:w="60" w:type="dxa"/>
            <w:vAlign w:val="bottom"/>
            <w:tcBorders>
              <w:left w:val="single" w:sz="8" w:color="DD924E"/>
            </w:tcBorders>
            <w:shd w:val="clear" w:color="auto" w:fill="DD924E"/>
          </w:tcPr>
          <w:p>
            <w:pPr>
              <w:spacing w:after="0"/>
              <w:rPr>
                <w:sz w:val="14"/>
                <w:szCs w:val="14"/>
                <w:color w:val="auto"/>
              </w:rPr>
            </w:pPr>
          </w:p>
        </w:tc>
        <w:tc>
          <w:tcPr>
            <w:tcW w:w="6220" w:type="dxa"/>
            <w:vAlign w:val="bottom"/>
            <w:shd w:val="clear" w:color="auto" w:fill="DD924E"/>
          </w:tcPr>
          <w:p>
            <w:pPr>
              <w:spacing w:after="0"/>
              <w:rPr>
                <w:sz w:val="14"/>
                <w:szCs w:val="14"/>
                <w:color w:val="auto"/>
              </w:rPr>
            </w:pPr>
          </w:p>
        </w:tc>
        <w:tc>
          <w:tcPr>
            <w:tcW w:w="100" w:type="dxa"/>
            <w:vAlign w:val="bottom"/>
            <w:shd w:val="clear" w:color="auto" w:fill="DD924E"/>
          </w:tcPr>
          <w:p>
            <w:pPr>
              <w:spacing w:after="0"/>
              <w:rPr>
                <w:sz w:val="14"/>
                <w:szCs w:val="14"/>
                <w:color w:val="auto"/>
              </w:rPr>
            </w:pPr>
          </w:p>
        </w:tc>
        <w:tc>
          <w:tcPr>
            <w:tcW w:w="200" w:type="dxa"/>
            <w:vAlign w:val="bottom"/>
            <w:shd w:val="clear" w:color="auto" w:fill="DD924E"/>
          </w:tcPr>
          <w:p>
            <w:pPr>
              <w:spacing w:after="0"/>
              <w:rPr>
                <w:sz w:val="14"/>
                <w:szCs w:val="14"/>
                <w:color w:val="auto"/>
              </w:rPr>
            </w:pPr>
          </w:p>
        </w:tc>
        <w:tc>
          <w:tcPr>
            <w:tcW w:w="820" w:type="dxa"/>
            <w:vAlign w:val="bottom"/>
            <w:shd w:val="clear" w:color="auto" w:fill="DD924E"/>
          </w:tcPr>
          <w:p>
            <w:pPr>
              <w:jc w:val="right"/>
              <w:ind w:right="241"/>
              <w:spacing w:after="0"/>
              <w:rPr>
                <w:sz w:val="20"/>
                <w:szCs w:val="20"/>
                <w:color w:val="auto"/>
              </w:rPr>
            </w:pPr>
            <w:r>
              <w:rPr>
                <w:rFonts w:ascii="Arial" w:cs="Arial" w:eastAsia="Arial" w:hAnsi="Arial"/>
                <w:sz w:val="14"/>
                <w:szCs w:val="14"/>
                <w:b w:val="1"/>
                <w:bCs w:val="1"/>
                <w:color w:val="FFFFFF"/>
              </w:rPr>
              <w:t>Fiscal</w:t>
            </w:r>
          </w:p>
        </w:tc>
        <w:tc>
          <w:tcPr>
            <w:tcW w:w="320" w:type="dxa"/>
            <w:vAlign w:val="bottom"/>
            <w:shd w:val="clear" w:color="auto" w:fill="DD924E"/>
          </w:tcPr>
          <w:p>
            <w:pPr>
              <w:spacing w:after="0"/>
              <w:rPr>
                <w:sz w:val="14"/>
                <w:szCs w:val="14"/>
                <w:color w:val="auto"/>
              </w:rPr>
            </w:pPr>
          </w:p>
        </w:tc>
        <w:tc>
          <w:tcPr>
            <w:tcW w:w="200" w:type="dxa"/>
            <w:vAlign w:val="bottom"/>
            <w:shd w:val="clear" w:color="auto" w:fill="DD924E"/>
          </w:tcPr>
          <w:p>
            <w:pPr>
              <w:spacing w:after="0"/>
              <w:rPr>
                <w:sz w:val="14"/>
                <w:szCs w:val="14"/>
                <w:color w:val="auto"/>
              </w:rPr>
            </w:pPr>
          </w:p>
        </w:tc>
        <w:tc>
          <w:tcPr>
            <w:tcW w:w="880" w:type="dxa"/>
            <w:vAlign w:val="bottom"/>
            <w:tcBorders>
              <w:right w:val="single" w:sz="8" w:color="DD924E"/>
            </w:tcBorders>
            <w:shd w:val="clear" w:color="auto" w:fill="DD924E"/>
          </w:tcPr>
          <w:p>
            <w:pPr>
              <w:jc w:val="right"/>
              <w:ind w:right="299"/>
              <w:spacing w:after="0"/>
              <w:rPr>
                <w:sz w:val="20"/>
                <w:szCs w:val="20"/>
                <w:color w:val="auto"/>
              </w:rPr>
            </w:pPr>
            <w:r>
              <w:rPr>
                <w:rFonts w:ascii="Arial" w:cs="Arial" w:eastAsia="Arial" w:hAnsi="Arial"/>
                <w:sz w:val="14"/>
                <w:szCs w:val="14"/>
                <w:b w:val="1"/>
                <w:bCs w:val="1"/>
                <w:color w:val="FFFFFF"/>
              </w:rPr>
              <w:t>Fiscal</w:t>
            </w:r>
          </w:p>
        </w:tc>
      </w:tr>
      <w:tr>
        <w:trPr>
          <w:trHeight w:val="179"/>
        </w:trPr>
        <w:tc>
          <w:tcPr>
            <w:tcW w:w="60" w:type="dxa"/>
            <w:vAlign w:val="bottom"/>
            <w:tcBorders>
              <w:left w:val="single" w:sz="8" w:color="DD924E"/>
              <w:bottom w:val="single" w:sz="8" w:color="DD924E"/>
            </w:tcBorders>
            <w:shd w:val="clear" w:color="auto" w:fill="DD924E"/>
          </w:tcPr>
          <w:p>
            <w:pPr>
              <w:spacing w:after="0"/>
              <w:rPr>
                <w:sz w:val="15"/>
                <w:szCs w:val="15"/>
                <w:color w:val="auto"/>
              </w:rPr>
            </w:pPr>
          </w:p>
        </w:tc>
        <w:tc>
          <w:tcPr>
            <w:tcW w:w="6220" w:type="dxa"/>
            <w:vAlign w:val="bottom"/>
            <w:tcBorders>
              <w:bottom w:val="single" w:sz="8" w:color="auto"/>
            </w:tcBorders>
            <w:shd w:val="clear" w:color="auto" w:fill="DD924E"/>
          </w:tcPr>
          <w:p>
            <w:pPr>
              <w:ind w:left="2680"/>
              <w:spacing w:after="0"/>
              <w:rPr>
                <w:sz w:val="20"/>
                <w:szCs w:val="20"/>
                <w:color w:val="auto"/>
              </w:rPr>
            </w:pPr>
            <w:r>
              <w:rPr>
                <w:rFonts w:ascii="Arial" w:cs="Arial" w:eastAsia="Arial" w:hAnsi="Arial"/>
                <w:sz w:val="14"/>
                <w:szCs w:val="14"/>
                <w:b w:val="1"/>
                <w:bCs w:val="1"/>
                <w:color w:val="FFFFFF"/>
              </w:rPr>
              <w:t>Fee Category</w:t>
            </w:r>
          </w:p>
        </w:tc>
        <w:tc>
          <w:tcPr>
            <w:tcW w:w="100" w:type="dxa"/>
            <w:vAlign w:val="bottom"/>
            <w:tcBorders>
              <w:bottom w:val="single" w:sz="8" w:color="DD924E"/>
            </w:tcBorders>
            <w:shd w:val="clear" w:color="auto" w:fill="DD924E"/>
          </w:tcPr>
          <w:p>
            <w:pPr>
              <w:spacing w:after="0"/>
              <w:rPr>
                <w:sz w:val="15"/>
                <w:szCs w:val="15"/>
                <w:color w:val="auto"/>
              </w:rPr>
            </w:pPr>
          </w:p>
        </w:tc>
        <w:tc>
          <w:tcPr>
            <w:tcW w:w="200" w:type="dxa"/>
            <w:vAlign w:val="bottom"/>
            <w:tcBorders>
              <w:bottom w:val="single" w:sz="8" w:color="auto"/>
            </w:tcBorders>
            <w:shd w:val="clear" w:color="auto" w:fill="DD924E"/>
          </w:tcPr>
          <w:p>
            <w:pPr>
              <w:spacing w:after="0"/>
              <w:rPr>
                <w:sz w:val="15"/>
                <w:szCs w:val="15"/>
                <w:color w:val="auto"/>
              </w:rPr>
            </w:pPr>
          </w:p>
        </w:tc>
        <w:tc>
          <w:tcPr>
            <w:tcW w:w="820" w:type="dxa"/>
            <w:vAlign w:val="bottom"/>
            <w:tcBorders>
              <w:bottom w:val="single" w:sz="8" w:color="auto"/>
            </w:tcBorders>
            <w:shd w:val="clear" w:color="auto" w:fill="DD924E"/>
          </w:tcPr>
          <w:p>
            <w:pPr>
              <w:jc w:val="right"/>
              <w:ind w:right="221"/>
              <w:spacing w:after="0" w:line="180" w:lineRule="exact"/>
              <w:rPr>
                <w:sz w:val="20"/>
                <w:szCs w:val="20"/>
                <w:color w:val="auto"/>
              </w:rPr>
            </w:pPr>
            <w:r>
              <w:rPr>
                <w:rFonts w:ascii="Arial" w:cs="Arial" w:eastAsia="Arial" w:hAnsi="Arial"/>
                <w:sz w:val="14"/>
                <w:szCs w:val="14"/>
                <w:b w:val="1"/>
                <w:bCs w:val="1"/>
                <w:color w:val="FFFFFF"/>
              </w:rPr>
              <w:t>2017</w:t>
            </w:r>
            <w:r>
              <w:rPr>
                <w:rFonts w:ascii="Arial" w:cs="Arial" w:eastAsia="Arial" w:hAnsi="Arial"/>
                <w:sz w:val="20"/>
                <w:szCs w:val="20"/>
                <w:b w:val="1"/>
                <w:bCs w:val="1"/>
                <w:color w:val="FFFFFF"/>
                <w:vertAlign w:val="superscript"/>
              </w:rPr>
              <w:t>(1)</w:t>
            </w:r>
          </w:p>
        </w:tc>
        <w:tc>
          <w:tcPr>
            <w:tcW w:w="320" w:type="dxa"/>
            <w:vAlign w:val="bottom"/>
            <w:tcBorders>
              <w:bottom w:val="single" w:sz="8" w:color="DD924E"/>
            </w:tcBorders>
            <w:shd w:val="clear" w:color="auto" w:fill="DD924E"/>
          </w:tcPr>
          <w:p>
            <w:pPr>
              <w:spacing w:after="0"/>
              <w:rPr>
                <w:sz w:val="15"/>
                <w:szCs w:val="15"/>
                <w:color w:val="auto"/>
              </w:rPr>
            </w:pPr>
          </w:p>
        </w:tc>
        <w:tc>
          <w:tcPr>
            <w:tcW w:w="200" w:type="dxa"/>
            <w:vAlign w:val="bottom"/>
            <w:tcBorders>
              <w:bottom w:val="single" w:sz="8" w:color="auto"/>
            </w:tcBorders>
            <w:shd w:val="clear" w:color="auto" w:fill="DD924E"/>
          </w:tcPr>
          <w:p>
            <w:pPr>
              <w:spacing w:after="0"/>
              <w:rPr>
                <w:sz w:val="15"/>
                <w:szCs w:val="15"/>
                <w:color w:val="auto"/>
              </w:rPr>
            </w:pPr>
          </w:p>
        </w:tc>
        <w:tc>
          <w:tcPr>
            <w:tcW w:w="880" w:type="dxa"/>
            <w:vAlign w:val="bottom"/>
            <w:tcBorders>
              <w:bottom w:val="single" w:sz="8" w:color="auto"/>
              <w:right w:val="single" w:sz="8" w:color="DD924E"/>
            </w:tcBorders>
            <w:shd w:val="clear" w:color="auto" w:fill="DD924E"/>
          </w:tcPr>
          <w:p>
            <w:pPr>
              <w:jc w:val="right"/>
              <w:ind w:right="279"/>
              <w:spacing w:after="0" w:line="180" w:lineRule="exact"/>
              <w:rPr>
                <w:sz w:val="20"/>
                <w:szCs w:val="20"/>
                <w:color w:val="auto"/>
              </w:rPr>
            </w:pPr>
            <w:r>
              <w:rPr>
                <w:rFonts w:ascii="Arial" w:cs="Arial" w:eastAsia="Arial" w:hAnsi="Arial"/>
                <w:sz w:val="14"/>
                <w:szCs w:val="14"/>
                <w:b w:val="1"/>
                <w:bCs w:val="1"/>
                <w:color w:val="FFFFFF"/>
              </w:rPr>
              <w:t>2016</w:t>
            </w:r>
            <w:r>
              <w:rPr>
                <w:rFonts w:ascii="Arial" w:cs="Arial" w:eastAsia="Arial" w:hAnsi="Arial"/>
                <w:sz w:val="20"/>
                <w:szCs w:val="20"/>
                <w:b w:val="1"/>
                <w:bCs w:val="1"/>
                <w:color w:val="FFFFFF"/>
                <w:vertAlign w:val="superscript"/>
              </w:rPr>
              <w:t>(1)</w:t>
            </w:r>
          </w:p>
        </w:tc>
      </w:tr>
      <w:tr>
        <w:trPr>
          <w:trHeight w:val="224"/>
        </w:trPr>
        <w:tc>
          <w:tcPr>
            <w:tcW w:w="60" w:type="dxa"/>
            <w:vAlign w:val="bottom"/>
            <w:tcBorders>
              <w:left w:val="single" w:sz="8" w:color="DD924E"/>
            </w:tcBorders>
            <w:shd w:val="clear" w:color="auto" w:fill="DD924E"/>
          </w:tcPr>
          <w:p>
            <w:pPr>
              <w:spacing w:after="0"/>
              <w:rPr>
                <w:sz w:val="19"/>
                <w:szCs w:val="19"/>
                <w:color w:val="auto"/>
              </w:rPr>
            </w:pPr>
          </w:p>
        </w:tc>
        <w:tc>
          <w:tcPr>
            <w:tcW w:w="6220" w:type="dxa"/>
            <w:vAlign w:val="bottom"/>
            <w:shd w:val="clear" w:color="auto" w:fill="DD924E"/>
          </w:tcPr>
          <w:p>
            <w:pPr>
              <w:spacing w:after="0"/>
              <w:rPr>
                <w:sz w:val="19"/>
                <w:szCs w:val="19"/>
                <w:color w:val="auto"/>
              </w:rPr>
            </w:pPr>
          </w:p>
        </w:tc>
        <w:tc>
          <w:tcPr>
            <w:tcW w:w="100" w:type="dxa"/>
            <w:vAlign w:val="bottom"/>
            <w:shd w:val="clear" w:color="auto" w:fill="DD924E"/>
          </w:tcPr>
          <w:p>
            <w:pPr>
              <w:spacing w:after="0"/>
              <w:rPr>
                <w:sz w:val="19"/>
                <w:szCs w:val="19"/>
                <w:color w:val="auto"/>
              </w:rPr>
            </w:pPr>
          </w:p>
        </w:tc>
        <w:tc>
          <w:tcPr>
            <w:tcW w:w="200" w:type="dxa"/>
            <w:vAlign w:val="bottom"/>
            <w:shd w:val="clear" w:color="auto" w:fill="DD924E"/>
          </w:tcPr>
          <w:p>
            <w:pPr>
              <w:spacing w:after="0"/>
              <w:rPr>
                <w:sz w:val="19"/>
                <w:szCs w:val="19"/>
                <w:color w:val="auto"/>
              </w:rPr>
            </w:pPr>
          </w:p>
        </w:tc>
        <w:tc>
          <w:tcPr>
            <w:tcW w:w="2220" w:type="dxa"/>
            <w:vAlign w:val="bottom"/>
            <w:tcBorders>
              <w:right w:val="single" w:sz="8" w:color="DD924E"/>
            </w:tcBorders>
            <w:gridSpan w:val="4"/>
            <w:shd w:val="clear" w:color="auto" w:fill="DD924E"/>
          </w:tcPr>
          <w:p>
            <w:pPr>
              <w:jc w:val="right"/>
              <w:ind w:right="699"/>
              <w:spacing w:after="0"/>
              <w:rPr>
                <w:sz w:val="20"/>
                <w:szCs w:val="20"/>
                <w:color w:val="auto"/>
              </w:rPr>
            </w:pPr>
            <w:r>
              <w:rPr>
                <w:rFonts w:ascii="Arial" w:cs="Arial" w:eastAsia="Arial" w:hAnsi="Arial"/>
                <w:sz w:val="14"/>
                <w:szCs w:val="14"/>
                <w:b w:val="1"/>
                <w:bCs w:val="1"/>
                <w:color w:val="FFFFFF"/>
              </w:rPr>
              <w:t>(in thousands)</w:t>
            </w:r>
          </w:p>
        </w:tc>
      </w:tr>
      <w:tr>
        <w:trPr>
          <w:trHeight w:val="244"/>
        </w:trPr>
        <w:tc>
          <w:tcPr>
            <w:tcW w:w="628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7"/>
                <w:szCs w:val="17"/>
                <w:b w:val="1"/>
                <w:bCs w:val="1"/>
                <w:color w:val="auto"/>
              </w:rPr>
              <w:t>Audit Fees</w:t>
            </w:r>
          </w:p>
        </w:tc>
        <w:tc>
          <w:tcPr>
            <w:tcW w:w="300" w:type="dxa"/>
            <w:vAlign w:val="bottom"/>
            <w:gridSpan w:val="2"/>
            <w:shd w:val="clear" w:color="auto" w:fill="FBF4ED"/>
          </w:tcPr>
          <w:p>
            <w:pPr>
              <w:jc w:val="right"/>
              <w:ind w:right="80"/>
              <w:spacing w:after="0"/>
              <w:rPr>
                <w:sz w:val="20"/>
                <w:szCs w:val="20"/>
                <w:color w:val="auto"/>
              </w:rPr>
            </w:pPr>
            <w:r>
              <w:rPr>
                <w:rFonts w:ascii="Arial" w:cs="Arial" w:eastAsia="Arial" w:hAnsi="Arial"/>
                <w:sz w:val="17"/>
                <w:szCs w:val="17"/>
                <w:color w:val="auto"/>
              </w:rPr>
              <w:t>$</w:t>
            </w:r>
          </w:p>
        </w:tc>
        <w:tc>
          <w:tcPr>
            <w:tcW w:w="820" w:type="dxa"/>
            <w:vAlign w:val="bottom"/>
            <w:shd w:val="clear" w:color="auto" w:fill="FBF4ED"/>
          </w:tcPr>
          <w:p>
            <w:pPr>
              <w:jc w:val="right"/>
              <w:spacing w:after="0"/>
              <w:rPr>
                <w:sz w:val="20"/>
                <w:szCs w:val="20"/>
                <w:color w:val="auto"/>
              </w:rPr>
            </w:pPr>
            <w:r>
              <w:rPr>
                <w:rFonts w:ascii="Arial" w:cs="Arial" w:eastAsia="Arial" w:hAnsi="Arial"/>
                <w:sz w:val="17"/>
                <w:szCs w:val="17"/>
                <w:color w:val="auto"/>
              </w:rPr>
              <w:t>1,479</w:t>
            </w:r>
          </w:p>
        </w:tc>
        <w:tc>
          <w:tcPr>
            <w:tcW w:w="520" w:type="dxa"/>
            <w:vAlign w:val="bottom"/>
            <w:gridSpan w:val="2"/>
            <w:shd w:val="clear" w:color="auto" w:fill="FBF4ED"/>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tcBorders>
              <w:right w:val="single" w:sz="8" w:color="DD924E"/>
            </w:tcBorders>
            <w:shd w:val="clear" w:color="auto" w:fill="FBF4ED"/>
          </w:tcPr>
          <w:p>
            <w:pPr>
              <w:jc w:val="right"/>
              <w:spacing w:after="0"/>
              <w:rPr>
                <w:sz w:val="20"/>
                <w:szCs w:val="20"/>
                <w:color w:val="auto"/>
              </w:rPr>
            </w:pPr>
            <w:r>
              <w:rPr>
                <w:rFonts w:ascii="Arial" w:cs="Arial" w:eastAsia="Arial" w:hAnsi="Arial"/>
                <w:sz w:val="17"/>
                <w:szCs w:val="17"/>
                <w:color w:val="auto"/>
              </w:rPr>
              <w:t>1,551</w:t>
            </w:r>
          </w:p>
        </w:tc>
      </w:tr>
      <w:tr>
        <w:trPr>
          <w:trHeight w:val="237"/>
        </w:trPr>
        <w:tc>
          <w:tcPr>
            <w:tcW w:w="6280" w:type="dxa"/>
            <w:vAlign w:val="bottom"/>
            <w:tcBorders>
              <w:left w:val="single" w:sz="8" w:color="DD924E"/>
            </w:tcBorders>
            <w:gridSpan w:val="2"/>
          </w:tcPr>
          <w:p>
            <w:pPr>
              <w:ind w:left="60"/>
              <w:spacing w:after="0"/>
              <w:rPr>
                <w:sz w:val="20"/>
                <w:szCs w:val="20"/>
                <w:color w:val="auto"/>
              </w:rPr>
            </w:pPr>
            <w:r>
              <w:rPr>
                <w:rFonts w:ascii="Arial" w:cs="Arial" w:eastAsia="Arial" w:hAnsi="Arial"/>
                <w:sz w:val="17"/>
                <w:szCs w:val="17"/>
                <w:b w:val="1"/>
                <w:bCs w:val="1"/>
                <w:color w:val="auto"/>
              </w:rPr>
              <w:t>Audit-Related Fees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475</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right w:val="single" w:sz="8" w:color="DD924E"/>
            </w:tcBorders>
          </w:tcPr>
          <w:p>
            <w:pPr>
              <w:jc w:val="right"/>
              <w:spacing w:after="0"/>
              <w:rPr>
                <w:sz w:val="20"/>
                <w:szCs w:val="20"/>
                <w:color w:val="auto"/>
              </w:rPr>
            </w:pPr>
            <w:r>
              <w:rPr>
                <w:rFonts w:ascii="Arial" w:cs="Arial" w:eastAsia="Arial" w:hAnsi="Arial"/>
                <w:sz w:val="17"/>
                <w:szCs w:val="17"/>
                <w:color w:val="auto"/>
              </w:rPr>
              <w:t>266</w:t>
            </w:r>
          </w:p>
        </w:tc>
      </w:tr>
      <w:tr>
        <w:trPr>
          <w:trHeight w:val="251"/>
        </w:trPr>
        <w:tc>
          <w:tcPr>
            <w:tcW w:w="628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7"/>
                <w:szCs w:val="17"/>
                <w:b w:val="1"/>
                <w:bCs w:val="1"/>
                <w:color w:val="auto"/>
              </w:rPr>
              <w:t>Tax Fees</w:t>
            </w:r>
          </w:p>
        </w:tc>
        <w:tc>
          <w:tcPr>
            <w:tcW w:w="100" w:type="dxa"/>
            <w:vAlign w:val="bottom"/>
            <w:shd w:val="clear" w:color="auto" w:fill="FBF4ED"/>
          </w:tcPr>
          <w:p>
            <w:pPr>
              <w:spacing w:after="0"/>
              <w:rPr>
                <w:sz w:val="21"/>
                <w:szCs w:val="21"/>
                <w:color w:val="auto"/>
              </w:rPr>
            </w:pPr>
          </w:p>
        </w:tc>
        <w:tc>
          <w:tcPr>
            <w:tcW w:w="200" w:type="dxa"/>
            <w:vAlign w:val="bottom"/>
            <w:shd w:val="clear" w:color="auto" w:fill="FBF4ED"/>
          </w:tcPr>
          <w:p>
            <w:pPr>
              <w:spacing w:after="0"/>
              <w:rPr>
                <w:sz w:val="21"/>
                <w:szCs w:val="21"/>
                <w:color w:val="auto"/>
              </w:rPr>
            </w:pPr>
          </w:p>
        </w:tc>
        <w:tc>
          <w:tcPr>
            <w:tcW w:w="820" w:type="dxa"/>
            <w:vAlign w:val="bottom"/>
            <w:shd w:val="clear" w:color="auto" w:fill="FBF4ED"/>
          </w:tcPr>
          <w:p>
            <w:pPr>
              <w:jc w:val="right"/>
              <w:spacing w:after="0"/>
              <w:rPr>
                <w:sz w:val="20"/>
                <w:szCs w:val="20"/>
                <w:color w:val="auto"/>
              </w:rPr>
            </w:pPr>
            <w:r>
              <w:rPr>
                <w:rFonts w:ascii="Arial" w:cs="Arial" w:eastAsia="Arial" w:hAnsi="Arial"/>
                <w:sz w:val="17"/>
                <w:szCs w:val="17"/>
                <w:color w:val="auto"/>
              </w:rPr>
              <w:t>71</w:t>
            </w:r>
          </w:p>
        </w:tc>
        <w:tc>
          <w:tcPr>
            <w:tcW w:w="320" w:type="dxa"/>
            <w:vAlign w:val="bottom"/>
            <w:shd w:val="clear" w:color="auto" w:fill="FBF4ED"/>
          </w:tcPr>
          <w:p>
            <w:pPr>
              <w:spacing w:after="0"/>
              <w:rPr>
                <w:sz w:val="21"/>
                <w:szCs w:val="21"/>
                <w:color w:val="auto"/>
              </w:rPr>
            </w:pPr>
          </w:p>
        </w:tc>
        <w:tc>
          <w:tcPr>
            <w:tcW w:w="200" w:type="dxa"/>
            <w:vAlign w:val="bottom"/>
            <w:shd w:val="clear" w:color="auto" w:fill="FBF4ED"/>
          </w:tcPr>
          <w:p>
            <w:pPr>
              <w:spacing w:after="0"/>
              <w:rPr>
                <w:sz w:val="21"/>
                <w:szCs w:val="21"/>
                <w:color w:val="auto"/>
              </w:rPr>
            </w:pPr>
          </w:p>
        </w:tc>
        <w:tc>
          <w:tcPr>
            <w:tcW w:w="880" w:type="dxa"/>
            <w:vAlign w:val="bottom"/>
            <w:tcBorders>
              <w:right w:val="single" w:sz="8" w:color="DD924E"/>
            </w:tcBorders>
            <w:shd w:val="clear" w:color="auto" w:fill="FBF4ED"/>
          </w:tcPr>
          <w:p>
            <w:pPr>
              <w:jc w:val="right"/>
              <w:spacing w:after="0"/>
              <w:rPr>
                <w:sz w:val="20"/>
                <w:szCs w:val="20"/>
                <w:color w:val="auto"/>
              </w:rPr>
            </w:pPr>
            <w:r>
              <w:rPr>
                <w:rFonts w:ascii="Arial" w:cs="Arial" w:eastAsia="Arial" w:hAnsi="Arial"/>
                <w:sz w:val="17"/>
                <w:szCs w:val="17"/>
                <w:color w:val="auto"/>
              </w:rPr>
              <w:t>44</w:t>
            </w:r>
          </w:p>
        </w:tc>
      </w:tr>
      <w:tr>
        <w:trPr>
          <w:trHeight w:val="237"/>
        </w:trPr>
        <w:tc>
          <w:tcPr>
            <w:tcW w:w="6280" w:type="dxa"/>
            <w:vAlign w:val="bottom"/>
            <w:tcBorders>
              <w:left w:val="single" w:sz="8" w:color="DD924E"/>
            </w:tcBorders>
            <w:gridSpan w:val="2"/>
          </w:tcPr>
          <w:p>
            <w:pPr>
              <w:ind w:left="60"/>
              <w:spacing w:after="0"/>
              <w:rPr>
                <w:sz w:val="20"/>
                <w:szCs w:val="20"/>
                <w:color w:val="auto"/>
              </w:rPr>
            </w:pPr>
            <w:r>
              <w:rPr>
                <w:rFonts w:ascii="Arial" w:cs="Arial" w:eastAsia="Arial" w:hAnsi="Arial"/>
                <w:sz w:val="17"/>
                <w:szCs w:val="17"/>
                <w:b w:val="1"/>
                <w:bCs w:val="1"/>
                <w:color w:val="auto"/>
              </w:rPr>
              <w:t>All Other Fees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right w:val="single" w:sz="8" w:color="DD924E"/>
            </w:tcBorders>
          </w:tcPr>
          <w:p>
            <w:pPr>
              <w:jc w:val="right"/>
              <w:spacing w:after="0"/>
              <w:rPr>
                <w:sz w:val="20"/>
                <w:szCs w:val="20"/>
                <w:color w:val="auto"/>
              </w:rPr>
            </w:pPr>
            <w:r>
              <w:rPr>
                <w:rFonts w:ascii="Arial" w:cs="Arial" w:eastAsia="Arial" w:hAnsi="Arial"/>
                <w:sz w:val="17"/>
                <w:szCs w:val="17"/>
                <w:color w:val="auto"/>
              </w:rPr>
              <w:t>92</w:t>
            </w:r>
          </w:p>
        </w:tc>
      </w:tr>
      <w:tr>
        <w:trPr>
          <w:trHeight w:val="244"/>
        </w:trPr>
        <w:tc>
          <w:tcPr>
            <w:tcW w:w="6280" w:type="dxa"/>
            <w:vAlign w:val="bottom"/>
            <w:tcBorders>
              <w:left w:val="single" w:sz="8" w:color="DD924E"/>
              <w:bottom w:val="single" w:sz="8" w:color="DD924E"/>
            </w:tcBorders>
            <w:gridSpan w:val="2"/>
            <w:shd w:val="clear" w:color="auto" w:fill="FBF4ED"/>
          </w:tcPr>
          <w:p>
            <w:pPr>
              <w:ind w:left="60"/>
              <w:spacing w:after="0"/>
              <w:rPr>
                <w:sz w:val="20"/>
                <w:szCs w:val="20"/>
                <w:color w:val="auto"/>
              </w:rPr>
            </w:pPr>
            <w:r>
              <w:rPr>
                <w:rFonts w:ascii="Arial" w:cs="Arial" w:eastAsia="Arial" w:hAnsi="Arial"/>
                <w:sz w:val="17"/>
                <w:szCs w:val="17"/>
                <w:b w:val="1"/>
                <w:bCs w:val="1"/>
                <w:color w:val="auto"/>
              </w:rPr>
              <w:t>Total Fees</w:t>
            </w:r>
          </w:p>
        </w:tc>
        <w:tc>
          <w:tcPr>
            <w:tcW w:w="300" w:type="dxa"/>
            <w:vAlign w:val="bottom"/>
            <w:tcBorders>
              <w:bottom w:val="single" w:sz="8" w:color="DD924E"/>
            </w:tcBorders>
            <w:gridSpan w:val="2"/>
            <w:shd w:val="clear" w:color="auto" w:fill="FBF4ED"/>
          </w:tcPr>
          <w:p>
            <w:pPr>
              <w:jc w:val="right"/>
              <w:ind w:right="80"/>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DD924E"/>
            </w:tcBorders>
            <w:shd w:val="clear" w:color="auto" w:fill="FBF4ED"/>
          </w:tcPr>
          <w:p>
            <w:pPr>
              <w:jc w:val="right"/>
              <w:spacing w:after="0"/>
              <w:rPr>
                <w:sz w:val="20"/>
                <w:szCs w:val="20"/>
                <w:color w:val="auto"/>
              </w:rPr>
            </w:pPr>
            <w:r>
              <w:rPr>
                <w:rFonts w:ascii="Arial" w:cs="Arial" w:eastAsia="Arial" w:hAnsi="Arial"/>
                <w:sz w:val="17"/>
                <w:szCs w:val="17"/>
                <w:b w:val="1"/>
                <w:bCs w:val="1"/>
                <w:color w:val="auto"/>
              </w:rPr>
              <w:t>2,025</w:t>
            </w:r>
          </w:p>
        </w:tc>
        <w:tc>
          <w:tcPr>
            <w:tcW w:w="520" w:type="dxa"/>
            <w:vAlign w:val="bottom"/>
            <w:tcBorders>
              <w:bottom w:val="single" w:sz="8" w:color="DD924E"/>
            </w:tcBorders>
            <w:gridSpan w:val="2"/>
            <w:shd w:val="clear" w:color="auto" w:fill="FBF4ED"/>
          </w:tcPr>
          <w:p>
            <w:pPr>
              <w:jc w:val="right"/>
              <w:ind w:right="100"/>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DD924E"/>
              <w:right w:val="single" w:sz="8" w:color="DD924E"/>
            </w:tcBorders>
            <w:shd w:val="clear" w:color="auto" w:fill="FBF4ED"/>
          </w:tcPr>
          <w:p>
            <w:pPr>
              <w:jc w:val="right"/>
              <w:spacing w:after="0"/>
              <w:rPr>
                <w:sz w:val="20"/>
                <w:szCs w:val="20"/>
                <w:color w:val="auto"/>
              </w:rPr>
            </w:pPr>
            <w:r>
              <w:rPr>
                <w:rFonts w:ascii="Arial" w:cs="Arial" w:eastAsia="Arial" w:hAnsi="Arial"/>
                <w:sz w:val="17"/>
                <w:szCs w:val="17"/>
                <w:b w:val="1"/>
                <w:bCs w:val="1"/>
                <w:color w:val="auto"/>
              </w:rPr>
              <w:t>1,953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121920</wp:posOffset>
            </wp:positionV>
            <wp:extent cx="12865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254" w:lineRule="exact"/>
        <w:rPr>
          <w:sz w:val="20"/>
          <w:szCs w:val="20"/>
          <w:color w:val="auto"/>
        </w:rPr>
      </w:pPr>
    </w:p>
    <w:p>
      <w:pPr>
        <w:ind w:left="840" w:right="59" w:hanging="345"/>
        <w:spacing w:after="0" w:line="236" w:lineRule="auto"/>
        <w:tabs>
          <w:tab w:leader="none" w:pos="8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Reflects fees of EY, who served as the Company’s independent registered public accounting firm for fiscal year 2017 and fiscal year 2016.</w:t>
      </w:r>
    </w:p>
    <w:p>
      <w:pPr>
        <w:spacing w:after="0" w:line="107" w:lineRule="exact"/>
        <w:rPr>
          <w:sz w:val="20"/>
          <w:szCs w:val="20"/>
          <w:color w:val="auto"/>
        </w:rPr>
      </w:pPr>
    </w:p>
    <w:p>
      <w:pPr>
        <w:jc w:val="both"/>
        <w:ind w:left="160" w:right="59"/>
        <w:spacing w:after="0" w:line="260" w:lineRule="auto"/>
        <w:rPr>
          <w:sz w:val="20"/>
          <w:szCs w:val="20"/>
          <w:color w:val="auto"/>
        </w:rPr>
      </w:pPr>
      <w:r>
        <w:rPr>
          <w:rFonts w:ascii="Arial" w:cs="Arial" w:eastAsia="Arial" w:hAnsi="Arial"/>
          <w:sz w:val="17"/>
          <w:szCs w:val="17"/>
          <w:b w:val="1"/>
          <w:bCs w:val="1"/>
          <w:color w:val="auto"/>
        </w:rPr>
        <w:t xml:space="preserve">Audit Fees. </w:t>
      </w:r>
      <w:r>
        <w:rPr>
          <w:rFonts w:ascii="Arial" w:cs="Arial" w:eastAsia="Arial" w:hAnsi="Arial"/>
          <w:sz w:val="17"/>
          <w:szCs w:val="17"/>
          <w:color w:val="auto"/>
        </w:rPr>
        <w:t>Consist of fees billed for professional services rendered for the audit of our consolidated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including (i) the audit of effectiveness of internal control over financial reporting, (ii) review of our consolidated financial statements included in our quarterly reports, and (iii) services that are normally provided by our registered independent public accountants including services in connection with statutory or regulatory filings or engagements for those fiscal years.</w:t>
      </w:r>
    </w:p>
    <w:p>
      <w:pPr>
        <w:spacing w:after="0" w:line="108" w:lineRule="exact"/>
        <w:rPr>
          <w:sz w:val="20"/>
          <w:szCs w:val="20"/>
          <w:color w:val="auto"/>
        </w:rPr>
      </w:pPr>
    </w:p>
    <w:p>
      <w:pPr>
        <w:jc w:val="both"/>
        <w:ind w:left="160" w:right="59"/>
        <w:spacing w:after="0" w:line="263" w:lineRule="auto"/>
        <w:rPr>
          <w:sz w:val="20"/>
          <w:szCs w:val="20"/>
          <w:color w:val="auto"/>
        </w:rPr>
      </w:pPr>
      <w:r>
        <w:rPr>
          <w:rFonts w:ascii="Arial" w:cs="Arial" w:eastAsia="Arial" w:hAnsi="Arial"/>
          <w:sz w:val="17"/>
          <w:szCs w:val="17"/>
          <w:b w:val="1"/>
          <w:bCs w:val="1"/>
          <w:color w:val="auto"/>
        </w:rPr>
        <w:t xml:space="preserve">Audit-Related Fees. </w:t>
      </w:r>
      <w:r>
        <w:rPr>
          <w:rFonts w:ascii="Arial" w:cs="Arial" w:eastAsia="Arial" w:hAnsi="Arial"/>
          <w:sz w:val="17"/>
          <w:szCs w:val="17"/>
          <w:color w:val="auto"/>
        </w:rPr>
        <w:t>Consist of fees billed for assurance and related services that are reasonably related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the audit or review of our consolidated financial statements and are not reported under “Audit Fees.” These services include, for both years, SSAE 16 service organization audits and due diligence in connection with acquisition activity.</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 xml:space="preserve">Tax Fees. </w:t>
      </w:r>
      <w:r>
        <w:rPr>
          <w:rFonts w:ascii="Arial" w:cs="Arial" w:eastAsia="Arial" w:hAnsi="Arial"/>
          <w:sz w:val="17"/>
          <w:szCs w:val="17"/>
          <w:color w:val="auto"/>
        </w:rPr>
        <w:t>Consist primarily of fees for other tax filing and advisory projects.</w:t>
      </w:r>
    </w:p>
    <w:p>
      <w:pPr>
        <w:spacing w:after="0" w:line="151" w:lineRule="exact"/>
        <w:rPr>
          <w:sz w:val="20"/>
          <w:szCs w:val="20"/>
          <w:color w:val="auto"/>
        </w:rPr>
      </w:pPr>
    </w:p>
    <w:p>
      <w:pPr>
        <w:jc w:val="both"/>
        <w:ind w:left="160" w:right="59"/>
        <w:spacing w:after="0" w:line="269" w:lineRule="auto"/>
        <w:rPr>
          <w:sz w:val="20"/>
          <w:szCs w:val="20"/>
          <w:color w:val="auto"/>
        </w:rPr>
      </w:pPr>
      <w:r>
        <w:rPr>
          <w:rFonts w:ascii="Arial" w:cs="Arial" w:eastAsia="Arial" w:hAnsi="Arial"/>
          <w:sz w:val="17"/>
          <w:szCs w:val="17"/>
          <w:b w:val="1"/>
          <w:bCs w:val="1"/>
          <w:color w:val="auto"/>
        </w:rPr>
        <w:t xml:space="preserve">All Other Fees. </w:t>
      </w:r>
      <w:r>
        <w:rPr>
          <w:rFonts w:ascii="Arial" w:cs="Arial" w:eastAsia="Arial" w:hAnsi="Arial"/>
          <w:sz w:val="17"/>
          <w:szCs w:val="17"/>
          <w:color w:val="auto"/>
        </w:rPr>
        <w:t>Consist of fees billed for other permissible work performed by the Company’s independent public</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accounting firm that does not meet the above category descriptions, including, for fiscal year 2016, fees related to online access to an accounting and financial reporting research tool.</w:t>
      </w:r>
    </w:p>
    <w:p>
      <w:pPr>
        <w:spacing w:after="0" w:line="119"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Our Audit Committee pre-approves and is responsible for the engagement of all auditing services provided by our independent registered public accountants and all non-auditing services to be provided by such accountants to the extent permitted under 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All of the fees paid to EY in fiscal year 2017, 2016 and 2015 were pre-approved by the Audit Committee.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6" w:name="page77"/>
    <w:bookmarkEnd w:id="76"/>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518DC8"/>
        </w:rPr>
        <w:t>Required Vote</w:t>
      </w:r>
    </w:p>
    <w:p>
      <w:pPr>
        <w:spacing w:after="0" w:line="145" w:lineRule="exact"/>
        <w:rPr>
          <w:sz w:val="20"/>
          <w:szCs w:val="20"/>
          <w:color w:val="auto"/>
        </w:rPr>
      </w:pPr>
    </w:p>
    <w:p>
      <w:pPr>
        <w:jc w:val="both"/>
        <w:ind w:left="160" w:right="79"/>
        <w:spacing w:after="0" w:line="257" w:lineRule="auto"/>
        <w:rPr>
          <w:sz w:val="20"/>
          <w:szCs w:val="20"/>
          <w:color w:val="auto"/>
        </w:rPr>
      </w:pPr>
      <w:r>
        <w:rPr>
          <w:rFonts w:ascii="Arial" w:cs="Arial" w:eastAsia="Arial" w:hAnsi="Arial"/>
          <w:sz w:val="17"/>
          <w:szCs w:val="17"/>
          <w:color w:val="auto"/>
        </w:rPr>
        <w:t>The ratification of the appointment of Deloitte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12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FFFFFF"/>
        </w:rPr>
        <w:t>Our board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3416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84825" cy="341630"/>
                    </a:xfrm>
                    <a:prstGeom prst="rect">
                      <a:avLst/>
                    </a:prstGeom>
                    <a:noFill/>
                  </pic:spPr>
                </pic:pic>
              </a:graphicData>
            </a:graphic>
          </wp:anchor>
        </w:drawing>
      </w:r>
    </w:p>
    <w:p>
      <w:pPr>
        <w:spacing w:after="0" w:line="19" w:lineRule="exact"/>
        <w:rPr>
          <w:sz w:val="20"/>
          <w:szCs w:val="20"/>
          <w:color w:val="auto"/>
        </w:rPr>
      </w:pPr>
    </w:p>
    <w:p>
      <w:pPr>
        <w:ind w:left="240"/>
        <w:spacing w:after="0"/>
        <w:tabs>
          <w:tab w:leader="none" w:pos="1380" w:val="left"/>
        </w:tabs>
        <w:rPr>
          <w:sz w:val="20"/>
          <w:szCs w:val="20"/>
          <w:color w:val="auto"/>
        </w:rPr>
      </w:pPr>
      <w:r>
        <w:rPr>
          <w:rFonts w:ascii="Arial" w:cs="Arial" w:eastAsia="Arial" w:hAnsi="Arial"/>
          <w:sz w:val="17"/>
          <w:szCs w:val="17"/>
          <w:b w:val="1"/>
          <w:bCs w:val="1"/>
          <w:color w:val="auto"/>
        </w:rPr>
        <w:t>FOR</w:t>
      </w:r>
      <w:r>
        <w:rPr>
          <w:sz w:val="20"/>
          <w:szCs w:val="20"/>
          <w:color w:val="auto"/>
        </w:rPr>
        <w:tab/>
      </w:r>
      <w:r>
        <w:rPr>
          <w:rFonts w:ascii="Arial" w:cs="Arial" w:eastAsia="Arial" w:hAnsi="Arial"/>
          <w:sz w:val="17"/>
          <w:szCs w:val="17"/>
          <w:b w:val="1"/>
          <w:bCs w:val="1"/>
          <w:color w:val="auto"/>
        </w:rPr>
        <w:t>the ratification of Deloitte as our independent registered public accounting firm.</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7" w:name="page78"/>
    <w:bookmarkEnd w:id="77"/>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PROPOSAL 3</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ADVISORY (NON-BINDING) VOTE ON EXECUTIVE COMPENSATION</w:t>
      </w:r>
    </w:p>
    <w:p>
      <w:pPr>
        <w:spacing w:after="0" w:line="132" w:lineRule="exact"/>
        <w:rPr>
          <w:sz w:val="20"/>
          <w:szCs w:val="20"/>
          <w:color w:val="auto"/>
        </w:rPr>
      </w:pPr>
    </w:p>
    <w:p>
      <w:pPr>
        <w:jc w:val="both"/>
        <w:ind w:left="160" w:right="59"/>
        <w:spacing w:after="0" w:line="255" w:lineRule="auto"/>
        <w:rPr>
          <w:sz w:val="20"/>
          <w:szCs w:val="20"/>
          <w:color w:val="auto"/>
        </w:rPr>
      </w:pPr>
      <w:r>
        <w:rPr>
          <w:rFonts w:ascii="Arial" w:cs="Arial" w:eastAsia="Arial" w:hAnsi="Arial"/>
          <w:sz w:val="17"/>
          <w:szCs w:val="17"/>
          <w:color w:val="auto"/>
        </w:rPr>
        <w:t>Proposal 3 is a vote, on a non-binding advisory basis, to approve the compensation of our executive officers as described in this proxy statement. Although the vote is advisory and is not binding on the board of directors, our Compensation Committee will take into account the outcome of the vote when considering future executive compensation decisions. We refer to this vote as the “say-on-pay” vote.</w:t>
      </w:r>
    </w:p>
    <w:p>
      <w:pPr>
        <w:spacing w:after="0" w:line="131"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At the 2017 Annual Meeting of Stockholders, our stockholders voted on a proposal relating to the frequency of the “say-on-pay” vote. We recommended, and our stockholders approved on a non-binding advisory basis, an annual say-on-pay vote. Accordingly, we include the say-on-pay vote each year as a regular part of each Annual Meeting of Stockholders, and the next such say-on-pay vote will occur at next year’s Annual Meeting of Stockholders. The next vote on the frequency of the “say-on-pay” vote will be held at the Annual Meeting to be held in 2023.</w:t>
      </w:r>
    </w:p>
    <w:p>
      <w:pPr>
        <w:spacing w:after="0" w:line="132"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Our board of directors is committed to corporate governance best practices and recognizes the significant interest of stockholders in executive compensation matters. As discussed in the Compensation Discussion and Analysis, our board of directors believes that our current executive compensation program directly links executive compensation to our performance and aligns the interests of our executive officers with those of our stockholders. For example, the bulk of our annual incentive bonuses are earned based on achievement of two core financial metrics: Adjusted EPS and revenues. As we discuss in greater detail in our Compensation Discussion and Analysis, these financial metrics focus our named executive officers on top-line revenues and bottom-line earnings that are likely to make meaningful contributions to our future financial performance. We believe rewarding our executives with incentive pay based on achievement of these three financial metrics closely aligns management with the interests of our stockholders.</w:t>
      </w:r>
    </w:p>
    <w:p>
      <w:pPr>
        <w:spacing w:after="0" w:line="120" w:lineRule="exact"/>
        <w:rPr>
          <w:sz w:val="20"/>
          <w:szCs w:val="20"/>
          <w:color w:val="auto"/>
        </w:rPr>
      </w:pPr>
    </w:p>
    <w:p>
      <w:pPr>
        <w:jc w:val="both"/>
        <w:ind w:left="160" w:right="59"/>
        <w:spacing w:after="0" w:line="263" w:lineRule="auto"/>
        <w:rPr>
          <w:sz w:val="20"/>
          <w:szCs w:val="20"/>
          <w:color w:val="auto"/>
        </w:rPr>
      </w:pPr>
      <w:r>
        <w:rPr>
          <w:rFonts w:ascii="Arial" w:cs="Arial" w:eastAsia="Arial" w:hAnsi="Arial"/>
          <w:sz w:val="17"/>
          <w:szCs w:val="17"/>
          <w:color w:val="auto"/>
        </w:rPr>
        <w:t>In addition, our philosophy places more emphasis on variable elements of compensation (such as incentive bonuses and equity-based compensation) than fixed remuneration.</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Our stockholders have the opportunity to vote for, against or abstain from voting on the following resolution:</w:t>
      </w:r>
    </w:p>
    <w:p>
      <w:pPr>
        <w:spacing w:after="0" w:line="131" w:lineRule="exact"/>
        <w:rPr>
          <w:sz w:val="20"/>
          <w:szCs w:val="20"/>
          <w:color w:val="auto"/>
        </w:rPr>
      </w:pPr>
    </w:p>
    <w:p>
      <w:pPr>
        <w:jc w:val="both"/>
        <w:ind w:left="160" w:right="59"/>
        <w:spacing w:after="0" w:line="263" w:lineRule="auto"/>
        <w:rPr>
          <w:sz w:val="20"/>
          <w:szCs w:val="20"/>
          <w:color w:val="auto"/>
        </w:rPr>
      </w:pPr>
      <w:r>
        <w:rPr>
          <w:rFonts w:ascii="Arial" w:cs="Arial" w:eastAsia="Arial" w:hAnsi="Arial"/>
          <w:sz w:val="17"/>
          <w:szCs w:val="17"/>
          <w:b w:val="1"/>
          <w:bCs w:val="1"/>
          <w:color w:val="auto"/>
        </w:rPr>
        <w:t>“Resolved, that the stockholders approve on an advisory basis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112" w:lineRule="exact"/>
        <w:rPr>
          <w:sz w:val="20"/>
          <w:szCs w:val="20"/>
          <w:color w:val="auto"/>
        </w:rPr>
      </w:pPr>
    </w:p>
    <w:p>
      <w:pPr>
        <w:jc w:val="both"/>
        <w:ind w:left="160" w:right="79"/>
        <w:spacing w:after="0" w:line="263" w:lineRule="auto"/>
        <w:rPr>
          <w:sz w:val="20"/>
          <w:szCs w:val="20"/>
          <w:color w:val="auto"/>
        </w:rPr>
      </w:pPr>
      <w:r>
        <w:rPr>
          <w:rFonts w:ascii="Arial" w:cs="Arial" w:eastAsia="Arial" w:hAnsi="Arial"/>
          <w:sz w:val="17"/>
          <w:szCs w:val="17"/>
          <w:color w:val="auto"/>
        </w:rPr>
        <w:t>The above-referenced disclosures related to the compensation of our named executive officers appear beginning at page 30 of this proxy statement.</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518DC8"/>
        </w:rPr>
        <w:t>Required Vote</w:t>
      </w:r>
    </w:p>
    <w:p>
      <w:pPr>
        <w:spacing w:after="0" w:line="158" w:lineRule="exact"/>
        <w:rPr>
          <w:sz w:val="20"/>
          <w:szCs w:val="20"/>
          <w:color w:val="auto"/>
        </w:rPr>
      </w:pPr>
    </w:p>
    <w:p>
      <w:pPr>
        <w:jc w:val="both"/>
        <w:ind w:left="160" w:right="59"/>
        <w:spacing w:after="0" w:line="255" w:lineRule="auto"/>
        <w:rPr>
          <w:sz w:val="20"/>
          <w:szCs w:val="20"/>
          <w:color w:val="auto"/>
        </w:rPr>
      </w:pPr>
      <w:r>
        <w:rPr>
          <w:rFonts w:ascii="Arial" w:cs="Arial" w:eastAsia="Arial" w:hAnsi="Arial"/>
          <w:sz w:val="17"/>
          <w:szCs w:val="17"/>
          <w:color w:val="auto"/>
        </w:rPr>
        <w:t>The approval, on an advisory (non-binding) basis, of the compensation of our named executive officers requires the affirmative vote of a majority of shares present in person or represented by proxy and entitled to vote at the Annual Meeting. Unless marked to the contrary, proxies received will be voted “FOR” the approval of the compensation of our named executive officers.</w:t>
      </w:r>
    </w:p>
    <w:p>
      <w:pPr>
        <w:spacing w:after="0" w:line="119" w:lineRule="exact"/>
        <w:rPr>
          <w:sz w:val="20"/>
          <w:szCs w:val="20"/>
          <w:color w:val="auto"/>
        </w:rPr>
      </w:pPr>
    </w:p>
    <w:tbl>
      <w:tblPr>
        <w:tblLayout w:type="fixed"/>
        <w:tblInd w:w="170" w:type="dxa"/>
        <w:tblCellMar>
          <w:top w:w="0" w:type="dxa"/>
          <w:left w:w="0" w:type="dxa"/>
          <w:bottom w:w="0" w:type="dxa"/>
          <w:right w:w="0" w:type="dxa"/>
        </w:tblCellMar>
      </w:tblPr>
      <w:tr>
        <w:trPr>
          <w:trHeight w:val="269"/>
        </w:trPr>
        <w:tc>
          <w:tcPr>
            <w:tcW w:w="840" w:type="dxa"/>
            <w:vAlign w:val="bottom"/>
            <w:tcBorders>
              <w:left w:val="single" w:sz="8" w:color="DD924E"/>
            </w:tcBorders>
            <w:shd w:val="clear" w:color="auto" w:fill="DD924E"/>
          </w:tcPr>
          <w:p>
            <w:pPr>
              <w:spacing w:after="0"/>
              <w:rPr>
                <w:sz w:val="23"/>
                <w:szCs w:val="23"/>
                <w:color w:val="auto"/>
              </w:rPr>
            </w:pPr>
          </w:p>
        </w:tc>
        <w:tc>
          <w:tcPr>
            <w:tcW w:w="7960" w:type="dxa"/>
            <w:vAlign w:val="bottom"/>
            <w:tcBorders>
              <w:right w:val="single" w:sz="8" w:color="DD924E"/>
            </w:tcBorders>
            <w:shd w:val="clear" w:color="auto" w:fill="DD924E"/>
          </w:tcPr>
          <w:p>
            <w:pPr>
              <w:ind w:left="1680"/>
              <w:spacing w:after="0"/>
              <w:rPr>
                <w:sz w:val="20"/>
                <w:szCs w:val="20"/>
                <w:color w:val="auto"/>
              </w:rPr>
            </w:pPr>
            <w:r>
              <w:rPr>
                <w:rFonts w:ascii="Arial" w:cs="Arial" w:eastAsia="Arial" w:hAnsi="Arial"/>
                <w:sz w:val="21"/>
                <w:szCs w:val="21"/>
                <w:b w:val="1"/>
                <w:bCs w:val="1"/>
                <w:color w:val="FFFFFF"/>
              </w:rPr>
              <w:t>Our board recommends that you vote:</w:t>
            </w:r>
          </w:p>
        </w:tc>
      </w:tr>
      <w:tr>
        <w:trPr>
          <w:trHeight w:val="210"/>
        </w:trPr>
        <w:tc>
          <w:tcPr>
            <w:tcW w:w="840" w:type="dxa"/>
            <w:vAlign w:val="bottom"/>
            <w:tcBorders>
              <w:left w:val="single" w:sz="8" w:color="DD924E"/>
            </w:tcBorders>
          </w:tcPr>
          <w:p>
            <w:pPr>
              <w:ind w:left="80"/>
              <w:spacing w:after="0"/>
              <w:rPr>
                <w:sz w:val="20"/>
                <w:szCs w:val="20"/>
                <w:color w:val="auto"/>
              </w:rPr>
            </w:pPr>
            <w:r>
              <w:rPr>
                <w:rFonts w:ascii="Arial" w:cs="Arial" w:eastAsia="Arial" w:hAnsi="Arial"/>
                <w:sz w:val="17"/>
                <w:szCs w:val="17"/>
                <w:b w:val="1"/>
                <w:bCs w:val="1"/>
                <w:color w:val="auto"/>
              </w:rPr>
              <w:t>FOR</w:t>
            </w:r>
          </w:p>
        </w:tc>
        <w:tc>
          <w:tcPr>
            <w:tcW w:w="7960" w:type="dxa"/>
            <w:vAlign w:val="bottom"/>
            <w:tcBorders>
              <w:right w:val="single" w:sz="8" w:color="DD924E"/>
            </w:tcBorders>
          </w:tcPr>
          <w:p>
            <w:pPr>
              <w:ind w:left="400"/>
              <w:spacing w:after="0"/>
              <w:rPr>
                <w:sz w:val="20"/>
                <w:szCs w:val="20"/>
                <w:color w:val="auto"/>
              </w:rPr>
            </w:pPr>
            <w:r>
              <w:rPr>
                <w:rFonts w:ascii="Arial" w:cs="Arial" w:eastAsia="Arial" w:hAnsi="Arial"/>
                <w:sz w:val="17"/>
                <w:szCs w:val="17"/>
                <w:b w:val="1"/>
                <w:bCs w:val="1"/>
                <w:color w:val="auto"/>
              </w:rPr>
              <w:t>the approval, on an advisory (non-binding) basis, of the compensation of our named</w:t>
            </w:r>
          </w:p>
        </w:tc>
      </w:tr>
      <w:tr>
        <w:trPr>
          <w:trHeight w:val="205"/>
        </w:trPr>
        <w:tc>
          <w:tcPr>
            <w:tcW w:w="840" w:type="dxa"/>
            <w:vAlign w:val="bottom"/>
            <w:tcBorders>
              <w:left w:val="single" w:sz="8" w:color="DD924E"/>
            </w:tcBorders>
          </w:tcPr>
          <w:p>
            <w:pPr>
              <w:spacing w:after="0"/>
              <w:rPr>
                <w:sz w:val="17"/>
                <w:szCs w:val="17"/>
                <w:color w:val="auto"/>
              </w:rPr>
            </w:pPr>
          </w:p>
        </w:tc>
        <w:tc>
          <w:tcPr>
            <w:tcW w:w="7960" w:type="dxa"/>
            <w:vAlign w:val="bottom"/>
            <w:tcBorders>
              <w:right w:val="single" w:sz="8" w:color="DD924E"/>
            </w:tcBorders>
          </w:tcPr>
          <w:p>
            <w:pPr>
              <w:ind w:left="400"/>
              <w:spacing w:after="0"/>
              <w:rPr>
                <w:sz w:val="20"/>
                <w:szCs w:val="20"/>
                <w:color w:val="auto"/>
              </w:rPr>
            </w:pPr>
            <w:r>
              <w:rPr>
                <w:rFonts w:ascii="Arial" w:cs="Arial" w:eastAsia="Arial" w:hAnsi="Arial"/>
                <w:sz w:val="17"/>
                <w:szCs w:val="17"/>
                <w:b w:val="1"/>
                <w:bCs w:val="1"/>
                <w:color w:val="auto"/>
              </w:rPr>
              <w:t>executive officers as disclosed pursuant to the compensation disclosure rules of the SEC</w:t>
            </w:r>
          </w:p>
        </w:tc>
      </w:tr>
      <w:tr>
        <w:trPr>
          <w:trHeight w:val="205"/>
        </w:trPr>
        <w:tc>
          <w:tcPr>
            <w:tcW w:w="840" w:type="dxa"/>
            <w:vAlign w:val="bottom"/>
            <w:tcBorders>
              <w:left w:val="single" w:sz="8" w:color="DD924E"/>
            </w:tcBorders>
          </w:tcPr>
          <w:p>
            <w:pPr>
              <w:spacing w:after="0"/>
              <w:rPr>
                <w:sz w:val="17"/>
                <w:szCs w:val="17"/>
                <w:color w:val="auto"/>
              </w:rPr>
            </w:pPr>
          </w:p>
        </w:tc>
        <w:tc>
          <w:tcPr>
            <w:tcW w:w="7960" w:type="dxa"/>
            <w:vAlign w:val="bottom"/>
            <w:tcBorders>
              <w:right w:val="single" w:sz="8" w:color="DD924E"/>
            </w:tcBorders>
          </w:tcPr>
          <w:p>
            <w:pPr>
              <w:ind w:left="400"/>
              <w:spacing w:after="0"/>
              <w:rPr>
                <w:sz w:val="20"/>
                <w:szCs w:val="20"/>
                <w:color w:val="auto"/>
              </w:rPr>
            </w:pPr>
            <w:r>
              <w:rPr>
                <w:rFonts w:ascii="Arial" w:cs="Arial" w:eastAsia="Arial" w:hAnsi="Arial"/>
                <w:sz w:val="17"/>
                <w:szCs w:val="17"/>
                <w:b w:val="1"/>
                <w:bCs w:val="1"/>
                <w:color w:val="auto"/>
              </w:rPr>
              <w:t>(including the Compensation Discussion and Analysis, the compensation tables and any</w:t>
            </w:r>
          </w:p>
        </w:tc>
      </w:tr>
      <w:tr>
        <w:trPr>
          <w:trHeight w:val="225"/>
        </w:trPr>
        <w:tc>
          <w:tcPr>
            <w:tcW w:w="840" w:type="dxa"/>
            <w:vAlign w:val="bottom"/>
            <w:tcBorders>
              <w:left w:val="single" w:sz="8" w:color="DD924E"/>
            </w:tcBorders>
          </w:tcPr>
          <w:p>
            <w:pPr>
              <w:spacing w:after="0"/>
              <w:rPr>
                <w:sz w:val="19"/>
                <w:szCs w:val="19"/>
                <w:color w:val="auto"/>
              </w:rPr>
            </w:pPr>
          </w:p>
        </w:tc>
        <w:tc>
          <w:tcPr>
            <w:tcW w:w="7960" w:type="dxa"/>
            <w:vAlign w:val="bottom"/>
            <w:tcBorders>
              <w:right w:val="single" w:sz="8" w:color="DD924E"/>
            </w:tcBorders>
          </w:tcPr>
          <w:p>
            <w:pPr>
              <w:ind w:left="400"/>
              <w:spacing w:after="0"/>
              <w:rPr>
                <w:sz w:val="20"/>
                <w:szCs w:val="20"/>
                <w:color w:val="auto"/>
              </w:rPr>
            </w:pPr>
            <w:r>
              <w:rPr>
                <w:rFonts w:ascii="Arial" w:cs="Arial" w:eastAsia="Arial" w:hAnsi="Arial"/>
                <w:sz w:val="17"/>
                <w:szCs w:val="17"/>
                <w:b w:val="1"/>
                <w:bCs w:val="1"/>
                <w:color w:val="auto"/>
              </w:rPr>
              <w:t>related material disclosed in this proxy statement)</w:t>
            </w:r>
          </w:p>
        </w:tc>
      </w:tr>
      <w:tr>
        <w:trPr>
          <w:trHeight w:val="27"/>
        </w:trPr>
        <w:tc>
          <w:tcPr>
            <w:tcW w:w="840" w:type="dxa"/>
            <w:vAlign w:val="bottom"/>
            <w:tcBorders>
              <w:left w:val="single" w:sz="8" w:color="DD924E"/>
              <w:bottom w:val="single" w:sz="8" w:color="DD924E"/>
            </w:tcBorders>
          </w:tcPr>
          <w:p>
            <w:pPr>
              <w:spacing w:after="0"/>
              <w:rPr>
                <w:sz w:val="2"/>
                <w:szCs w:val="2"/>
                <w:color w:val="auto"/>
              </w:rPr>
            </w:pPr>
          </w:p>
        </w:tc>
        <w:tc>
          <w:tcPr>
            <w:tcW w:w="7960" w:type="dxa"/>
            <w:vAlign w:val="bottom"/>
            <w:tcBorders>
              <w:bottom w:val="single" w:sz="8" w:color="DD924E"/>
              <w:right w:val="single" w:sz="8" w:color="DD924E"/>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8" w:name="page79"/>
    <w:bookmarkEnd w:id="78"/>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PROPOSAL 4</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APPROVAL OF THE 2018 OMNIBUS INCENTIVE PLAN</w:t>
      </w:r>
    </w:p>
    <w:p>
      <w:pPr>
        <w:spacing w:after="0" w:line="132"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 xml:space="preserve">You are being asked to approve the 2018 Omnibus Incentive Plan (the “New Plan”), which reserves 3,175,000 shares of our stock for grants of awards under the New Plan. The number of shares reserved will be reduced by one share of our stock for every share subject to an award granted after March 15, 2018 under the 2015 Amendment and Restatement of the ExlService Holdings, Inc. 2006 Omnibus Award Plan (the “Prior Plan”). In addition, any shares of our stock that are subject to an award under the Prior Plan that expires, is forfeited, otherwise terminates or is settled in cash, after March 15, 2018 will also be added to the shares available for awards under the New Plan. A copy of the New Plan, is attached as </w:t>
      </w:r>
      <w:r>
        <w:rPr>
          <w:rFonts w:ascii="Arial" w:cs="Arial" w:eastAsia="Arial" w:hAnsi="Arial"/>
          <w:sz w:val="17"/>
          <w:szCs w:val="17"/>
          <w:b w:val="1"/>
          <w:bCs w:val="1"/>
          <w:color w:val="auto"/>
        </w:rPr>
        <w:t>Annex A</w:t>
      </w:r>
      <w:r>
        <w:rPr>
          <w:rFonts w:ascii="Arial" w:cs="Arial" w:eastAsia="Arial" w:hAnsi="Arial"/>
          <w:sz w:val="17"/>
          <w:szCs w:val="17"/>
          <w:color w:val="auto"/>
        </w:rPr>
        <w:t xml:space="preserve"> hereto.</w:t>
      </w:r>
    </w:p>
    <w:p>
      <w:pPr>
        <w:spacing w:after="0" w:line="122" w:lineRule="exact"/>
        <w:rPr>
          <w:sz w:val="20"/>
          <w:szCs w:val="20"/>
          <w:color w:val="auto"/>
        </w:rPr>
      </w:pPr>
    </w:p>
    <w:p>
      <w:pPr>
        <w:jc w:val="both"/>
        <w:ind w:left="160" w:right="59"/>
        <w:spacing w:after="0" w:line="255" w:lineRule="auto"/>
        <w:rPr>
          <w:sz w:val="20"/>
          <w:szCs w:val="20"/>
          <w:color w:val="auto"/>
        </w:rPr>
      </w:pPr>
      <w:r>
        <w:rPr>
          <w:rFonts w:ascii="Arial" w:cs="Arial" w:eastAsia="Arial" w:hAnsi="Arial"/>
          <w:sz w:val="17"/>
          <w:szCs w:val="17"/>
          <w:color w:val="auto"/>
        </w:rPr>
        <w:t>The New Plan replaces and supersedes the Prior Plan. The New Plan will become effective upon approval by our shareholders. Upon the New Plan becoming effective, no new awards will be made under the Prior Plan, though outstanding awards previously made under the Prior Plan will continue to be governed by the terms of that plan. If the New Plan is not approved by our shareholders, the Prior Plan will continue as currently in effect.</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closing price of our stock as reported by NASDAQ on March 29, 2018 was $55.77 per share.</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518DC8"/>
        </w:rPr>
        <w:t>Key Features of the New Plan</w:t>
      </w:r>
    </w:p>
    <w:p>
      <w:pPr>
        <w:spacing w:after="0" w:line="145" w:lineRule="exact"/>
        <w:rPr>
          <w:sz w:val="20"/>
          <w:szCs w:val="20"/>
          <w:color w:val="auto"/>
        </w:rPr>
      </w:pPr>
    </w:p>
    <w:p>
      <w:pPr>
        <w:ind w:left="840" w:hanging="345"/>
        <w:spacing w:after="0"/>
        <w:tabs>
          <w:tab w:leader="none" w:pos="840" w:val="left"/>
        </w:tabs>
        <w:numPr>
          <w:ilvl w:val="0"/>
          <w:numId w:val="104"/>
        </w:numPr>
        <w:rPr>
          <w:rFonts w:ascii="Arial" w:cs="Arial" w:eastAsia="Arial" w:hAnsi="Arial"/>
          <w:sz w:val="17"/>
          <w:szCs w:val="17"/>
          <w:color w:val="DD924E"/>
        </w:rPr>
      </w:pPr>
      <w:r>
        <w:rPr>
          <w:rFonts w:ascii="Arial" w:cs="Arial" w:eastAsia="Arial" w:hAnsi="Arial"/>
          <w:sz w:val="17"/>
          <w:szCs w:val="17"/>
          <w:color w:val="auto"/>
        </w:rPr>
        <w:t>The New Plan does not contain a “liberal” change in control definition.</w:t>
      </w:r>
    </w:p>
    <w:p>
      <w:pPr>
        <w:spacing w:after="0" w:line="112" w:lineRule="exact"/>
        <w:rPr>
          <w:rFonts w:ascii="Arial" w:cs="Arial" w:eastAsia="Arial" w:hAnsi="Arial"/>
          <w:sz w:val="17"/>
          <w:szCs w:val="17"/>
          <w:color w:val="DD924E"/>
        </w:rPr>
      </w:pPr>
    </w:p>
    <w:p>
      <w:pPr>
        <w:ind w:left="840" w:right="79" w:hanging="345"/>
        <w:spacing w:after="0" w:line="247" w:lineRule="auto"/>
        <w:tabs>
          <w:tab w:leader="none" w:pos="840" w:val="left"/>
        </w:tabs>
        <w:numPr>
          <w:ilvl w:val="0"/>
          <w:numId w:val="104"/>
        </w:numPr>
        <w:rPr>
          <w:rFonts w:ascii="Arial" w:cs="Arial" w:eastAsia="Arial" w:hAnsi="Arial"/>
          <w:sz w:val="17"/>
          <w:szCs w:val="17"/>
          <w:color w:val="DD924E"/>
        </w:rPr>
      </w:pPr>
      <w:r>
        <w:rPr>
          <w:rFonts w:ascii="Arial" w:cs="Arial" w:eastAsia="Arial" w:hAnsi="Arial"/>
          <w:sz w:val="17"/>
          <w:szCs w:val="17"/>
          <w:color w:val="auto"/>
        </w:rPr>
        <w:t>The New Plan allows us to grant a variety of types of awards, including: options, SARs, restricted stock and restricted stock units (time-vested or performance-vested), other stock awards and cash-based awards.</w:t>
      </w:r>
    </w:p>
    <w:p>
      <w:pPr>
        <w:spacing w:after="0" w:line="97" w:lineRule="exact"/>
        <w:rPr>
          <w:rFonts w:ascii="Arial" w:cs="Arial" w:eastAsia="Arial" w:hAnsi="Arial"/>
          <w:sz w:val="17"/>
          <w:szCs w:val="17"/>
          <w:color w:val="DD924E"/>
        </w:rPr>
      </w:pPr>
    </w:p>
    <w:p>
      <w:pPr>
        <w:ind w:left="840" w:hanging="345"/>
        <w:spacing w:after="0"/>
        <w:tabs>
          <w:tab w:leader="none" w:pos="840" w:val="left"/>
        </w:tabs>
        <w:numPr>
          <w:ilvl w:val="0"/>
          <w:numId w:val="104"/>
        </w:numPr>
        <w:rPr>
          <w:rFonts w:ascii="Arial" w:cs="Arial" w:eastAsia="Arial" w:hAnsi="Arial"/>
          <w:sz w:val="17"/>
          <w:szCs w:val="17"/>
          <w:color w:val="DD924E"/>
        </w:rPr>
      </w:pPr>
      <w:r>
        <w:rPr>
          <w:rFonts w:ascii="Arial" w:cs="Arial" w:eastAsia="Arial" w:hAnsi="Arial"/>
          <w:sz w:val="17"/>
          <w:szCs w:val="17"/>
          <w:color w:val="auto"/>
        </w:rPr>
        <w:t>The New Plan does not permit “liberal” share recycling of options or stock appreciation rights (SARs).</w:t>
      </w:r>
    </w:p>
    <w:p>
      <w:pPr>
        <w:spacing w:after="0" w:line="125" w:lineRule="exact"/>
        <w:rPr>
          <w:rFonts w:ascii="Arial" w:cs="Arial" w:eastAsia="Arial" w:hAnsi="Arial"/>
          <w:sz w:val="17"/>
          <w:szCs w:val="17"/>
          <w:color w:val="DD924E"/>
        </w:rPr>
      </w:pPr>
    </w:p>
    <w:p>
      <w:pPr>
        <w:ind w:left="840" w:right="59" w:hanging="345"/>
        <w:spacing w:after="0" w:line="247" w:lineRule="auto"/>
        <w:tabs>
          <w:tab w:leader="none" w:pos="840" w:val="left"/>
        </w:tabs>
        <w:numPr>
          <w:ilvl w:val="0"/>
          <w:numId w:val="104"/>
        </w:numPr>
        <w:rPr>
          <w:rFonts w:ascii="Arial" w:cs="Arial" w:eastAsia="Arial" w:hAnsi="Arial"/>
          <w:sz w:val="17"/>
          <w:szCs w:val="17"/>
          <w:color w:val="DD924E"/>
        </w:rPr>
      </w:pPr>
      <w:r>
        <w:rPr>
          <w:rFonts w:ascii="Arial" w:cs="Arial" w:eastAsia="Arial" w:hAnsi="Arial"/>
          <w:sz w:val="17"/>
          <w:szCs w:val="17"/>
          <w:color w:val="auto"/>
        </w:rPr>
        <w:t>The New Plan provides for administration by our Compensation Committee (or independent members of our Board of Directors).</w:t>
      </w:r>
    </w:p>
    <w:p>
      <w:pPr>
        <w:spacing w:after="0" w:line="97" w:lineRule="exact"/>
        <w:rPr>
          <w:rFonts w:ascii="Arial" w:cs="Arial" w:eastAsia="Arial" w:hAnsi="Arial"/>
          <w:sz w:val="17"/>
          <w:szCs w:val="17"/>
          <w:color w:val="DD924E"/>
        </w:rPr>
      </w:pPr>
    </w:p>
    <w:p>
      <w:pPr>
        <w:ind w:left="840" w:right="79" w:hanging="345"/>
        <w:spacing w:after="0" w:line="247" w:lineRule="auto"/>
        <w:tabs>
          <w:tab w:leader="none" w:pos="840" w:val="left"/>
        </w:tabs>
        <w:numPr>
          <w:ilvl w:val="0"/>
          <w:numId w:val="104"/>
        </w:numPr>
        <w:rPr>
          <w:rFonts w:ascii="Arial" w:cs="Arial" w:eastAsia="Arial" w:hAnsi="Arial"/>
          <w:sz w:val="17"/>
          <w:szCs w:val="17"/>
          <w:color w:val="DD924E"/>
        </w:rPr>
      </w:pPr>
      <w:r>
        <w:rPr>
          <w:rFonts w:ascii="Arial" w:cs="Arial" w:eastAsia="Arial" w:hAnsi="Arial"/>
          <w:sz w:val="17"/>
          <w:szCs w:val="17"/>
          <w:color w:val="auto"/>
        </w:rPr>
        <w:t>Awards are subject to our general compensation recovery policy (the New Plan makes an explicit reference to said policy).</w:t>
      </w:r>
    </w:p>
    <w:p>
      <w:pPr>
        <w:spacing w:after="0" w:line="97" w:lineRule="exact"/>
        <w:rPr>
          <w:rFonts w:ascii="Arial" w:cs="Arial" w:eastAsia="Arial" w:hAnsi="Arial"/>
          <w:sz w:val="17"/>
          <w:szCs w:val="17"/>
          <w:color w:val="DD924E"/>
        </w:rPr>
      </w:pPr>
    </w:p>
    <w:p>
      <w:pPr>
        <w:ind w:left="840" w:hanging="345"/>
        <w:spacing w:after="0"/>
        <w:tabs>
          <w:tab w:leader="none" w:pos="840" w:val="left"/>
        </w:tabs>
        <w:numPr>
          <w:ilvl w:val="0"/>
          <w:numId w:val="104"/>
        </w:numPr>
        <w:rPr>
          <w:rFonts w:ascii="Arial" w:cs="Arial" w:eastAsia="Arial" w:hAnsi="Arial"/>
          <w:sz w:val="17"/>
          <w:szCs w:val="17"/>
          <w:color w:val="DD924E"/>
        </w:rPr>
      </w:pPr>
      <w:r>
        <w:rPr>
          <w:rFonts w:ascii="Arial" w:cs="Arial" w:eastAsia="Arial" w:hAnsi="Arial"/>
          <w:sz w:val="17"/>
          <w:szCs w:val="17"/>
          <w:color w:val="auto"/>
        </w:rPr>
        <w:t>The annual value cash and equity of awards granted to our non-employee directors is capped.</w:t>
      </w:r>
    </w:p>
    <w:p>
      <w:pPr>
        <w:spacing w:after="0" w:line="125" w:lineRule="exact"/>
        <w:rPr>
          <w:rFonts w:ascii="Arial" w:cs="Arial" w:eastAsia="Arial" w:hAnsi="Arial"/>
          <w:sz w:val="17"/>
          <w:szCs w:val="17"/>
          <w:color w:val="DD924E"/>
        </w:rPr>
      </w:pPr>
    </w:p>
    <w:p>
      <w:pPr>
        <w:ind w:left="840" w:hanging="345"/>
        <w:spacing w:after="0"/>
        <w:tabs>
          <w:tab w:leader="none" w:pos="840" w:val="left"/>
        </w:tabs>
        <w:numPr>
          <w:ilvl w:val="0"/>
          <w:numId w:val="104"/>
        </w:numPr>
        <w:rPr>
          <w:rFonts w:ascii="Arial" w:cs="Arial" w:eastAsia="Arial" w:hAnsi="Arial"/>
          <w:sz w:val="17"/>
          <w:szCs w:val="17"/>
          <w:color w:val="DD924E"/>
        </w:rPr>
      </w:pPr>
      <w:r>
        <w:rPr>
          <w:rFonts w:ascii="Arial" w:cs="Arial" w:eastAsia="Arial" w:hAnsi="Arial"/>
          <w:sz w:val="17"/>
          <w:szCs w:val="17"/>
          <w:color w:val="auto"/>
        </w:rPr>
        <w:t>The New Plan explicitly prohibits Company cash buyouts of underwater options or SARs.</w:t>
      </w:r>
    </w:p>
    <w:p>
      <w:pPr>
        <w:spacing w:after="0" w:line="112" w:lineRule="exact"/>
        <w:rPr>
          <w:rFonts w:ascii="Arial" w:cs="Arial" w:eastAsia="Arial" w:hAnsi="Arial"/>
          <w:sz w:val="17"/>
          <w:szCs w:val="17"/>
          <w:color w:val="DD924E"/>
        </w:rPr>
      </w:pPr>
    </w:p>
    <w:p>
      <w:pPr>
        <w:ind w:left="840" w:right="59" w:hanging="345"/>
        <w:spacing w:after="0" w:line="247" w:lineRule="auto"/>
        <w:tabs>
          <w:tab w:leader="none" w:pos="840" w:val="left"/>
        </w:tabs>
        <w:numPr>
          <w:ilvl w:val="0"/>
          <w:numId w:val="104"/>
        </w:numPr>
        <w:rPr>
          <w:rFonts w:ascii="Arial" w:cs="Arial" w:eastAsia="Arial" w:hAnsi="Arial"/>
          <w:sz w:val="17"/>
          <w:szCs w:val="17"/>
          <w:color w:val="DD924E"/>
        </w:rPr>
      </w:pPr>
      <w:r>
        <w:rPr>
          <w:rFonts w:ascii="Arial" w:cs="Arial" w:eastAsia="Arial" w:hAnsi="Arial"/>
          <w:sz w:val="17"/>
          <w:szCs w:val="17"/>
          <w:color w:val="auto"/>
        </w:rPr>
        <w:t>Dividends or dividend equivalents may not be paid on options or SARS, or unearned shares of restricted stock, restricted stock units or other “full value” awards under the New Plan.</w:t>
      </w:r>
    </w:p>
    <w:p>
      <w:pPr>
        <w:spacing w:after="0" w:line="97" w:lineRule="exact"/>
        <w:rPr>
          <w:rFonts w:ascii="Arial" w:cs="Arial" w:eastAsia="Arial" w:hAnsi="Arial"/>
          <w:sz w:val="17"/>
          <w:szCs w:val="17"/>
          <w:color w:val="DD924E"/>
        </w:rPr>
      </w:pPr>
    </w:p>
    <w:p>
      <w:pPr>
        <w:ind w:left="840" w:right="79" w:hanging="345"/>
        <w:spacing w:after="0" w:line="247" w:lineRule="auto"/>
        <w:tabs>
          <w:tab w:leader="none" w:pos="840" w:val="left"/>
        </w:tabs>
        <w:numPr>
          <w:ilvl w:val="0"/>
          <w:numId w:val="104"/>
        </w:numPr>
        <w:rPr>
          <w:rFonts w:ascii="Arial" w:cs="Arial" w:eastAsia="Arial" w:hAnsi="Arial"/>
          <w:sz w:val="17"/>
          <w:szCs w:val="17"/>
          <w:color w:val="DD924E"/>
        </w:rPr>
      </w:pPr>
      <w:r>
        <w:rPr>
          <w:rFonts w:ascii="Arial" w:cs="Arial" w:eastAsia="Arial" w:hAnsi="Arial"/>
          <w:sz w:val="17"/>
          <w:szCs w:val="17"/>
          <w:color w:val="auto"/>
        </w:rPr>
        <w:t>The New Plan includes annual limits on the number of shares and cash value that may be granted to a participant with respect to each type of award.</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518DC8"/>
        </w:rPr>
        <w:t>Grant Practices</w:t>
      </w:r>
    </w:p>
    <w:p>
      <w:pPr>
        <w:spacing w:after="0" w:line="132" w:lineRule="exact"/>
        <w:rPr>
          <w:sz w:val="20"/>
          <w:szCs w:val="20"/>
          <w:color w:val="auto"/>
        </w:rPr>
      </w:pPr>
    </w:p>
    <w:p>
      <w:pPr>
        <w:jc w:val="both"/>
        <w:ind w:left="160" w:right="59"/>
        <w:spacing w:after="0" w:line="255" w:lineRule="auto"/>
        <w:rPr>
          <w:sz w:val="20"/>
          <w:szCs w:val="20"/>
          <w:color w:val="auto"/>
        </w:rPr>
      </w:pPr>
      <w:r>
        <w:rPr>
          <w:rFonts w:ascii="Arial" w:cs="Arial" w:eastAsia="Arial" w:hAnsi="Arial"/>
          <w:sz w:val="17"/>
          <w:szCs w:val="17"/>
          <w:color w:val="auto"/>
        </w:rPr>
        <w:t>The Company typically grants restricted stock units. Restricted stock units (“RSUs”) as full-value awards are less dilutive to stockholders as the Company may grant fewer of such awards to achieve the intended economic effect. Our RSU awards are generally made up of time-vested RSUs that vest over a four year-period and performance-vested RSUs that are earned based on a three-year performance period.</w:t>
      </w:r>
    </w:p>
    <w:p>
      <w:pPr>
        <w:spacing w:after="0" w:line="105"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Our gross average share usage rate, sometimes referred to as burn rate, over the three years ended December 31, 2017 (calculated as equity-based awards granted under our equity compensation plan for the relevant year, divided by average basic common shares outstanding</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9" w:name="page80"/>
    <w:bookmarkEnd w:id="79"/>
    <w:p>
      <w:pPr>
        <w:spacing w:after="0" w:line="58"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for that year) is approximately 2.0%. The burn rate net of forfeitures is approximately 1.7%. Based on the gross average share usage rate of 2.0%, the shares available for future grants under the Prior Plan as of March 15, 2018 should enable us to continue to grant equity as a portion of employee compensation for the next year. Expectations regarding future share usage could be impacted by a number of factors such as award type mix; hiring and promotion activity at the executive level; the future performance of our stock price; the consequences of acquiring other companies; and other factors. While we believe that the assumptions we used are reasonable, the expected duration of the reserve may differ from current expectations.</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518DC8"/>
        </w:rPr>
        <w:t>Overhang as of March 15, 2018</w:t>
      </w:r>
    </w:p>
    <w:p>
      <w:pPr>
        <w:spacing w:after="0" w:line="158" w:lineRule="exact"/>
        <w:rPr>
          <w:sz w:val="20"/>
          <w:szCs w:val="20"/>
          <w:color w:val="auto"/>
        </w:rPr>
      </w:pPr>
    </w:p>
    <w:p>
      <w:pPr>
        <w:jc w:val="both"/>
        <w:ind w:left="160" w:right="59"/>
        <w:spacing w:after="0" w:line="255" w:lineRule="auto"/>
        <w:rPr>
          <w:sz w:val="20"/>
          <w:szCs w:val="20"/>
          <w:color w:val="auto"/>
        </w:rPr>
      </w:pPr>
      <w:r>
        <w:rPr>
          <w:rFonts w:ascii="Arial" w:cs="Arial" w:eastAsia="Arial" w:hAnsi="Arial"/>
          <w:sz w:val="17"/>
          <w:szCs w:val="17"/>
          <w:color w:val="auto"/>
        </w:rPr>
        <w:t>The potential dilution resulting from issuing all of the 3,175,000 shares authorized under the New Plan, which when combined with shares subject to outstanding awards under the Prior Plan which may be rolled into the New Plan’s share reserve, as of March 15, 2018, would be 13.0% on a fully-diluted basis. No additional awards will be made under the Prior Plan following the effectiveness of the New Plan.</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sets forth certain information as of March 15, 2018, unless otherwise noted, with respect to the</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Company’s existing equity compensation plans:</w:t>
      </w:r>
    </w:p>
    <w:p>
      <w:pPr>
        <w:spacing w:after="0" w:line="119" w:lineRule="exact"/>
        <w:rPr>
          <w:sz w:val="20"/>
          <w:szCs w:val="20"/>
          <w:color w:val="auto"/>
        </w:rPr>
      </w:pPr>
    </w:p>
    <w:tbl>
      <w:tblPr>
        <w:tblLayout w:type="fixed"/>
        <w:tblInd w:w="170" w:type="dxa"/>
        <w:tblCellMar>
          <w:top w:w="0" w:type="dxa"/>
          <w:left w:w="0" w:type="dxa"/>
          <w:bottom w:w="0" w:type="dxa"/>
          <w:right w:w="0" w:type="dxa"/>
        </w:tblCellMar>
      </w:tblPr>
      <w:tr>
        <w:trPr>
          <w:trHeight w:val="256"/>
        </w:trPr>
        <w:tc>
          <w:tcPr>
            <w:tcW w:w="6320" w:type="dxa"/>
            <w:vAlign w:val="bottom"/>
            <w:tcBorders>
              <w:top w:val="single" w:sz="8" w:color="DD924E"/>
              <w:left w:val="single" w:sz="8" w:color="DD924E"/>
            </w:tcBorders>
            <w:shd w:val="clear" w:color="auto" w:fill="FBF4ED"/>
          </w:tcPr>
          <w:p>
            <w:pPr>
              <w:ind w:left="60"/>
              <w:spacing w:after="0"/>
              <w:rPr>
                <w:sz w:val="20"/>
                <w:szCs w:val="20"/>
                <w:color w:val="auto"/>
              </w:rPr>
            </w:pPr>
            <w:r>
              <w:rPr>
                <w:rFonts w:ascii="Arial" w:cs="Arial" w:eastAsia="Arial" w:hAnsi="Arial"/>
                <w:sz w:val="17"/>
                <w:szCs w:val="17"/>
                <w:color w:val="auto"/>
              </w:rPr>
              <w:t>Stock Options Outstanding</w:t>
            </w:r>
          </w:p>
        </w:tc>
        <w:tc>
          <w:tcPr>
            <w:tcW w:w="2500" w:type="dxa"/>
            <w:vAlign w:val="bottom"/>
            <w:tcBorders>
              <w:top w:val="single" w:sz="8" w:color="DD924E"/>
              <w:right w:val="single" w:sz="8" w:color="DD924E"/>
            </w:tcBorders>
            <w:shd w:val="clear" w:color="auto" w:fill="FBF4ED"/>
          </w:tcPr>
          <w:p>
            <w:pPr>
              <w:jc w:val="center"/>
              <w:ind w:left="435"/>
              <w:spacing w:after="0"/>
              <w:rPr>
                <w:sz w:val="20"/>
                <w:szCs w:val="20"/>
                <w:color w:val="auto"/>
              </w:rPr>
            </w:pPr>
            <w:r>
              <w:rPr>
                <w:rFonts w:ascii="Arial" w:cs="Arial" w:eastAsia="Arial" w:hAnsi="Arial"/>
                <w:sz w:val="17"/>
                <w:szCs w:val="17"/>
                <w:color w:val="auto"/>
              </w:rPr>
              <w:t>246,563 shares</w:t>
            </w:r>
          </w:p>
        </w:tc>
      </w:tr>
      <w:tr>
        <w:trPr>
          <w:trHeight w:val="237"/>
        </w:trPr>
        <w:tc>
          <w:tcPr>
            <w:tcW w:w="6320" w:type="dxa"/>
            <w:vAlign w:val="bottom"/>
            <w:tcBorders>
              <w:left w:val="single" w:sz="8" w:color="DD924E"/>
            </w:tcBorders>
          </w:tcPr>
          <w:p>
            <w:pPr>
              <w:ind w:left="60"/>
              <w:spacing w:after="0"/>
              <w:rPr>
                <w:sz w:val="20"/>
                <w:szCs w:val="20"/>
                <w:color w:val="auto"/>
              </w:rPr>
            </w:pPr>
            <w:r>
              <w:rPr>
                <w:rFonts w:ascii="Arial" w:cs="Arial" w:eastAsia="Arial" w:hAnsi="Arial"/>
                <w:sz w:val="17"/>
                <w:szCs w:val="17"/>
                <w:color w:val="auto"/>
              </w:rPr>
              <w:t>Weighted-Average Exercise Price of Outstanding Stock Options/SARS</w:t>
            </w:r>
          </w:p>
        </w:tc>
        <w:tc>
          <w:tcPr>
            <w:tcW w:w="2500" w:type="dxa"/>
            <w:vAlign w:val="bottom"/>
            <w:tcBorders>
              <w:right w:val="single" w:sz="8" w:color="DD924E"/>
            </w:tcBorders>
          </w:tcPr>
          <w:p>
            <w:pPr>
              <w:jc w:val="center"/>
              <w:ind w:left="415"/>
              <w:spacing w:after="0"/>
              <w:rPr>
                <w:sz w:val="20"/>
                <w:szCs w:val="20"/>
                <w:color w:val="auto"/>
              </w:rPr>
            </w:pPr>
            <w:r>
              <w:rPr>
                <w:rFonts w:ascii="Arial" w:cs="Arial" w:eastAsia="Arial" w:hAnsi="Arial"/>
                <w:sz w:val="17"/>
                <w:szCs w:val="17"/>
                <w:color w:val="auto"/>
                <w:w w:val="99"/>
              </w:rPr>
              <w:t>$18.26</w:t>
            </w:r>
          </w:p>
        </w:tc>
      </w:tr>
      <w:tr>
        <w:trPr>
          <w:trHeight w:val="251"/>
        </w:trPr>
        <w:tc>
          <w:tcPr>
            <w:tcW w:w="6320" w:type="dxa"/>
            <w:vAlign w:val="bottom"/>
            <w:tcBorders>
              <w:left w:val="single" w:sz="8" w:color="DD924E"/>
            </w:tcBorders>
            <w:shd w:val="clear" w:color="auto" w:fill="FBF4ED"/>
          </w:tcPr>
          <w:p>
            <w:pPr>
              <w:ind w:left="60"/>
              <w:spacing w:after="0"/>
              <w:rPr>
                <w:sz w:val="20"/>
                <w:szCs w:val="20"/>
                <w:color w:val="auto"/>
              </w:rPr>
            </w:pPr>
            <w:r>
              <w:rPr>
                <w:rFonts w:ascii="Arial" w:cs="Arial" w:eastAsia="Arial" w:hAnsi="Arial"/>
                <w:sz w:val="17"/>
                <w:szCs w:val="17"/>
                <w:color w:val="auto"/>
              </w:rPr>
              <w:t>Weighted-Average Remaining Term of Outstanding Stock Options/SARs</w:t>
            </w:r>
          </w:p>
        </w:tc>
        <w:tc>
          <w:tcPr>
            <w:tcW w:w="2500" w:type="dxa"/>
            <w:vAlign w:val="bottom"/>
            <w:tcBorders>
              <w:right w:val="single" w:sz="8" w:color="DD924E"/>
            </w:tcBorders>
            <w:shd w:val="clear" w:color="auto" w:fill="FBF4ED"/>
          </w:tcPr>
          <w:p>
            <w:pPr>
              <w:jc w:val="center"/>
              <w:ind w:left="415"/>
              <w:spacing w:after="0"/>
              <w:rPr>
                <w:sz w:val="20"/>
                <w:szCs w:val="20"/>
                <w:color w:val="auto"/>
              </w:rPr>
            </w:pPr>
            <w:r>
              <w:rPr>
                <w:rFonts w:ascii="Arial" w:cs="Arial" w:eastAsia="Arial" w:hAnsi="Arial"/>
                <w:sz w:val="17"/>
                <w:szCs w:val="17"/>
                <w:color w:val="auto"/>
              </w:rPr>
              <w:t>2.67 years</w:t>
            </w:r>
          </w:p>
        </w:tc>
      </w:tr>
      <w:tr>
        <w:trPr>
          <w:trHeight w:val="217"/>
        </w:trPr>
        <w:tc>
          <w:tcPr>
            <w:tcW w:w="6320" w:type="dxa"/>
            <w:vAlign w:val="bottom"/>
            <w:tcBorders>
              <w:left w:val="single" w:sz="8" w:color="DD924E"/>
            </w:tcBorders>
          </w:tcPr>
          <w:p>
            <w:pPr>
              <w:ind w:left="60"/>
              <w:spacing w:after="0"/>
              <w:rPr>
                <w:sz w:val="20"/>
                <w:szCs w:val="20"/>
                <w:color w:val="auto"/>
              </w:rPr>
            </w:pPr>
            <w:r>
              <w:rPr>
                <w:rFonts w:ascii="Arial" w:cs="Arial" w:eastAsia="Arial" w:hAnsi="Arial"/>
                <w:sz w:val="17"/>
                <w:szCs w:val="17"/>
                <w:color w:val="auto"/>
              </w:rPr>
              <w:t>Total Stock-Settled Full-Value Awards Outstanding</w:t>
            </w:r>
          </w:p>
        </w:tc>
        <w:tc>
          <w:tcPr>
            <w:tcW w:w="2500" w:type="dxa"/>
            <w:vAlign w:val="bottom"/>
            <w:tcBorders>
              <w:right w:val="single" w:sz="8" w:color="DD924E"/>
            </w:tcBorders>
          </w:tcPr>
          <w:p>
            <w:pPr>
              <w:spacing w:after="0"/>
              <w:rPr>
                <w:sz w:val="18"/>
                <w:szCs w:val="18"/>
                <w:color w:val="auto"/>
              </w:rPr>
            </w:pPr>
          </w:p>
        </w:tc>
      </w:tr>
      <w:tr>
        <w:trPr>
          <w:trHeight w:val="212"/>
        </w:trPr>
        <w:tc>
          <w:tcPr>
            <w:tcW w:w="6320" w:type="dxa"/>
            <w:vAlign w:val="bottom"/>
            <w:tcBorders>
              <w:left w:val="single" w:sz="8" w:color="DD924E"/>
            </w:tcBorders>
          </w:tcPr>
          <w:p>
            <w:pPr>
              <w:ind w:left="60"/>
              <w:spacing w:after="0"/>
              <w:rPr>
                <w:sz w:val="20"/>
                <w:szCs w:val="20"/>
                <w:color w:val="auto"/>
              </w:rPr>
            </w:pPr>
            <w:r>
              <w:rPr>
                <w:rFonts w:ascii="Arial" w:cs="Arial" w:eastAsia="Arial" w:hAnsi="Arial"/>
                <w:sz w:val="17"/>
                <w:szCs w:val="17"/>
                <w:color w:val="auto"/>
              </w:rPr>
              <w:t>(i.e., restricted shares, restricted stock units, deferred stock units, etc.)</w:t>
            </w:r>
          </w:p>
        </w:tc>
        <w:tc>
          <w:tcPr>
            <w:tcW w:w="2500" w:type="dxa"/>
            <w:vAlign w:val="bottom"/>
            <w:tcBorders>
              <w:right w:val="single" w:sz="8" w:color="DD924E"/>
            </w:tcBorders>
          </w:tcPr>
          <w:p>
            <w:pPr>
              <w:jc w:val="center"/>
              <w:ind w:left="415"/>
              <w:spacing w:after="0"/>
              <w:rPr>
                <w:sz w:val="20"/>
                <w:szCs w:val="20"/>
                <w:color w:val="auto"/>
              </w:rPr>
            </w:pPr>
            <w:r>
              <w:rPr>
                <w:rFonts w:ascii="Arial" w:cs="Arial" w:eastAsia="Arial" w:hAnsi="Arial"/>
                <w:sz w:val="17"/>
                <w:szCs w:val="17"/>
                <w:color w:val="auto"/>
              </w:rPr>
              <w:t>1,719,586 shares</w:t>
            </w:r>
          </w:p>
        </w:tc>
      </w:tr>
      <w:tr>
        <w:trPr>
          <w:trHeight w:val="244"/>
        </w:trPr>
        <w:tc>
          <w:tcPr>
            <w:tcW w:w="6320" w:type="dxa"/>
            <w:vAlign w:val="bottom"/>
            <w:tcBorders>
              <w:left w:val="single" w:sz="8" w:color="DD924E"/>
              <w:bottom w:val="single" w:sz="8" w:color="DD924E"/>
            </w:tcBorders>
            <w:shd w:val="clear" w:color="auto" w:fill="FBF4ED"/>
          </w:tcPr>
          <w:p>
            <w:pPr>
              <w:ind w:left="60"/>
              <w:spacing w:after="0"/>
              <w:rPr>
                <w:sz w:val="20"/>
                <w:szCs w:val="20"/>
                <w:color w:val="auto"/>
              </w:rPr>
            </w:pPr>
            <w:r>
              <w:rPr>
                <w:rFonts w:ascii="Arial" w:cs="Arial" w:eastAsia="Arial" w:hAnsi="Arial"/>
                <w:sz w:val="17"/>
                <w:szCs w:val="17"/>
                <w:color w:val="auto"/>
              </w:rPr>
              <w:t>Basic common shares outstanding as of March 15, 2018</w:t>
            </w:r>
          </w:p>
        </w:tc>
        <w:tc>
          <w:tcPr>
            <w:tcW w:w="2500" w:type="dxa"/>
            <w:vAlign w:val="bottom"/>
            <w:tcBorders>
              <w:bottom w:val="single" w:sz="8" w:color="DD924E"/>
              <w:right w:val="single" w:sz="8" w:color="DD924E"/>
            </w:tcBorders>
            <w:shd w:val="clear" w:color="auto" w:fill="FBF4ED"/>
          </w:tcPr>
          <w:p>
            <w:pPr>
              <w:jc w:val="center"/>
              <w:ind w:left="435"/>
              <w:spacing w:after="0"/>
              <w:rPr>
                <w:sz w:val="20"/>
                <w:szCs w:val="20"/>
                <w:color w:val="auto"/>
              </w:rPr>
            </w:pPr>
            <w:r>
              <w:rPr>
                <w:rFonts w:ascii="Arial" w:cs="Arial" w:eastAsia="Arial" w:hAnsi="Arial"/>
                <w:sz w:val="17"/>
                <w:szCs w:val="17"/>
                <w:color w:val="auto"/>
              </w:rPr>
              <w:t>34,395,814 shares</w:t>
            </w:r>
          </w:p>
        </w:tc>
      </w:tr>
      <w:tr>
        <w:trPr>
          <w:trHeight w:val="345"/>
        </w:trPr>
        <w:tc>
          <w:tcPr>
            <w:tcW w:w="6320" w:type="dxa"/>
            <w:vAlign w:val="bottom"/>
          </w:tcPr>
          <w:p>
            <w:pPr>
              <w:spacing w:after="0"/>
              <w:rPr>
                <w:sz w:val="20"/>
                <w:szCs w:val="20"/>
                <w:color w:val="auto"/>
              </w:rPr>
            </w:pPr>
            <w:r>
              <w:rPr>
                <w:rFonts w:ascii="Arial" w:cs="Arial" w:eastAsia="Arial" w:hAnsi="Arial"/>
                <w:sz w:val="17"/>
                <w:szCs w:val="17"/>
                <w:b w:val="1"/>
                <w:bCs w:val="1"/>
                <w:color w:val="518DC8"/>
              </w:rPr>
              <w:t>Forecasted Share Usage</w:t>
            </w:r>
          </w:p>
        </w:tc>
        <w:tc>
          <w:tcPr>
            <w:tcW w:w="2500" w:type="dxa"/>
            <w:vAlign w:val="bottom"/>
          </w:tcPr>
          <w:p>
            <w:pPr>
              <w:spacing w:after="0"/>
              <w:rPr>
                <w:sz w:val="24"/>
                <w:szCs w:val="24"/>
                <w:color w:val="auto"/>
              </w:rPr>
            </w:pPr>
          </w:p>
        </w:tc>
      </w:tr>
    </w:tbl>
    <w:p>
      <w:pPr>
        <w:spacing w:after="0" w:line="129"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Awards under the New Plan are determined by the Compensation Committee in its discretion. It is therefore not possible to predict the awards that will be made to particular officers, employees or directors in the future under the New Plan. Certain grants of equity awards may be earned by our named executive officers pursuant to their employment agreements if certain performance criteria are met (as described under “Employment Agreements” above), and pursuant to our current director compensation program, our non-employee directors are awarded restricted stock units representing $100,000 per year (as described under “Director Compensation for Fiscal Year 2017” above). Effective for 2018, this $100,000 restricted stock unit award for non-employee directors has been increased to $110,000 per year.</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518DC8"/>
        </w:rPr>
        <w:t>Summary of the New Plan</w:t>
      </w:r>
    </w:p>
    <w:p>
      <w:pPr>
        <w:spacing w:after="0" w:line="138" w:lineRule="exact"/>
        <w:rPr>
          <w:sz w:val="20"/>
          <w:szCs w:val="20"/>
          <w:color w:val="auto"/>
        </w:rPr>
      </w:pPr>
    </w:p>
    <w:p>
      <w:pPr>
        <w:jc w:val="both"/>
        <w:ind w:left="160" w:right="59"/>
        <w:spacing w:after="0" w:line="263" w:lineRule="auto"/>
        <w:rPr>
          <w:sz w:val="20"/>
          <w:szCs w:val="20"/>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We adopted the New Plan in April 2018, subject to and effective upon the approval of our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is a summary of the material aspects of the New Plan. This summary is subject to the more complete description of the terms and conditions of the New Plan contained the full text of the New Plan, which is attached hereto as Annex A.</w:t>
      </w:r>
    </w:p>
    <w:p>
      <w:pPr>
        <w:spacing w:after="0" w:line="105"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b w:val="1"/>
          <w:bCs w:val="1"/>
          <w:color w:val="auto"/>
        </w:rPr>
        <w:t>Purpose</w:t>
      </w:r>
      <w:r>
        <w:rPr>
          <w:rFonts w:ascii="Arial" w:cs="Arial" w:eastAsia="Arial" w:hAnsi="Arial"/>
          <w:sz w:val="17"/>
          <w:szCs w:val="17"/>
          <w:color w:val="auto"/>
        </w:rPr>
        <w:t>. The purpose of the New Plan is to provide a means through which we and our affiliates may attract</w:t>
      </w:r>
      <w:r>
        <w:rPr>
          <w:rFonts w:ascii="Arial" w:cs="Arial" w:eastAsia="Arial" w:hAnsi="Arial"/>
          <w:sz w:val="17"/>
          <w:szCs w:val="17"/>
          <w:b w:val="1"/>
          <w:bCs w:val="1"/>
          <w:color w:val="auto"/>
        </w:rPr>
        <w:t xml:space="preserve"> </w:t>
      </w:r>
      <w:r>
        <w:rPr>
          <w:rFonts w:ascii="Arial" w:cs="Arial" w:eastAsia="Arial" w:hAnsi="Arial"/>
          <w:sz w:val="17"/>
          <w:szCs w:val="17"/>
          <w:color w:val="auto"/>
        </w:rPr>
        <w:t>capable persons to enter and remain in our employ and to provide a means whereby our employees, directors and consultants can acquire and maintain ownership of our common stock, thereby strengthening their commitment to our welfare, the welfare of our affiliates and promoting a common interest between stockholders and these employees. The New Plan is an omnibus document authorizing the establishment of sub-plans which enables us to offer awards to our employees in non-U.S. jurisdictions, subject to compliance with local laws applicable to the offering of awards to such employees.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0" w:name="page81"/>
    <w:bookmarkEnd w:id="80"/>
    <w:p>
      <w:pPr>
        <w:spacing w:after="0" w:line="38"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b w:val="1"/>
          <w:bCs w:val="1"/>
          <w:color w:val="auto"/>
        </w:rPr>
        <w:t>Administration</w:t>
      </w:r>
      <w:r>
        <w:rPr>
          <w:rFonts w:ascii="Arial" w:cs="Arial" w:eastAsia="Arial" w:hAnsi="Arial"/>
          <w:sz w:val="17"/>
          <w:szCs w:val="17"/>
          <w:color w:val="auto"/>
        </w:rPr>
        <w:t>. The New Plan will be administered by a committee, which may be the independent members of our</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or our Compensation Committee. Our Compensation Committee administers the Prior Plan and will administer the New Plan. It is intended, but not required, that the directors appointed to serve on our Compensation Committee be “Non-Employee Directors” (within the meaning of Rule 16b-3 under the Exchange Act), to the extent Rule 16b-3 is applicable. However, if a Compensation Committee member fails to qualify under this requirement it will not invalidate any award that is otherwise validly granted under the New Plan. Subject to the terms of the New Plan, the Compensation Committee will have the authority to grant awards, to determine the number of shares of our common stock for which each award may be granted and to determine any terms and conditions pertaining to the exercise or to the vesting of each award. The Compensation Committee will have the power, in its sole discretion, to accelerate the exercisability of any option or SAR and to remove any restriction on any award granted under the New Plan. The Compensation Committee also will have full power to construe and interpret the New Plan and any award agreement executed pursuant to the New Plan and to establish, amend, suspend or waive any rules for the proper administration of the New Plan. The determination of the Compensation Committee on all matters relating to the New Plan or any award agreement will be conclusive.</w:t>
      </w:r>
    </w:p>
    <w:p>
      <w:pPr>
        <w:spacing w:after="0" w:line="104" w:lineRule="exact"/>
        <w:rPr>
          <w:sz w:val="20"/>
          <w:szCs w:val="20"/>
          <w:color w:val="auto"/>
        </w:rPr>
      </w:pPr>
    </w:p>
    <w:p>
      <w:pPr>
        <w:jc w:val="both"/>
        <w:ind w:left="160" w:right="59"/>
        <w:spacing w:after="0" w:line="263" w:lineRule="auto"/>
        <w:rPr>
          <w:sz w:val="20"/>
          <w:szCs w:val="20"/>
          <w:color w:val="auto"/>
        </w:rPr>
      </w:pPr>
      <w:r>
        <w:rPr>
          <w:rFonts w:ascii="Arial" w:cs="Arial" w:eastAsia="Arial" w:hAnsi="Arial"/>
          <w:sz w:val="17"/>
          <w:szCs w:val="17"/>
          <w:b w:val="1"/>
          <w:bCs w:val="1"/>
          <w:color w:val="auto"/>
        </w:rPr>
        <w:t>Eligibility</w:t>
      </w:r>
      <w:r>
        <w:rPr>
          <w:rFonts w:ascii="Arial" w:cs="Arial" w:eastAsia="Arial" w:hAnsi="Arial"/>
          <w:sz w:val="17"/>
          <w:szCs w:val="17"/>
          <w:color w:val="auto"/>
        </w:rPr>
        <w:t>. Our officers, employees, directors and consultants and those of our subsidiaries or affiliates (a total of</w:t>
      </w:r>
      <w:r>
        <w:rPr>
          <w:rFonts w:ascii="Arial" w:cs="Arial" w:eastAsia="Arial" w:hAnsi="Arial"/>
          <w:sz w:val="17"/>
          <w:szCs w:val="17"/>
          <w:b w:val="1"/>
          <w:bCs w:val="1"/>
          <w:color w:val="auto"/>
        </w:rPr>
        <w:t xml:space="preserve"> </w:t>
      </w:r>
      <w:r>
        <w:rPr>
          <w:rFonts w:ascii="Arial" w:cs="Arial" w:eastAsia="Arial" w:hAnsi="Arial"/>
          <w:sz w:val="17"/>
          <w:szCs w:val="17"/>
          <w:color w:val="auto"/>
        </w:rPr>
        <w:t>approximately 27,800 individuals) are eligible to be designated as participants under the New Plan. The Compensation Committee has the sole and complete authority to determine the participants to whom awards will be granted under the New Plan, subject to certain limitations described below.</w:t>
      </w:r>
    </w:p>
    <w:p>
      <w:pPr>
        <w:spacing w:after="0" w:line="105" w:lineRule="exact"/>
        <w:rPr>
          <w:sz w:val="20"/>
          <w:szCs w:val="20"/>
          <w:color w:val="auto"/>
        </w:rPr>
      </w:pPr>
    </w:p>
    <w:p>
      <w:pPr>
        <w:jc w:val="both"/>
        <w:ind w:left="160" w:right="79"/>
        <w:spacing w:after="0" w:line="263" w:lineRule="auto"/>
        <w:rPr>
          <w:sz w:val="20"/>
          <w:szCs w:val="20"/>
          <w:color w:val="auto"/>
        </w:rPr>
      </w:pPr>
      <w:r>
        <w:rPr>
          <w:rFonts w:ascii="Arial" w:cs="Arial" w:eastAsia="Arial" w:hAnsi="Arial"/>
          <w:sz w:val="17"/>
          <w:szCs w:val="17"/>
          <w:b w:val="1"/>
          <w:bCs w:val="1"/>
          <w:color w:val="auto"/>
        </w:rPr>
        <w:t>Number of Shares Authorized</w:t>
      </w:r>
      <w:r>
        <w:rPr>
          <w:rFonts w:ascii="Arial" w:cs="Arial" w:eastAsia="Arial" w:hAnsi="Arial"/>
          <w:sz w:val="17"/>
          <w:szCs w:val="17"/>
          <w:color w:val="auto"/>
        </w:rPr>
        <w:t>. Under the New Plan, awards for a total of 3,175,000 the number of shares of our</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are available for grant. In addition, any shares of our stock that are subject to an award under the Prior Plan that expires, is forfeited, otherwise terminates or is settled in cash, after March 15, 2018 will also be added to the shares available for awards under the New Plan.</w:t>
      </w:r>
    </w:p>
    <w:p>
      <w:pPr>
        <w:spacing w:after="0" w:line="125"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The New Plan explicitly provides that the following shares of our common stock will not be available for re-issuance under or rolled-over into (as applicable) the New Plan: (1) shares tendered by participants or withheld for the payment of the purchase price of an option, or after March 15, 2018, an option under the Prior Plan, (2) shares tendered by a participant or withheld to satisfy tax withholding obligations with respect to options or SARs, or after March 15, 2018, options or SARs under the Prior Plan, (3) shares subject to a SAR, or after March 15, 2018, a SAR under the Prior Plan that are not issued in connection with its stock settlement or exercise, and (4) shares of our common stock that we reacquire on the option market or otherwise using cash proceeds from the exercise of options, or after March 15, 2018, options under the Prior Plan.</w:t>
      </w:r>
    </w:p>
    <w:p>
      <w:pPr>
        <w:spacing w:after="0" w:line="121"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No person may be granted awards of options and/or stock appreciation rights, or SARs, during any calendar year with respect to more than 500,000 shares of common stock. The maximum number of time-based awards (other than options or SARs) that may be granted to any one participant during any calendar year may not exceed 500,000 shares of common stock. The maximum number of performance-based awards (other than options or SARs) that may be granted to any one participant during any calendar year is 500,000 shares of common stock (or the cash equivalent). The maximum amount payable in any calendar year to any participant pursuant to a cash bonus under our New Plan is $10,000,000.</w:t>
      </w:r>
    </w:p>
    <w:p>
      <w:pPr>
        <w:spacing w:after="0" w:line="134"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Notwithstanding any other provision in the New Plan to the contrary, the maximum number of shares of common stock subject to awards granted during a single calendar year to any non-employee director, taken together with any cash fees paid during the calendar year to the non-employee director in respect of the director’s service as a member of the Board during such year (including service as a member or chair of any committees of the Board), shall not have an aggregate fair market value on the date of grant (computed as of the date of grant in accordance with applicable financial accounting rules) in excess of $500,000. The independent members of the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1" w:name="page82"/>
    <w:bookmarkEnd w:id="81"/>
    <w:p>
      <w:pPr>
        <w:spacing w:after="0" w:line="58" w:lineRule="exact"/>
        <w:rPr>
          <w:sz w:val="20"/>
          <w:szCs w:val="20"/>
          <w:color w:val="auto"/>
        </w:rPr>
      </w:pPr>
    </w:p>
    <w:p>
      <w:pPr>
        <w:jc w:val="both"/>
        <w:ind w:left="160" w:right="79"/>
        <w:spacing w:after="0" w:line="263" w:lineRule="auto"/>
        <w:rPr>
          <w:sz w:val="20"/>
          <w:szCs w:val="20"/>
          <w:color w:val="auto"/>
        </w:rPr>
      </w:pPr>
      <w:r>
        <w:rPr>
          <w:rFonts w:ascii="Arial" w:cs="Arial" w:eastAsia="Arial" w:hAnsi="Arial"/>
          <w:sz w:val="17"/>
          <w:szCs w:val="17"/>
          <w:color w:val="auto"/>
        </w:rPr>
        <w:t>Board may make exceptions to this limit for a non-executive chair of the Board, provided that the non-employee director receiving such additional compensation may not participate in the decision to award such compensation.</w:t>
      </w:r>
    </w:p>
    <w:p>
      <w:pPr>
        <w:spacing w:after="0" w:line="110"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As described more fully in the New Plan, if an award (including awards granted under our Prior Plan) expires or terminates, is forfeited or settled in cash, the number of shares previously subject to such award will again be available for future grant. In addition, shares of our stock delivered or withheld in full of partial satisfaction of applicable tax withholding obligations for any award (other than options or SARs), will not count against the number of shares reserved for issuance under the New Plan. Likewise, awards made pursuant to an assumed or substituted award as part of an acquisition will not be counted against the share reserve. Shares available under a pre-existing plan of an entity we acquired may be granted under the New Plan, subject to applicable listing exchange requirements, and will not count against the share reserve.</w:t>
      </w:r>
    </w:p>
    <w:p>
      <w:pPr>
        <w:spacing w:after="0" w:line="134"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In the event of changes in the outstanding stock or capital structure of the Company (such as by reason of a stock split, recapitalization or other transactions or events as described in the New Plan), awards granted under the New Plan as well as the maximum number of shares of our common stock which may be delivered pursuant to the New Plan or to any one individual, shall be subject to adjustment or substitution, as determined by the Compensation Committee in its sole discretion, as to the number, price or kind of a share of common stock or other consideration subject to such award, or as otherwise determined by the Compensation Committee to be equitable.</w:t>
      </w:r>
    </w:p>
    <w:p>
      <w:pPr>
        <w:spacing w:after="0" w:line="131" w:lineRule="exact"/>
        <w:rPr>
          <w:sz w:val="20"/>
          <w:szCs w:val="20"/>
          <w:color w:val="auto"/>
        </w:rPr>
      </w:pPr>
    </w:p>
    <w:p>
      <w:pPr>
        <w:jc w:val="both"/>
        <w:ind w:left="160" w:right="59"/>
        <w:spacing w:after="0" w:line="263" w:lineRule="auto"/>
        <w:rPr>
          <w:sz w:val="20"/>
          <w:szCs w:val="20"/>
          <w:color w:val="auto"/>
        </w:rPr>
      </w:pPr>
      <w:r>
        <w:rPr>
          <w:rFonts w:ascii="Arial" w:cs="Arial" w:eastAsia="Arial" w:hAnsi="Arial"/>
          <w:sz w:val="17"/>
          <w:szCs w:val="17"/>
          <w:color w:val="auto"/>
        </w:rPr>
        <w:t>The New Plan will have a term of ten years from the date it is approved by our stockholders and no further awards may be granted after that date.</w:t>
      </w:r>
    </w:p>
    <w:p>
      <w:pPr>
        <w:spacing w:after="0" w:line="90" w:lineRule="exact"/>
        <w:rPr>
          <w:sz w:val="20"/>
          <w:szCs w:val="20"/>
          <w:color w:val="auto"/>
        </w:rPr>
      </w:pPr>
    </w:p>
    <w:p>
      <w:pPr>
        <w:jc w:val="both"/>
        <w:ind w:left="160" w:right="59"/>
        <w:spacing w:after="0" w:line="260" w:lineRule="auto"/>
        <w:rPr>
          <w:sz w:val="20"/>
          <w:szCs w:val="20"/>
          <w:color w:val="auto"/>
        </w:rPr>
      </w:pPr>
      <w:r>
        <w:rPr>
          <w:rFonts w:ascii="Arial" w:cs="Arial" w:eastAsia="Arial" w:hAnsi="Arial"/>
          <w:sz w:val="17"/>
          <w:szCs w:val="17"/>
          <w:b w:val="1"/>
          <w:bCs w:val="1"/>
          <w:color w:val="auto"/>
        </w:rPr>
        <w:t>Terms and Conditions of Awards</w:t>
      </w:r>
      <w:r>
        <w:rPr>
          <w:rFonts w:ascii="Arial" w:cs="Arial" w:eastAsia="Arial" w:hAnsi="Arial"/>
          <w:sz w:val="17"/>
          <w:szCs w:val="17"/>
          <w:color w:val="auto"/>
        </w:rPr>
        <w:t>. Under the New Plan, the Compensation Committee may grant awards of</w:t>
      </w:r>
      <w:r>
        <w:rPr>
          <w:rFonts w:ascii="Arial" w:cs="Arial" w:eastAsia="Arial" w:hAnsi="Arial"/>
          <w:sz w:val="17"/>
          <w:szCs w:val="17"/>
          <w:b w:val="1"/>
          <w:bCs w:val="1"/>
          <w:color w:val="auto"/>
        </w:rPr>
        <w:t xml:space="preserve"> </w:t>
      </w:r>
      <w:r>
        <w:rPr>
          <w:rFonts w:ascii="Arial" w:cs="Arial" w:eastAsia="Arial" w:hAnsi="Arial"/>
          <w:sz w:val="17"/>
          <w:szCs w:val="17"/>
          <w:color w:val="auto"/>
        </w:rPr>
        <w:t>nonqualified stock options, or NSOs, incentive stock options, or ISOs, SARs, restricted stock, restricted stock units, stock bonus awards, performance compensation awards (including cash bonus awards) or any combination of the foregoing. The Compensation Committee may, but is not required to, provide in an award agreement that there will be a vesting acceleration or payout of the award upon a change in control, as defined in the New Plan.</w:t>
      </w:r>
    </w:p>
    <w:p>
      <w:pPr>
        <w:spacing w:after="0" w:line="108" w:lineRule="exact"/>
        <w:rPr>
          <w:sz w:val="20"/>
          <w:szCs w:val="20"/>
          <w:color w:val="auto"/>
        </w:rPr>
      </w:pPr>
    </w:p>
    <w:p>
      <w:pPr>
        <w:jc w:val="both"/>
        <w:ind w:left="160" w:right="59"/>
        <w:spacing w:after="0" w:line="260" w:lineRule="auto"/>
        <w:rPr>
          <w:sz w:val="20"/>
          <w:szCs w:val="20"/>
          <w:color w:val="auto"/>
        </w:rPr>
      </w:pPr>
      <w:r>
        <w:rPr>
          <w:rFonts w:ascii="Arial" w:cs="Arial" w:eastAsia="Arial" w:hAnsi="Arial"/>
          <w:sz w:val="17"/>
          <w:szCs w:val="17"/>
          <w:b w:val="1"/>
          <w:bCs w:val="1"/>
          <w:color w:val="auto"/>
        </w:rPr>
        <w:t xml:space="preserve">No Dividends and Dividend Equivalents on Unvested Awards. </w:t>
      </w:r>
      <w:r>
        <w:rPr>
          <w:rFonts w:ascii="Arial" w:cs="Arial" w:eastAsia="Arial" w:hAnsi="Arial"/>
          <w:sz w:val="17"/>
          <w:szCs w:val="17"/>
          <w:color w:val="auto"/>
        </w:rPr>
        <w:t>Notwithstanding anything to the contrary,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any dividends and dividend equivalents are granted under the New Plan, such dividends and dividend equivalents shall be accumulated by the Company for the participant’s account, subject to the same conditions and restrictions as the awards to which the dividends or dividend equivalents relate. If the applicable award is forfeited, the participant shall have no right to such dividends or dividends equivalents.</w:t>
      </w:r>
    </w:p>
    <w:p>
      <w:pPr>
        <w:spacing w:after="0" w:line="108" w:lineRule="exact"/>
        <w:rPr>
          <w:sz w:val="20"/>
          <w:szCs w:val="20"/>
          <w:color w:val="auto"/>
        </w:rPr>
      </w:pPr>
    </w:p>
    <w:p>
      <w:pPr>
        <w:jc w:val="both"/>
        <w:ind w:left="160" w:right="59"/>
        <w:spacing w:after="0" w:line="256" w:lineRule="auto"/>
        <w:rPr>
          <w:sz w:val="20"/>
          <w:szCs w:val="20"/>
          <w:color w:val="auto"/>
        </w:rPr>
      </w:pPr>
      <w:r>
        <w:rPr>
          <w:rFonts w:ascii="Arial" w:cs="Arial" w:eastAsia="Arial" w:hAnsi="Arial"/>
          <w:sz w:val="17"/>
          <w:szCs w:val="17"/>
          <w:b w:val="1"/>
          <w:bCs w:val="1"/>
          <w:color w:val="auto"/>
        </w:rPr>
        <w:t>Options</w:t>
      </w:r>
      <w:r>
        <w:rPr>
          <w:rFonts w:ascii="Arial" w:cs="Arial" w:eastAsia="Arial" w:hAnsi="Arial"/>
          <w:sz w:val="17"/>
          <w:szCs w:val="17"/>
          <w:color w:val="auto"/>
        </w:rPr>
        <w:t>. The Compensation Committee is authorized to grant options to purchase shares of common stock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either “qualified,” meaning they are intended to satisfy the requirements of Section 422 of the Code for incentive stock options, or “nonqualified,” meaning they are not intended to satisfy the requirements of Section 422 of the Code. An option provides a participant with the right to purchase, within a specified period of time, a stated number of shares of our common stock at the price specified in the award agreement. Options granted under the New Plan will be subject to the terms, including the exercise price and the conditions and timing of exercise, not inconsistent with the New Plan, determined by the Compensation Committee and specified in the applicable award agreement or thereafter. The maximum term of an option granted under the New Plan will be ten years from the date of grant (or five years in the case of an ISO granted to a 10.0% stockholder).</w:t>
      </w:r>
    </w:p>
    <w:p>
      <w:pPr>
        <w:spacing w:after="0" w:line="118"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The exercise price per share paid by a participant will be determined by the Compensation Committee at the time of grant but will not be less than 100.0% of the fair market value of one share on the date the option is granted (or no less than 110.0% of such fair market value in the case of an ISO granted to an employee who is a 10.0% stockholder), with the exception of options granted as substitute awards. Payment in respect of the exercise of an option may be made in cash or by</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2" w:name="page83"/>
    <w:bookmarkEnd w:id="82"/>
    <w:p>
      <w:pPr>
        <w:spacing w:after="0" w:line="58"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check, except that the Compensation Committee may, in its discretion, allow such payment to be made by surrender of unrestricted shares of our common stock (at their fair market value on the date of exercise), or by such other method as the Compensation Committee may determine and that is permitted by law. The Compensation Committee may, in its discretion and to the extent permitted by law, allow such payment to be made through a broker-assisted cashless exercise mechanism. The Compensation Committee may also establish rules permitting the deferral of shares of our common stock upon the exercise of options for tax planning purposes. Unless otherwise provided in the award agreement, if, on the expiration date set forth in the award agreement, the option has not yet been exercised and the fair market value (on the expiration date) exceeds the exercise price, the option will be deemed to have been exercised on such date.</w:t>
      </w:r>
    </w:p>
    <w:p>
      <w:pPr>
        <w:spacing w:after="0" w:line="100"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b w:val="1"/>
          <w:bCs w:val="1"/>
          <w:color w:val="auto"/>
        </w:rPr>
        <w:t>SARs</w:t>
      </w:r>
      <w:r>
        <w:rPr>
          <w:rFonts w:ascii="Arial" w:cs="Arial" w:eastAsia="Arial" w:hAnsi="Arial"/>
          <w:sz w:val="17"/>
          <w:szCs w:val="17"/>
          <w:color w:val="auto"/>
        </w:rPr>
        <w:t>. Our Compensation Committee will be authorized to award SARs under the New Plan. SARs will be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and conditions established by the Compensation Committee. A SAR is a contractual right that allows a participant to receive, either in the form of cash, shares of our common stock or a combination of the foregoing, the appreciation, if any, in the value of one share of our common stock over a certain period of time. An option granted under the New Plan may include SARs, either on the date of grant or, except in the case of an ISO, by subsequent amendment. The Compensation Committee may also award SARs to a participant independent of the grant of an option. SARs granted in connection with an option will become exercisable, be transferable and will expire according to the same vesting schedule, transferability rules and expiration provisions as the corresponding option. If SARs are granted independent of an option, the SARs will become exercisable, be transferable and will expire in accordance with the vesting schedule, transferability rules and the expiration provisions established by the Compensation Committee and reflected in the award agreement. Unless otherwise provided in the award agreement, if, on the expiration date set forth in the award agreement, the SAR has not yet been exercised and the fair market value (on the expiration date) exceeds the exercise price, the SAR will be deemed to have been exercised on such date and payment in respect of the SAR will be made.</w:t>
      </w:r>
    </w:p>
    <w:p>
      <w:pPr>
        <w:spacing w:after="0" w:line="117" w:lineRule="exact"/>
        <w:rPr>
          <w:sz w:val="20"/>
          <w:szCs w:val="20"/>
          <w:color w:val="auto"/>
        </w:rPr>
      </w:pPr>
    </w:p>
    <w:p>
      <w:pPr>
        <w:jc w:val="both"/>
        <w:ind w:left="160" w:right="59"/>
        <w:spacing w:after="0" w:line="269" w:lineRule="auto"/>
        <w:rPr>
          <w:sz w:val="20"/>
          <w:szCs w:val="20"/>
          <w:color w:val="auto"/>
        </w:rPr>
      </w:pPr>
      <w:r>
        <w:rPr>
          <w:rFonts w:ascii="Arial" w:cs="Arial" w:eastAsia="Arial" w:hAnsi="Arial"/>
          <w:sz w:val="17"/>
          <w:szCs w:val="17"/>
          <w:b w:val="1"/>
          <w:bCs w:val="1"/>
          <w:color w:val="auto"/>
        </w:rPr>
        <w:t xml:space="preserve">No Repricing. </w:t>
      </w:r>
      <w:r>
        <w:rPr>
          <w:rFonts w:ascii="Arial" w:cs="Arial" w:eastAsia="Arial" w:hAnsi="Arial"/>
          <w:sz w:val="17"/>
          <w:szCs w:val="17"/>
          <w:color w:val="auto"/>
        </w:rPr>
        <w:t>Other than in connection with equitable adjustments for certain corporate events or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a change in control event, the New Plan prohibits the repricing of stock options or SARs awarded under the New Plan and the cash buyout of underwater stock options or SARs without stockholder approval.</w:t>
      </w:r>
    </w:p>
    <w:p>
      <w:pPr>
        <w:spacing w:after="0" w:line="99" w:lineRule="exact"/>
        <w:rPr>
          <w:sz w:val="20"/>
          <w:szCs w:val="20"/>
          <w:color w:val="auto"/>
        </w:rPr>
      </w:pPr>
    </w:p>
    <w:p>
      <w:pPr>
        <w:jc w:val="both"/>
        <w:ind w:left="160" w:right="59"/>
        <w:spacing w:after="0" w:line="255" w:lineRule="auto"/>
        <w:rPr>
          <w:sz w:val="20"/>
          <w:szCs w:val="20"/>
          <w:color w:val="auto"/>
        </w:rPr>
      </w:pPr>
      <w:r>
        <w:rPr>
          <w:rFonts w:ascii="Arial" w:cs="Arial" w:eastAsia="Arial" w:hAnsi="Arial"/>
          <w:sz w:val="17"/>
          <w:szCs w:val="17"/>
          <w:b w:val="1"/>
          <w:bCs w:val="1"/>
          <w:color w:val="auto"/>
        </w:rPr>
        <w:t xml:space="preserve">Restricted Stock. </w:t>
      </w:r>
      <w:r>
        <w:rPr>
          <w:rFonts w:ascii="Arial" w:cs="Arial" w:eastAsia="Arial" w:hAnsi="Arial"/>
          <w:sz w:val="17"/>
          <w:szCs w:val="17"/>
          <w:color w:val="auto"/>
        </w:rPr>
        <w:t>Our Compensation Committee will be authorized to award restricted stock under the New Plan.</w:t>
      </w:r>
      <w:r>
        <w:rPr>
          <w:rFonts w:ascii="Arial" w:cs="Arial" w:eastAsia="Arial" w:hAnsi="Arial"/>
          <w:sz w:val="17"/>
          <w:szCs w:val="17"/>
          <w:b w:val="1"/>
          <w:bCs w:val="1"/>
          <w:color w:val="auto"/>
        </w:rPr>
        <w:t xml:space="preserve"> </w:t>
      </w:r>
      <w:r>
        <w:rPr>
          <w:rFonts w:ascii="Arial" w:cs="Arial" w:eastAsia="Arial" w:hAnsi="Arial"/>
          <w:sz w:val="17"/>
          <w:szCs w:val="17"/>
          <w:color w:val="auto"/>
        </w:rPr>
        <w:t>An award of restricted stock is a grant of shares subject to conditions and restrictions set by the Compensation Committee. The grant or the vesting of an award of restricted stock may be conditioned upon service to us or our affiliates or upon the attainment of performance goals or other factors, as determined in the discretion of the Compensation Committee. The Compensation Committee may also, in its discretion, provide for the lapse of restrictions imposed upon an award of restricted stock. Holders of an award of restricted stock will have, with respect to the restricted stock granted, all of the rights of a stockholder, including the right to vote and to receive dividends; however, any dividends paid with respect to unvested shares will be withheld by the Company and only paid (with interest, if applicable, credited to such dividends) to the participant (or his beneficiary) if the underlying shares become vested. Dividends may also be reinvested in shares of restricted stock subject to the same conditions and restrictions as the restricted stock to which the dividends relate.</w:t>
      </w:r>
    </w:p>
    <w:p>
      <w:pPr>
        <w:spacing w:after="0" w:line="100"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b w:val="1"/>
          <w:bCs w:val="1"/>
          <w:color w:val="auto"/>
        </w:rPr>
        <w:t xml:space="preserve">Restricted Stock Units. </w:t>
      </w:r>
      <w:r>
        <w:rPr>
          <w:rFonts w:ascii="Arial" w:cs="Arial" w:eastAsia="Arial" w:hAnsi="Arial"/>
          <w:sz w:val="17"/>
          <w:szCs w:val="17"/>
          <w:color w:val="auto"/>
        </w:rPr>
        <w:t>The Compensation Committee is authorized to award restricted stock units to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Compensation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 Each restricted stock unit (representing one share of our common stock) awarded to a participant will be credited with an amount equal to the cash or stock dividends paid by us in respect of one share of our common stock (“dividend equivalents”). Dividend equivalents will be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3" w:name="page84"/>
    <w:bookmarkEnd w:id="83"/>
    <w:p>
      <w:pPr>
        <w:spacing w:after="0" w:line="58"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withheld by us for the participant’s account and interest (if applicable) may be credited on such dividend equivalents withheld at rate to be determined by the Compensation Committee. Upon expiration of the vesting period with respect to any restricted stock units covered by a restricted stock award, we will deliver to the participant or his beneficiary (i) one share of our common stock or, at the election of the Compensation Committee, an amount in cash equal to the fair market value of that number of shares at the expiration of the period over which the units are to be earned for each restricted stock unit with respect to which the vesting period has expired and (ii) cash or shares of common stock equal to the dividend equivalents credited to the restricted stock unit and any interest accrued thereon. Dividend equivalents may also be reinvested in additional restricted stock units subject to the same conditions and restrictions as the restricted stock units to which the dividend equivalents relate.</w:t>
      </w:r>
    </w:p>
    <w:p>
      <w:pPr>
        <w:spacing w:after="0" w:line="100" w:lineRule="exact"/>
        <w:rPr>
          <w:sz w:val="20"/>
          <w:szCs w:val="20"/>
          <w:color w:val="auto"/>
        </w:rPr>
      </w:pPr>
    </w:p>
    <w:p>
      <w:pPr>
        <w:jc w:val="both"/>
        <w:ind w:left="160" w:right="59"/>
        <w:spacing w:after="0" w:line="260" w:lineRule="auto"/>
        <w:rPr>
          <w:sz w:val="20"/>
          <w:szCs w:val="20"/>
          <w:color w:val="auto"/>
        </w:rPr>
      </w:pPr>
      <w:r>
        <w:rPr>
          <w:rFonts w:ascii="Arial" w:cs="Arial" w:eastAsia="Arial" w:hAnsi="Arial"/>
          <w:sz w:val="17"/>
          <w:szCs w:val="17"/>
          <w:b w:val="1"/>
          <w:bCs w:val="1"/>
          <w:color w:val="auto"/>
        </w:rPr>
        <w:t xml:space="preserve">Stock Bonus Awards. </w:t>
      </w:r>
      <w:r>
        <w:rPr>
          <w:rFonts w:ascii="Arial" w:cs="Arial" w:eastAsia="Arial" w:hAnsi="Arial"/>
          <w:sz w:val="17"/>
          <w:szCs w:val="17"/>
          <w:color w:val="auto"/>
        </w:rPr>
        <w:t>The Compensation Committee may, in its discretion, grant an award of unrestricted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our common stock, including, without limitation, fully-vested deferred stock units, either alone or in tandem with other awards, under such terms and conditions as the Compensation Committee in its sole discretion may decide. A stock bonus award shall be granted as, or in payment of, a bonus, or to provide special incentives or recognize special achievements or contributions.</w:t>
      </w:r>
    </w:p>
    <w:p>
      <w:pPr>
        <w:spacing w:after="0" w:line="108" w:lineRule="exact"/>
        <w:rPr>
          <w:sz w:val="20"/>
          <w:szCs w:val="20"/>
          <w:color w:val="auto"/>
        </w:rPr>
      </w:pPr>
    </w:p>
    <w:p>
      <w:pPr>
        <w:jc w:val="both"/>
        <w:ind w:left="160" w:right="79"/>
        <w:spacing w:after="0" w:line="263" w:lineRule="auto"/>
        <w:rPr>
          <w:sz w:val="20"/>
          <w:szCs w:val="20"/>
          <w:color w:val="auto"/>
        </w:rPr>
      </w:pPr>
      <w:r>
        <w:rPr>
          <w:rFonts w:ascii="Arial" w:cs="Arial" w:eastAsia="Arial" w:hAnsi="Arial"/>
          <w:sz w:val="17"/>
          <w:szCs w:val="17"/>
          <w:b w:val="1"/>
          <w:bCs w:val="1"/>
          <w:color w:val="auto"/>
        </w:rPr>
        <w:t xml:space="preserve">Performance Goals and Performance Criteria. </w:t>
      </w:r>
      <w:r>
        <w:rPr>
          <w:rFonts w:ascii="Arial" w:cs="Arial" w:eastAsia="Arial" w:hAnsi="Arial"/>
          <w:sz w:val="17"/>
          <w:szCs w:val="17"/>
          <w:color w:val="auto"/>
        </w:rPr>
        <w:t>The Compensation Committee may, in its discretion, condition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vesting of any award granted under the New Plan upon the satisfaction of performance goals. The Compensation Committee has discretion to select appropriate performance criteria upon which to base such performance goals and make adjustments to such criteria in the event of extraordinary, non-recurring or other events.</w:t>
      </w:r>
    </w:p>
    <w:p>
      <w:pPr>
        <w:spacing w:after="0" w:line="105" w:lineRule="exact"/>
        <w:rPr>
          <w:sz w:val="20"/>
          <w:szCs w:val="20"/>
          <w:color w:val="auto"/>
        </w:rPr>
      </w:pPr>
    </w:p>
    <w:p>
      <w:pPr>
        <w:jc w:val="both"/>
        <w:ind w:left="160" w:right="79"/>
        <w:spacing w:after="0" w:line="263" w:lineRule="auto"/>
        <w:rPr>
          <w:sz w:val="20"/>
          <w:szCs w:val="20"/>
          <w:color w:val="auto"/>
        </w:rPr>
      </w:pPr>
      <w:r>
        <w:rPr>
          <w:rFonts w:ascii="Arial" w:cs="Arial" w:eastAsia="Arial" w:hAnsi="Arial"/>
          <w:sz w:val="17"/>
          <w:szCs w:val="17"/>
          <w:b w:val="1"/>
          <w:bCs w:val="1"/>
          <w:color w:val="auto"/>
        </w:rPr>
        <w:t xml:space="preserve">Transferability. </w:t>
      </w:r>
      <w:r>
        <w:rPr>
          <w:rFonts w:ascii="Arial" w:cs="Arial" w:eastAsia="Arial" w:hAnsi="Arial"/>
          <w:sz w:val="17"/>
          <w:szCs w:val="17"/>
          <w:color w:val="auto"/>
        </w:rPr>
        <w:t>Generally, each award may be exercised during the participant’s lifetime only by the participant or, if</w:t>
      </w:r>
      <w:r>
        <w:rPr>
          <w:rFonts w:ascii="Arial" w:cs="Arial" w:eastAsia="Arial" w:hAnsi="Arial"/>
          <w:sz w:val="17"/>
          <w:szCs w:val="17"/>
          <w:b w:val="1"/>
          <w:bCs w:val="1"/>
          <w:color w:val="auto"/>
        </w:rPr>
        <w:t xml:space="preserve"> </w:t>
      </w:r>
      <w:r>
        <w:rPr>
          <w:rFonts w:ascii="Arial" w:cs="Arial" w:eastAsia="Arial" w:hAnsi="Arial"/>
          <w:sz w:val="17"/>
          <w:szCs w:val="17"/>
          <w:color w:val="auto"/>
        </w:rPr>
        <w:t>permissible under applicable law, by the participant’s guardian or legal representative, and such award may not be assigned, alienated, pledged, attached, sold or otherwise transferred or encumbered by a participant other than by will or by the laws of descent and distribution.</w:t>
      </w:r>
    </w:p>
    <w:p>
      <w:pPr>
        <w:spacing w:after="0" w:line="112"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The Compensation Committee may, in its discretion, however, provide that awards granted under the New Plan that are not ISOs may be transferred by a participant without consideration to certain “permitted transferees” (as defined in the New Plan), pursuant to the terms of the New Plan and rules adopted by the Compensation Committee.</w:t>
      </w:r>
    </w:p>
    <w:p>
      <w:pPr>
        <w:spacing w:after="0" w:line="108"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b w:val="1"/>
          <w:bCs w:val="1"/>
          <w:color w:val="auto"/>
        </w:rPr>
        <w:t xml:space="preserve">Amendment. </w:t>
      </w:r>
      <w:r>
        <w:rPr>
          <w:rFonts w:ascii="Arial" w:cs="Arial" w:eastAsia="Arial" w:hAnsi="Arial"/>
          <w:sz w:val="17"/>
          <w:szCs w:val="17"/>
          <w:color w:val="auto"/>
        </w:rPr>
        <w:t>Our board of directors may amend, alter, suspend, discontinue, or terminate the New Plan or any</w:t>
      </w:r>
      <w:r>
        <w:rPr>
          <w:rFonts w:ascii="Arial" w:cs="Arial" w:eastAsia="Arial" w:hAnsi="Arial"/>
          <w:sz w:val="17"/>
          <w:szCs w:val="17"/>
          <w:b w:val="1"/>
          <w:bCs w:val="1"/>
          <w:color w:val="auto"/>
        </w:rPr>
        <w:t xml:space="preserve"> </w:t>
      </w:r>
      <w:r>
        <w:rPr>
          <w:rFonts w:ascii="Arial" w:cs="Arial" w:eastAsia="Arial" w:hAnsi="Arial"/>
          <w:sz w:val="17"/>
          <w:szCs w:val="17"/>
          <w:color w:val="auto"/>
        </w:rPr>
        <w:t>portion thereof at any time. No such action may be taken, however, without stockholder approval if such approval is necessary to comply with any regulatory requirement and no such action that would impair any rights under any previous award will be effective without the consent of the person to whom such award was made. In addition, the Compensation Committee is authorized to amend the terms of any award granted under the New Plan if the amendment would not impair the rights of any participant without his or her consent. However, other than in connection with equitable adjustments for certain corporate events or in connection with a change in control event, no amendment may reduce the exercise price of an option or SAR, cancel an existing option or SAR and replace it with a new option or SAR having a lower exercise price, or take any other action, that would result in such option or SAR being considered “repriced” for purposes of our proxy statement, or that would result in the option being accounted for under the variable method of accounting, without stockholder approval of such amendment. In addition, in no event may the Company buyout for cash any option or SAR whose exercise price on the date of purchase exceeds the fair market value of the Company’s stock.</w:t>
      </w:r>
    </w:p>
    <w:p>
      <w:pPr>
        <w:spacing w:after="0" w:line="118" w:lineRule="exact"/>
        <w:rPr>
          <w:sz w:val="20"/>
          <w:szCs w:val="20"/>
          <w:color w:val="auto"/>
        </w:rPr>
      </w:pPr>
    </w:p>
    <w:p>
      <w:pPr>
        <w:jc w:val="both"/>
        <w:ind w:left="160" w:right="59"/>
        <w:spacing w:after="0" w:line="263" w:lineRule="auto"/>
        <w:rPr>
          <w:sz w:val="20"/>
          <w:szCs w:val="20"/>
          <w:color w:val="auto"/>
        </w:rPr>
      </w:pPr>
      <w:r>
        <w:rPr>
          <w:rFonts w:ascii="Arial" w:cs="Arial" w:eastAsia="Arial" w:hAnsi="Arial"/>
          <w:sz w:val="17"/>
          <w:szCs w:val="17"/>
          <w:b w:val="1"/>
          <w:bCs w:val="1"/>
          <w:color w:val="auto"/>
        </w:rPr>
        <w:t xml:space="preserve">U.S. Federal Income Tax Consequences. </w:t>
      </w:r>
      <w:r>
        <w:rPr>
          <w:rFonts w:ascii="Arial" w:cs="Arial" w:eastAsia="Arial" w:hAnsi="Arial"/>
          <w:sz w:val="17"/>
          <w:szCs w:val="17"/>
          <w:color w:val="auto"/>
        </w:rPr>
        <w:t>The following is a general summary of the material U.S. federal income</w:t>
      </w:r>
      <w:r>
        <w:rPr>
          <w:rFonts w:ascii="Arial" w:cs="Arial" w:eastAsia="Arial" w:hAnsi="Arial"/>
          <w:sz w:val="17"/>
          <w:szCs w:val="17"/>
          <w:b w:val="1"/>
          <w:bCs w:val="1"/>
          <w:color w:val="auto"/>
        </w:rPr>
        <w:t xml:space="preserve"> </w:t>
      </w:r>
      <w:r>
        <w:rPr>
          <w:rFonts w:ascii="Arial" w:cs="Arial" w:eastAsia="Arial" w:hAnsi="Arial"/>
          <w:sz w:val="17"/>
          <w:szCs w:val="17"/>
          <w:color w:val="auto"/>
        </w:rPr>
        <w:t>tax consequences of the grant, exercise and vesting of awards under the New Plan and the disposition of shares acquired pursuant to the exercise or settlement of such awards and is intended to reflect the current provisions of the Code and the regulations thereunder. This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4" w:name="page85"/>
    <w:bookmarkEnd w:id="84"/>
    <w:p>
      <w:pPr>
        <w:spacing w:after="0" w:line="58" w:lineRule="exact"/>
        <w:rPr>
          <w:sz w:val="20"/>
          <w:szCs w:val="20"/>
          <w:color w:val="auto"/>
        </w:rPr>
      </w:pPr>
    </w:p>
    <w:p>
      <w:pPr>
        <w:jc w:val="both"/>
        <w:ind w:left="160" w:right="79"/>
        <w:spacing w:after="0" w:line="257" w:lineRule="auto"/>
        <w:rPr>
          <w:sz w:val="20"/>
          <w:szCs w:val="20"/>
          <w:color w:val="auto"/>
        </w:rPr>
      </w:pPr>
      <w:r>
        <w:rPr>
          <w:rFonts w:ascii="Arial" w:cs="Arial" w:eastAsia="Arial" w:hAnsi="Arial"/>
          <w:sz w:val="17"/>
          <w:szCs w:val="17"/>
          <w:color w:val="auto"/>
        </w:rPr>
        <w:t>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w:t>
      </w:r>
    </w:p>
    <w:p>
      <w:pPr>
        <w:spacing w:after="0" w:line="96"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b w:val="1"/>
          <w:bCs w:val="1"/>
          <w:color w:val="auto"/>
        </w:rPr>
        <w:t xml:space="preserve">Options. </w:t>
      </w:r>
      <w:r>
        <w:rPr>
          <w:rFonts w:ascii="Arial" w:cs="Arial" w:eastAsia="Arial" w:hAnsi="Arial"/>
          <w:sz w:val="17"/>
          <w:szCs w:val="17"/>
          <w:color w:val="auto"/>
        </w:rPr>
        <w:t>The Code requires that, for treatment of an option as a qualified option, shares of our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through the exercise of a qualified option cannot be disposed of before the later of (i) two years from the date of grant of the option, or (ii) one year from the date of exercise. Holders of qualified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qualified option. If, within two years following the date of grant or within one year following the date of exercise, the holder of shares acquired through the exercise of a qualified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otherwise qualified option becomes first exercisable in any one year for shares having an aggregate value in excess of $100,000 (based on the grant date value), the portion of the qualified option in respect of those excess shares will be treated as a nonqualified stock option for federal income tax purposes. No income will be realized by a participant upon grant of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321" w:lineRule="exact"/>
        <w:rPr>
          <w:sz w:val="20"/>
          <w:szCs w:val="20"/>
          <w:color w:val="auto"/>
        </w:rPr>
      </w:pPr>
    </w:p>
    <w:p>
      <w:pPr>
        <w:jc w:val="both"/>
        <w:ind w:left="160" w:right="59"/>
        <w:spacing w:after="0" w:line="260" w:lineRule="auto"/>
        <w:rPr>
          <w:sz w:val="20"/>
          <w:szCs w:val="20"/>
          <w:color w:val="auto"/>
        </w:rPr>
      </w:pPr>
      <w:r>
        <w:rPr>
          <w:rFonts w:ascii="Arial" w:cs="Arial" w:eastAsia="Arial" w:hAnsi="Arial"/>
          <w:sz w:val="17"/>
          <w:szCs w:val="17"/>
          <w:b w:val="1"/>
          <w:bCs w:val="1"/>
          <w:color w:val="auto"/>
        </w:rPr>
        <w:t xml:space="preserve">SARs. </w:t>
      </w:r>
      <w:r>
        <w:rPr>
          <w:rFonts w:ascii="Arial" w:cs="Arial" w:eastAsia="Arial" w:hAnsi="Arial"/>
          <w:sz w:val="17"/>
          <w:szCs w:val="17"/>
          <w:color w:val="auto"/>
        </w:rPr>
        <w:t>No income will be realized by a participant upon grant of a SAR. Upon the exercise of a SAR,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will recognize ordinary 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108" w:lineRule="exact"/>
        <w:rPr>
          <w:sz w:val="20"/>
          <w:szCs w:val="20"/>
          <w:color w:val="auto"/>
        </w:rPr>
      </w:pPr>
    </w:p>
    <w:p>
      <w:pPr>
        <w:jc w:val="both"/>
        <w:ind w:left="160" w:right="59"/>
        <w:spacing w:after="0" w:line="256" w:lineRule="auto"/>
        <w:rPr>
          <w:sz w:val="20"/>
          <w:szCs w:val="20"/>
          <w:color w:val="auto"/>
        </w:rPr>
      </w:pPr>
      <w:r>
        <w:rPr>
          <w:rFonts w:ascii="Arial" w:cs="Arial" w:eastAsia="Arial" w:hAnsi="Arial"/>
          <w:sz w:val="17"/>
          <w:szCs w:val="17"/>
          <w:b w:val="1"/>
          <w:bCs w:val="1"/>
          <w:color w:val="auto"/>
        </w:rPr>
        <w:t xml:space="preserve">Restricted Stock. </w:t>
      </w:r>
      <w:r>
        <w:rPr>
          <w:rFonts w:ascii="Arial" w:cs="Arial" w:eastAsia="Arial" w:hAnsi="Arial"/>
          <w:sz w:val="17"/>
          <w:szCs w:val="17"/>
          <w:color w:val="auto"/>
        </w:rPr>
        <w:t>A participant will not be subject to tax upon the grant of an award of restricted stock unless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otherwise elects to be 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5" w:name="page86"/>
    <w:bookmarkEnd w:id="85"/>
    <w:p>
      <w:pPr>
        <w:spacing w:after="0" w:line="58"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the participant paid for such shares, if any. If the election is made, the participant will not be allowed a deduction for the value of any shares which may be subsequently forfeited.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98" w:lineRule="exact"/>
        <w:rPr>
          <w:sz w:val="20"/>
          <w:szCs w:val="20"/>
          <w:color w:val="auto"/>
        </w:rPr>
      </w:pPr>
    </w:p>
    <w:p>
      <w:pPr>
        <w:jc w:val="both"/>
        <w:ind w:left="160" w:right="59"/>
        <w:spacing w:after="0" w:line="259" w:lineRule="auto"/>
        <w:rPr>
          <w:sz w:val="20"/>
          <w:szCs w:val="20"/>
          <w:color w:val="auto"/>
        </w:rPr>
      </w:pPr>
      <w:r>
        <w:rPr>
          <w:rFonts w:ascii="Arial" w:cs="Arial" w:eastAsia="Arial" w:hAnsi="Arial"/>
          <w:sz w:val="17"/>
          <w:szCs w:val="17"/>
          <w:b w:val="1"/>
          <w:bCs w:val="1"/>
          <w:color w:val="auto"/>
        </w:rPr>
        <w:t xml:space="preserve">Restricted Stock Units. </w:t>
      </w:r>
      <w:r>
        <w:rPr>
          <w:rFonts w:ascii="Arial" w:cs="Arial" w:eastAsia="Arial" w:hAnsi="Arial"/>
          <w:sz w:val="17"/>
          <w:szCs w:val="17"/>
          <w:color w:val="auto"/>
        </w:rPr>
        <w:t>A participant will not be subject to tax upon the grant of a restricted stock unit award.</w:t>
      </w:r>
      <w:r>
        <w:rPr>
          <w:rFonts w:ascii="Arial" w:cs="Arial" w:eastAsia="Arial" w:hAnsi="Arial"/>
          <w:sz w:val="17"/>
          <w:szCs w:val="17"/>
          <w:b w:val="1"/>
          <w:bCs w:val="1"/>
          <w:color w:val="auto"/>
        </w:rPr>
        <w:t xml:space="preserve"> </w:t>
      </w:r>
      <w:r>
        <w:rPr>
          <w:rFonts w:ascii="Arial" w:cs="Arial" w:eastAsia="Arial" w:hAnsi="Arial"/>
          <w:sz w:val="17"/>
          <w:szCs w:val="17"/>
          <w:color w:val="auto"/>
        </w:rPr>
        <w:t>Rather, upon the delivery 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06" w:lineRule="exact"/>
        <w:rPr>
          <w:sz w:val="20"/>
          <w:szCs w:val="20"/>
          <w:color w:val="auto"/>
        </w:rPr>
      </w:pPr>
    </w:p>
    <w:p>
      <w:pPr>
        <w:jc w:val="both"/>
        <w:ind w:left="160" w:right="59"/>
        <w:spacing w:after="0" w:line="260" w:lineRule="auto"/>
        <w:rPr>
          <w:sz w:val="20"/>
          <w:szCs w:val="20"/>
          <w:color w:val="auto"/>
        </w:rPr>
      </w:pPr>
      <w:r>
        <w:rPr>
          <w:rFonts w:ascii="Arial" w:cs="Arial" w:eastAsia="Arial" w:hAnsi="Arial"/>
          <w:sz w:val="17"/>
          <w:szCs w:val="17"/>
          <w:b w:val="1"/>
          <w:bCs w:val="1"/>
          <w:color w:val="auto"/>
        </w:rPr>
        <w:t xml:space="preserve">Stock Bonus Awards. </w:t>
      </w:r>
      <w:r>
        <w:rPr>
          <w:rFonts w:ascii="Arial" w:cs="Arial" w:eastAsia="Arial" w:hAnsi="Arial"/>
          <w:sz w:val="17"/>
          <w:szCs w:val="17"/>
          <w:color w:val="auto"/>
        </w:rPr>
        <w:t>A participant will have taxable compensation equal to the difference between the fair market</w:t>
      </w:r>
      <w:r>
        <w:rPr>
          <w:rFonts w:ascii="Arial" w:cs="Arial" w:eastAsia="Arial" w:hAnsi="Arial"/>
          <w:sz w:val="17"/>
          <w:szCs w:val="17"/>
          <w:b w:val="1"/>
          <w:bCs w:val="1"/>
          <w:color w:val="auto"/>
        </w:rPr>
        <w:t xml:space="preserve"> </w:t>
      </w:r>
      <w:r>
        <w:rPr>
          <w:rFonts w:ascii="Arial" w:cs="Arial" w:eastAsia="Arial" w:hAnsi="Arial"/>
          <w:sz w:val="17"/>
          <w:szCs w:val="17"/>
          <w:color w:val="auto"/>
        </w:rPr>
        <w:t>value of the shares on the date the award is made over the amount the participant paid for such shares, if any.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08" w:lineRule="exact"/>
        <w:rPr>
          <w:sz w:val="20"/>
          <w:szCs w:val="20"/>
          <w:color w:val="auto"/>
        </w:rPr>
      </w:pPr>
    </w:p>
    <w:p>
      <w:pPr>
        <w:jc w:val="both"/>
        <w:ind w:left="160" w:right="59"/>
        <w:spacing w:after="0" w:line="255" w:lineRule="auto"/>
        <w:rPr>
          <w:sz w:val="20"/>
          <w:szCs w:val="20"/>
          <w:color w:val="auto"/>
        </w:rPr>
      </w:pPr>
      <w:r>
        <w:rPr>
          <w:rFonts w:ascii="Arial" w:cs="Arial" w:eastAsia="Arial" w:hAnsi="Arial"/>
          <w:sz w:val="17"/>
          <w:szCs w:val="17"/>
          <w:b w:val="1"/>
          <w:bCs w:val="1"/>
          <w:color w:val="auto"/>
        </w:rPr>
        <w:t xml:space="preserve">Section 162(m). </w:t>
      </w:r>
      <w:r>
        <w:rPr>
          <w:rFonts w:ascii="Arial" w:cs="Arial" w:eastAsia="Arial" w:hAnsi="Arial"/>
          <w:sz w:val="17"/>
          <w:szCs w:val="17"/>
          <w:color w:val="auto"/>
        </w:rPr>
        <w:t>In general, as noted above, Section 162(m) of the Code denies a publicly held corporation a</w:t>
      </w:r>
      <w:r>
        <w:rPr>
          <w:rFonts w:ascii="Arial" w:cs="Arial" w:eastAsia="Arial" w:hAnsi="Arial"/>
          <w:sz w:val="17"/>
          <w:szCs w:val="17"/>
          <w:b w:val="1"/>
          <w:bCs w:val="1"/>
          <w:color w:val="auto"/>
        </w:rPr>
        <w:t xml:space="preserve"> </w:t>
      </w:r>
      <w:r>
        <w:rPr>
          <w:rFonts w:ascii="Arial" w:cs="Arial" w:eastAsia="Arial" w:hAnsi="Arial"/>
          <w:sz w:val="17"/>
          <w:szCs w:val="17"/>
          <w:color w:val="auto"/>
        </w:rPr>
        <w:t>deduction for U.S. federal income tax purposes for compensation in excess of $1,000,000 per year per person to its chief executive officer, chief financial officer and its three other officers whose compensation is required to be disclosed in its proxy statement. The Tax Reform Act eliminated the “performance-based compensation” exception to this deduction limitation, clarified that an individual serving as an organization’s chief financial officer would be subject to the deduction limitation, and made certain other changes. Moreover, the Tax Reform Act generally provides that any individual who becomes covered to Section 162(m) of the Code remain so covered, for the duration of their employment with our company and following their termination of employment. Interpretive guidance regarding the implementation of these changes has not yet been released and we will not know the full scope and impact of these changes for some time. Therefore, the Company cannot guarantee that any awards will in fact be deductible under such provisions.</w:t>
      </w:r>
    </w:p>
    <w:p>
      <w:pPr>
        <w:spacing w:after="0" w:line="100" w:lineRule="exact"/>
        <w:rPr>
          <w:sz w:val="20"/>
          <w:szCs w:val="20"/>
          <w:color w:val="auto"/>
        </w:rPr>
      </w:pPr>
    </w:p>
    <w:p>
      <w:pPr>
        <w:jc w:val="both"/>
        <w:ind w:left="160" w:right="79"/>
        <w:spacing w:after="0" w:line="287" w:lineRule="auto"/>
        <w:rPr>
          <w:sz w:val="20"/>
          <w:szCs w:val="20"/>
          <w:color w:val="auto"/>
        </w:rPr>
      </w:pPr>
      <w:r>
        <w:rPr>
          <w:rFonts w:ascii="Arial" w:cs="Arial" w:eastAsia="Arial" w:hAnsi="Arial"/>
          <w:sz w:val="17"/>
          <w:szCs w:val="17"/>
          <w:b w:val="1"/>
          <w:bCs w:val="1"/>
          <w:color w:val="auto"/>
        </w:rPr>
        <w:t>New Plan Benefits</w:t>
      </w:r>
      <w:r>
        <w:rPr>
          <w:rFonts w:ascii="Arial" w:cs="Arial" w:eastAsia="Arial" w:hAnsi="Arial"/>
          <w:sz w:val="17"/>
          <w:szCs w:val="17"/>
          <w:color w:val="auto"/>
        </w:rPr>
        <w:t>. It is not possible at this time to determine the benefits that will be received by executive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by other employees or by outside directors under the New Plan if the plan is approved by the stockholders.</w:t>
      </w:r>
    </w:p>
    <w:p>
      <w:pPr>
        <w:spacing w:after="0" w:line="104"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Such benefits will depend on future actions of the Compensation Committee or the Board, the fair market value of our common stock at various future dates, the extent to which performance goals set by the Compensation Committee are met, and/or the individual performance of the particular executive officer or employee.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6" w:name="page87"/>
    <w:bookmarkEnd w:id="86"/>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518DC8"/>
        </w:rPr>
        <w:t>Equity Compensation Plan Information</w:t>
      </w:r>
    </w:p>
    <w:p>
      <w:pPr>
        <w:spacing w:after="0" w:line="145"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The following table provides information as of December 31, 2017 with respect to the shares of our common stock that may be issued under our existing equity compensation plans. For a description of our equity compensation plans, please see footnote 21 to our consolidated financial statements included in the 2017 Form 10-K.</w:t>
      </w:r>
    </w:p>
    <w:p>
      <w:pPr>
        <w:spacing w:after="0" w:line="129" w:lineRule="exact"/>
        <w:rPr>
          <w:sz w:val="20"/>
          <w:szCs w:val="20"/>
          <w:color w:val="auto"/>
        </w:rPr>
      </w:pPr>
    </w:p>
    <w:tbl>
      <w:tblPr>
        <w:tblLayout w:type="fixed"/>
        <w:tblInd w:w="170" w:type="dxa"/>
        <w:tblCellMar>
          <w:top w:w="0" w:type="dxa"/>
          <w:left w:w="0" w:type="dxa"/>
          <w:bottom w:w="0" w:type="dxa"/>
          <w:right w:w="0" w:type="dxa"/>
        </w:tblCellMar>
      </w:tblPr>
      <w:tr>
        <w:trPr>
          <w:trHeight w:val="283"/>
        </w:trPr>
        <w:tc>
          <w:tcPr>
            <w:tcW w:w="60" w:type="dxa"/>
            <w:vAlign w:val="bottom"/>
            <w:tcBorders>
              <w:left w:val="single" w:sz="8" w:color="DD924E"/>
            </w:tcBorders>
            <w:shd w:val="clear" w:color="auto" w:fill="DD924E"/>
          </w:tcPr>
          <w:p>
            <w:pPr>
              <w:spacing w:after="0"/>
              <w:rPr>
                <w:sz w:val="24"/>
                <w:szCs w:val="24"/>
                <w:color w:val="auto"/>
              </w:rPr>
            </w:pPr>
          </w:p>
        </w:tc>
        <w:tc>
          <w:tcPr>
            <w:tcW w:w="2360" w:type="dxa"/>
            <w:vAlign w:val="bottom"/>
            <w:shd w:val="clear" w:color="auto" w:fill="DD924E"/>
          </w:tcPr>
          <w:p>
            <w:pPr>
              <w:spacing w:after="0"/>
              <w:rPr>
                <w:sz w:val="24"/>
                <w:szCs w:val="24"/>
                <w:color w:val="auto"/>
              </w:rPr>
            </w:pPr>
          </w:p>
        </w:tc>
        <w:tc>
          <w:tcPr>
            <w:tcW w:w="100" w:type="dxa"/>
            <w:vAlign w:val="bottom"/>
            <w:shd w:val="clear" w:color="auto" w:fill="DD924E"/>
          </w:tcPr>
          <w:p>
            <w:pPr>
              <w:spacing w:after="0"/>
              <w:rPr>
                <w:sz w:val="24"/>
                <w:szCs w:val="24"/>
                <w:color w:val="auto"/>
              </w:rPr>
            </w:pPr>
          </w:p>
        </w:tc>
        <w:tc>
          <w:tcPr>
            <w:tcW w:w="2180" w:type="dxa"/>
            <w:vAlign w:val="bottom"/>
            <w:shd w:val="clear" w:color="auto" w:fill="DD924E"/>
          </w:tcPr>
          <w:p>
            <w:pPr>
              <w:spacing w:after="0"/>
              <w:rPr>
                <w:sz w:val="24"/>
                <w:szCs w:val="24"/>
                <w:color w:val="auto"/>
              </w:rPr>
            </w:pPr>
          </w:p>
        </w:tc>
        <w:tc>
          <w:tcPr>
            <w:tcW w:w="180" w:type="dxa"/>
            <w:vAlign w:val="bottom"/>
            <w:shd w:val="clear" w:color="auto" w:fill="DD924E"/>
          </w:tcPr>
          <w:p>
            <w:pPr>
              <w:spacing w:after="0"/>
              <w:rPr>
                <w:sz w:val="24"/>
                <w:szCs w:val="24"/>
                <w:color w:val="auto"/>
              </w:rPr>
            </w:pPr>
          </w:p>
        </w:tc>
        <w:tc>
          <w:tcPr>
            <w:tcW w:w="200" w:type="dxa"/>
            <w:vAlign w:val="bottom"/>
            <w:shd w:val="clear" w:color="auto" w:fill="DD924E"/>
          </w:tcPr>
          <w:p>
            <w:pPr>
              <w:spacing w:after="0"/>
              <w:rPr>
                <w:sz w:val="24"/>
                <w:szCs w:val="24"/>
                <w:color w:val="auto"/>
              </w:rPr>
            </w:pPr>
          </w:p>
        </w:tc>
        <w:tc>
          <w:tcPr>
            <w:tcW w:w="1380" w:type="dxa"/>
            <w:vAlign w:val="bottom"/>
            <w:shd w:val="clear" w:color="auto" w:fill="DD924E"/>
          </w:tcPr>
          <w:p>
            <w:pPr>
              <w:spacing w:after="0"/>
              <w:rPr>
                <w:sz w:val="24"/>
                <w:szCs w:val="24"/>
                <w:color w:val="auto"/>
              </w:rPr>
            </w:pPr>
          </w:p>
        </w:tc>
        <w:tc>
          <w:tcPr>
            <w:tcW w:w="180" w:type="dxa"/>
            <w:vAlign w:val="bottom"/>
            <w:shd w:val="clear" w:color="auto" w:fill="DD924E"/>
          </w:tcPr>
          <w:p>
            <w:pPr>
              <w:spacing w:after="0"/>
              <w:rPr>
                <w:sz w:val="24"/>
                <w:szCs w:val="24"/>
                <w:color w:val="auto"/>
              </w:rPr>
            </w:pPr>
          </w:p>
        </w:tc>
        <w:tc>
          <w:tcPr>
            <w:tcW w:w="2180" w:type="dxa"/>
            <w:vAlign w:val="bottom"/>
            <w:tcBorders>
              <w:right w:val="single" w:sz="8" w:color="DD924E"/>
            </w:tcBorders>
            <w:shd w:val="clear" w:color="auto" w:fill="DD924E"/>
          </w:tcPr>
          <w:p>
            <w:pPr>
              <w:jc w:val="center"/>
              <w:ind w:right="12"/>
              <w:spacing w:after="0"/>
              <w:rPr>
                <w:sz w:val="20"/>
                <w:szCs w:val="20"/>
                <w:color w:val="auto"/>
              </w:rPr>
            </w:pPr>
            <w:r>
              <w:rPr>
                <w:rFonts w:ascii="Arial" w:cs="Arial" w:eastAsia="Arial" w:hAnsi="Arial"/>
                <w:sz w:val="14"/>
                <w:szCs w:val="14"/>
                <w:b w:val="1"/>
                <w:bCs w:val="1"/>
                <w:color w:val="FFFFFF"/>
                <w:w w:val="97"/>
              </w:rPr>
              <w:t>Number of Securities</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23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2180" w:type="dxa"/>
            <w:vAlign w:val="bottom"/>
            <w:shd w:val="clear" w:color="auto" w:fill="DD924E"/>
          </w:tcPr>
          <w:p>
            <w:pPr>
              <w:spacing w:after="0"/>
              <w:rPr>
                <w:sz w:val="13"/>
                <w:szCs w:val="13"/>
                <w:color w:val="auto"/>
              </w:rPr>
            </w:pPr>
          </w:p>
        </w:tc>
        <w:tc>
          <w:tcPr>
            <w:tcW w:w="180" w:type="dxa"/>
            <w:vAlign w:val="bottom"/>
            <w:shd w:val="clear" w:color="auto" w:fill="DD924E"/>
          </w:tcPr>
          <w:p>
            <w:pPr>
              <w:spacing w:after="0"/>
              <w:rPr>
                <w:sz w:val="13"/>
                <w:szCs w:val="13"/>
                <w:color w:val="auto"/>
              </w:rPr>
            </w:pPr>
          </w:p>
        </w:tc>
        <w:tc>
          <w:tcPr>
            <w:tcW w:w="200" w:type="dxa"/>
            <w:vAlign w:val="bottom"/>
            <w:shd w:val="clear" w:color="auto" w:fill="DD924E"/>
          </w:tcPr>
          <w:p>
            <w:pPr>
              <w:spacing w:after="0"/>
              <w:rPr>
                <w:sz w:val="13"/>
                <w:szCs w:val="13"/>
                <w:color w:val="auto"/>
              </w:rPr>
            </w:pPr>
          </w:p>
        </w:tc>
        <w:tc>
          <w:tcPr>
            <w:tcW w:w="1380" w:type="dxa"/>
            <w:vAlign w:val="bottom"/>
            <w:shd w:val="clear" w:color="auto" w:fill="DD924E"/>
          </w:tcPr>
          <w:p>
            <w:pPr>
              <w:jc w:val="center"/>
              <w:ind w:right="152"/>
              <w:spacing w:after="0" w:line="154" w:lineRule="exact"/>
              <w:rPr>
                <w:sz w:val="20"/>
                <w:szCs w:val="20"/>
                <w:color w:val="auto"/>
              </w:rPr>
            </w:pPr>
            <w:r>
              <w:rPr>
                <w:rFonts w:ascii="Arial" w:cs="Arial" w:eastAsia="Arial" w:hAnsi="Arial"/>
                <w:sz w:val="14"/>
                <w:szCs w:val="14"/>
                <w:b w:val="1"/>
                <w:bCs w:val="1"/>
                <w:color w:val="FFFFFF"/>
                <w:w w:val="95"/>
              </w:rPr>
              <w:t>Weighted</w:t>
            </w:r>
          </w:p>
        </w:tc>
        <w:tc>
          <w:tcPr>
            <w:tcW w:w="180" w:type="dxa"/>
            <w:vAlign w:val="bottom"/>
            <w:shd w:val="clear" w:color="auto" w:fill="DD924E"/>
          </w:tcPr>
          <w:p>
            <w:pPr>
              <w:spacing w:after="0"/>
              <w:rPr>
                <w:sz w:val="13"/>
                <w:szCs w:val="13"/>
                <w:color w:val="auto"/>
              </w:rPr>
            </w:pPr>
          </w:p>
        </w:tc>
        <w:tc>
          <w:tcPr>
            <w:tcW w:w="2180" w:type="dxa"/>
            <w:vAlign w:val="bottom"/>
            <w:tcBorders>
              <w:right w:val="single" w:sz="8" w:color="DD924E"/>
            </w:tcBorders>
            <w:shd w:val="clear" w:color="auto" w:fill="DD924E"/>
          </w:tcPr>
          <w:p>
            <w:pPr>
              <w:jc w:val="center"/>
              <w:ind w:right="12"/>
              <w:spacing w:after="0" w:line="154" w:lineRule="exact"/>
              <w:rPr>
                <w:sz w:val="20"/>
                <w:szCs w:val="20"/>
                <w:color w:val="auto"/>
              </w:rPr>
            </w:pPr>
            <w:r>
              <w:rPr>
                <w:rFonts w:ascii="Arial" w:cs="Arial" w:eastAsia="Arial" w:hAnsi="Arial"/>
                <w:sz w:val="14"/>
                <w:szCs w:val="14"/>
                <w:b w:val="1"/>
                <w:bCs w:val="1"/>
                <w:color w:val="FFFFFF"/>
                <w:w w:val="97"/>
              </w:rPr>
              <w:t>Remaining Available</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23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21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Number of Securities</w:t>
            </w:r>
          </w:p>
        </w:tc>
        <w:tc>
          <w:tcPr>
            <w:tcW w:w="180" w:type="dxa"/>
            <w:vAlign w:val="bottom"/>
            <w:shd w:val="clear" w:color="auto" w:fill="DD924E"/>
          </w:tcPr>
          <w:p>
            <w:pPr>
              <w:spacing w:after="0"/>
              <w:rPr>
                <w:sz w:val="13"/>
                <w:szCs w:val="13"/>
                <w:color w:val="auto"/>
              </w:rPr>
            </w:pPr>
          </w:p>
        </w:tc>
        <w:tc>
          <w:tcPr>
            <w:tcW w:w="200" w:type="dxa"/>
            <w:vAlign w:val="bottom"/>
            <w:shd w:val="clear" w:color="auto" w:fill="DD924E"/>
          </w:tcPr>
          <w:p>
            <w:pPr>
              <w:spacing w:after="0"/>
              <w:rPr>
                <w:sz w:val="13"/>
                <w:szCs w:val="13"/>
                <w:color w:val="auto"/>
              </w:rPr>
            </w:pPr>
          </w:p>
        </w:tc>
        <w:tc>
          <w:tcPr>
            <w:tcW w:w="1380" w:type="dxa"/>
            <w:vAlign w:val="bottom"/>
            <w:shd w:val="clear" w:color="auto" w:fill="DD924E"/>
          </w:tcPr>
          <w:p>
            <w:pPr>
              <w:jc w:val="center"/>
              <w:ind w:right="132"/>
              <w:spacing w:after="0" w:line="154" w:lineRule="exact"/>
              <w:rPr>
                <w:sz w:val="20"/>
                <w:szCs w:val="20"/>
                <w:color w:val="auto"/>
              </w:rPr>
            </w:pPr>
            <w:r>
              <w:rPr>
                <w:rFonts w:ascii="Arial" w:cs="Arial" w:eastAsia="Arial" w:hAnsi="Arial"/>
                <w:sz w:val="14"/>
                <w:szCs w:val="14"/>
                <w:b w:val="1"/>
                <w:bCs w:val="1"/>
                <w:color w:val="FFFFFF"/>
                <w:w w:val="97"/>
              </w:rPr>
              <w:t>Average Exercise</w:t>
            </w:r>
          </w:p>
        </w:tc>
        <w:tc>
          <w:tcPr>
            <w:tcW w:w="180" w:type="dxa"/>
            <w:vAlign w:val="bottom"/>
            <w:shd w:val="clear" w:color="auto" w:fill="DD924E"/>
          </w:tcPr>
          <w:p>
            <w:pPr>
              <w:spacing w:after="0"/>
              <w:rPr>
                <w:sz w:val="13"/>
                <w:szCs w:val="13"/>
                <w:color w:val="auto"/>
              </w:rPr>
            </w:pPr>
          </w:p>
        </w:tc>
        <w:tc>
          <w:tcPr>
            <w:tcW w:w="2180" w:type="dxa"/>
            <w:vAlign w:val="bottom"/>
            <w:tcBorders>
              <w:right w:val="single" w:sz="8" w:color="DD924E"/>
            </w:tcBorders>
            <w:shd w:val="clear" w:color="auto" w:fill="DD924E"/>
          </w:tcPr>
          <w:p>
            <w:pPr>
              <w:jc w:val="center"/>
              <w:ind w:right="12"/>
              <w:spacing w:after="0" w:line="154" w:lineRule="exact"/>
              <w:rPr>
                <w:sz w:val="20"/>
                <w:szCs w:val="20"/>
                <w:color w:val="auto"/>
              </w:rPr>
            </w:pPr>
            <w:r>
              <w:rPr>
                <w:rFonts w:ascii="Arial" w:cs="Arial" w:eastAsia="Arial" w:hAnsi="Arial"/>
                <w:sz w:val="14"/>
                <w:szCs w:val="14"/>
                <w:b w:val="1"/>
                <w:bCs w:val="1"/>
                <w:color w:val="FFFFFF"/>
                <w:w w:val="99"/>
              </w:rPr>
              <w:t>for Future</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23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21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8"/>
              </w:rPr>
              <w:t>to be Issued Upon</w:t>
            </w:r>
          </w:p>
        </w:tc>
        <w:tc>
          <w:tcPr>
            <w:tcW w:w="180" w:type="dxa"/>
            <w:vAlign w:val="bottom"/>
            <w:shd w:val="clear" w:color="auto" w:fill="DD924E"/>
          </w:tcPr>
          <w:p>
            <w:pPr>
              <w:spacing w:after="0"/>
              <w:rPr>
                <w:sz w:val="13"/>
                <w:szCs w:val="13"/>
                <w:color w:val="auto"/>
              </w:rPr>
            </w:pPr>
          </w:p>
        </w:tc>
        <w:tc>
          <w:tcPr>
            <w:tcW w:w="200" w:type="dxa"/>
            <w:vAlign w:val="bottom"/>
            <w:shd w:val="clear" w:color="auto" w:fill="DD924E"/>
          </w:tcPr>
          <w:p>
            <w:pPr>
              <w:spacing w:after="0"/>
              <w:rPr>
                <w:sz w:val="13"/>
                <w:szCs w:val="13"/>
                <w:color w:val="auto"/>
              </w:rPr>
            </w:pPr>
          </w:p>
        </w:tc>
        <w:tc>
          <w:tcPr>
            <w:tcW w:w="1380" w:type="dxa"/>
            <w:vAlign w:val="bottom"/>
            <w:shd w:val="clear" w:color="auto" w:fill="DD924E"/>
          </w:tcPr>
          <w:p>
            <w:pPr>
              <w:jc w:val="center"/>
              <w:ind w:right="132"/>
              <w:spacing w:after="0" w:line="154" w:lineRule="exact"/>
              <w:rPr>
                <w:sz w:val="20"/>
                <w:szCs w:val="20"/>
                <w:color w:val="auto"/>
              </w:rPr>
            </w:pPr>
            <w:r>
              <w:rPr>
                <w:rFonts w:ascii="Arial" w:cs="Arial" w:eastAsia="Arial" w:hAnsi="Arial"/>
                <w:sz w:val="14"/>
                <w:szCs w:val="14"/>
                <w:b w:val="1"/>
                <w:bCs w:val="1"/>
                <w:color w:val="FFFFFF"/>
                <w:w w:val="97"/>
              </w:rPr>
              <w:t>Price of</w:t>
            </w:r>
          </w:p>
        </w:tc>
        <w:tc>
          <w:tcPr>
            <w:tcW w:w="180" w:type="dxa"/>
            <w:vAlign w:val="bottom"/>
            <w:shd w:val="clear" w:color="auto" w:fill="DD924E"/>
          </w:tcPr>
          <w:p>
            <w:pPr>
              <w:spacing w:after="0"/>
              <w:rPr>
                <w:sz w:val="13"/>
                <w:szCs w:val="13"/>
                <w:color w:val="auto"/>
              </w:rPr>
            </w:pPr>
          </w:p>
        </w:tc>
        <w:tc>
          <w:tcPr>
            <w:tcW w:w="2180" w:type="dxa"/>
            <w:vAlign w:val="bottom"/>
            <w:tcBorders>
              <w:right w:val="single" w:sz="8" w:color="DD924E"/>
            </w:tcBorders>
            <w:shd w:val="clear" w:color="auto" w:fill="DD924E"/>
          </w:tcPr>
          <w:p>
            <w:pPr>
              <w:jc w:val="center"/>
              <w:ind w:right="12"/>
              <w:spacing w:after="0" w:line="154" w:lineRule="exact"/>
              <w:rPr>
                <w:sz w:val="20"/>
                <w:szCs w:val="20"/>
                <w:color w:val="auto"/>
              </w:rPr>
            </w:pPr>
            <w:r>
              <w:rPr>
                <w:rFonts w:ascii="Arial" w:cs="Arial" w:eastAsia="Arial" w:hAnsi="Arial"/>
                <w:sz w:val="14"/>
                <w:szCs w:val="14"/>
                <w:b w:val="1"/>
                <w:bCs w:val="1"/>
                <w:color w:val="FFFFFF"/>
                <w:w w:val="96"/>
              </w:rPr>
              <w:t>Issuance Under Equity</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23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21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5"/>
              </w:rPr>
              <w:t>Exercise/Vesting of</w:t>
            </w:r>
          </w:p>
        </w:tc>
        <w:tc>
          <w:tcPr>
            <w:tcW w:w="180" w:type="dxa"/>
            <w:vAlign w:val="bottom"/>
            <w:shd w:val="clear" w:color="auto" w:fill="DD924E"/>
          </w:tcPr>
          <w:p>
            <w:pPr>
              <w:spacing w:after="0"/>
              <w:rPr>
                <w:sz w:val="13"/>
                <w:szCs w:val="13"/>
                <w:color w:val="auto"/>
              </w:rPr>
            </w:pPr>
          </w:p>
        </w:tc>
        <w:tc>
          <w:tcPr>
            <w:tcW w:w="200" w:type="dxa"/>
            <w:vAlign w:val="bottom"/>
            <w:shd w:val="clear" w:color="auto" w:fill="DD924E"/>
          </w:tcPr>
          <w:p>
            <w:pPr>
              <w:spacing w:after="0"/>
              <w:rPr>
                <w:sz w:val="13"/>
                <w:szCs w:val="13"/>
                <w:color w:val="auto"/>
              </w:rPr>
            </w:pPr>
          </w:p>
        </w:tc>
        <w:tc>
          <w:tcPr>
            <w:tcW w:w="1380" w:type="dxa"/>
            <w:vAlign w:val="bottom"/>
            <w:shd w:val="clear" w:color="auto" w:fill="DD924E"/>
          </w:tcPr>
          <w:p>
            <w:pPr>
              <w:jc w:val="center"/>
              <w:ind w:right="152"/>
              <w:spacing w:after="0" w:line="154" w:lineRule="exact"/>
              <w:rPr>
                <w:sz w:val="20"/>
                <w:szCs w:val="20"/>
                <w:color w:val="auto"/>
              </w:rPr>
            </w:pPr>
            <w:r>
              <w:rPr>
                <w:rFonts w:ascii="Arial" w:cs="Arial" w:eastAsia="Arial" w:hAnsi="Arial"/>
                <w:sz w:val="14"/>
                <w:szCs w:val="14"/>
                <w:b w:val="1"/>
                <w:bCs w:val="1"/>
                <w:color w:val="FFFFFF"/>
                <w:w w:val="96"/>
              </w:rPr>
              <w:t>Outstanding</w:t>
            </w:r>
          </w:p>
        </w:tc>
        <w:tc>
          <w:tcPr>
            <w:tcW w:w="180" w:type="dxa"/>
            <w:vAlign w:val="bottom"/>
            <w:shd w:val="clear" w:color="auto" w:fill="DD924E"/>
          </w:tcPr>
          <w:p>
            <w:pPr>
              <w:spacing w:after="0"/>
              <w:rPr>
                <w:sz w:val="13"/>
                <w:szCs w:val="13"/>
                <w:color w:val="auto"/>
              </w:rPr>
            </w:pPr>
          </w:p>
        </w:tc>
        <w:tc>
          <w:tcPr>
            <w:tcW w:w="2180" w:type="dxa"/>
            <w:vAlign w:val="bottom"/>
            <w:tcBorders>
              <w:right w:val="single" w:sz="8" w:color="DD924E"/>
            </w:tcBorders>
            <w:shd w:val="clear" w:color="auto" w:fill="DD924E"/>
          </w:tcPr>
          <w:p>
            <w:pPr>
              <w:jc w:val="center"/>
              <w:ind w:right="12"/>
              <w:spacing w:after="0" w:line="154" w:lineRule="exact"/>
              <w:rPr>
                <w:sz w:val="20"/>
                <w:szCs w:val="20"/>
                <w:color w:val="auto"/>
              </w:rPr>
            </w:pPr>
            <w:r>
              <w:rPr>
                <w:rFonts w:ascii="Arial" w:cs="Arial" w:eastAsia="Arial" w:hAnsi="Arial"/>
                <w:sz w:val="14"/>
                <w:szCs w:val="14"/>
                <w:b w:val="1"/>
                <w:bCs w:val="1"/>
                <w:color w:val="FFFFFF"/>
                <w:w w:val="98"/>
              </w:rPr>
              <w:t>Compensation Plans (Excluding</w:t>
            </w:r>
          </w:p>
        </w:tc>
      </w:tr>
      <w:tr>
        <w:trPr>
          <w:trHeight w:val="154"/>
        </w:trPr>
        <w:tc>
          <w:tcPr>
            <w:tcW w:w="60" w:type="dxa"/>
            <w:vAlign w:val="bottom"/>
            <w:tcBorders>
              <w:left w:val="single" w:sz="8" w:color="DD924E"/>
            </w:tcBorders>
            <w:shd w:val="clear" w:color="auto" w:fill="DD924E"/>
          </w:tcPr>
          <w:p>
            <w:pPr>
              <w:spacing w:after="0"/>
              <w:rPr>
                <w:sz w:val="13"/>
                <w:szCs w:val="13"/>
                <w:color w:val="auto"/>
              </w:rPr>
            </w:pPr>
          </w:p>
        </w:tc>
        <w:tc>
          <w:tcPr>
            <w:tcW w:w="2360" w:type="dxa"/>
            <w:vAlign w:val="bottom"/>
            <w:shd w:val="clear" w:color="auto" w:fill="DD924E"/>
          </w:tcPr>
          <w:p>
            <w:pPr>
              <w:spacing w:after="0"/>
              <w:rPr>
                <w:sz w:val="13"/>
                <w:szCs w:val="13"/>
                <w:color w:val="auto"/>
              </w:rPr>
            </w:pPr>
          </w:p>
        </w:tc>
        <w:tc>
          <w:tcPr>
            <w:tcW w:w="100" w:type="dxa"/>
            <w:vAlign w:val="bottom"/>
            <w:shd w:val="clear" w:color="auto" w:fill="DD924E"/>
          </w:tcPr>
          <w:p>
            <w:pPr>
              <w:spacing w:after="0"/>
              <w:rPr>
                <w:sz w:val="13"/>
                <w:szCs w:val="13"/>
                <w:color w:val="auto"/>
              </w:rPr>
            </w:pPr>
          </w:p>
        </w:tc>
        <w:tc>
          <w:tcPr>
            <w:tcW w:w="2180" w:type="dxa"/>
            <w:vAlign w:val="bottom"/>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6"/>
              </w:rPr>
              <w:t>Outstanding</w:t>
            </w:r>
          </w:p>
        </w:tc>
        <w:tc>
          <w:tcPr>
            <w:tcW w:w="180" w:type="dxa"/>
            <w:vAlign w:val="bottom"/>
            <w:shd w:val="clear" w:color="auto" w:fill="DD924E"/>
          </w:tcPr>
          <w:p>
            <w:pPr>
              <w:spacing w:after="0"/>
              <w:rPr>
                <w:sz w:val="13"/>
                <w:szCs w:val="13"/>
                <w:color w:val="auto"/>
              </w:rPr>
            </w:pPr>
          </w:p>
        </w:tc>
        <w:tc>
          <w:tcPr>
            <w:tcW w:w="1580" w:type="dxa"/>
            <w:vAlign w:val="bottom"/>
            <w:gridSpan w:val="2"/>
            <w:shd w:val="clear" w:color="auto" w:fill="DD924E"/>
          </w:tcPr>
          <w:p>
            <w:pPr>
              <w:jc w:val="center"/>
              <w:spacing w:after="0" w:line="154" w:lineRule="exact"/>
              <w:rPr>
                <w:sz w:val="20"/>
                <w:szCs w:val="20"/>
                <w:color w:val="auto"/>
              </w:rPr>
            </w:pPr>
            <w:r>
              <w:rPr>
                <w:rFonts w:ascii="Arial" w:cs="Arial" w:eastAsia="Arial" w:hAnsi="Arial"/>
                <w:sz w:val="14"/>
                <w:szCs w:val="14"/>
                <w:b w:val="1"/>
                <w:bCs w:val="1"/>
                <w:color w:val="FFFFFF"/>
                <w:w w:val="97"/>
              </w:rPr>
              <w:t>Options, Warrants and</w:t>
            </w:r>
          </w:p>
        </w:tc>
        <w:tc>
          <w:tcPr>
            <w:tcW w:w="180" w:type="dxa"/>
            <w:vAlign w:val="bottom"/>
            <w:shd w:val="clear" w:color="auto" w:fill="DD924E"/>
          </w:tcPr>
          <w:p>
            <w:pPr>
              <w:spacing w:after="0"/>
              <w:rPr>
                <w:sz w:val="13"/>
                <w:szCs w:val="13"/>
                <w:color w:val="auto"/>
              </w:rPr>
            </w:pPr>
          </w:p>
        </w:tc>
        <w:tc>
          <w:tcPr>
            <w:tcW w:w="2180" w:type="dxa"/>
            <w:vAlign w:val="bottom"/>
            <w:tcBorders>
              <w:right w:val="single" w:sz="8" w:color="DD924E"/>
            </w:tcBorders>
            <w:shd w:val="clear" w:color="auto" w:fill="DD924E"/>
          </w:tcPr>
          <w:p>
            <w:pPr>
              <w:jc w:val="center"/>
              <w:ind w:right="12"/>
              <w:spacing w:after="0" w:line="154" w:lineRule="exact"/>
              <w:rPr>
                <w:sz w:val="20"/>
                <w:szCs w:val="20"/>
                <w:color w:val="auto"/>
              </w:rPr>
            </w:pPr>
            <w:r>
              <w:rPr>
                <w:rFonts w:ascii="Arial" w:cs="Arial" w:eastAsia="Arial" w:hAnsi="Arial"/>
                <w:sz w:val="14"/>
                <w:szCs w:val="14"/>
                <w:b w:val="1"/>
                <w:bCs w:val="1"/>
                <w:color w:val="FFFFFF"/>
                <w:w w:val="98"/>
              </w:rPr>
              <w:t>Securities</w:t>
            </w:r>
          </w:p>
        </w:tc>
      </w:tr>
      <w:tr>
        <w:trPr>
          <w:trHeight w:val="184"/>
        </w:trPr>
        <w:tc>
          <w:tcPr>
            <w:tcW w:w="60" w:type="dxa"/>
            <w:vAlign w:val="bottom"/>
            <w:tcBorders>
              <w:left w:val="single" w:sz="8" w:color="DD924E"/>
              <w:bottom w:val="single" w:sz="8" w:color="DD924E"/>
            </w:tcBorders>
            <w:shd w:val="clear" w:color="auto" w:fill="DD924E"/>
          </w:tcPr>
          <w:p>
            <w:pPr>
              <w:spacing w:after="0"/>
              <w:rPr>
                <w:sz w:val="15"/>
                <w:szCs w:val="15"/>
                <w:color w:val="auto"/>
              </w:rPr>
            </w:pPr>
          </w:p>
        </w:tc>
        <w:tc>
          <w:tcPr>
            <w:tcW w:w="2360" w:type="dxa"/>
            <w:vAlign w:val="bottom"/>
            <w:tcBorders>
              <w:bottom w:val="single" w:sz="8" w:color="auto"/>
            </w:tcBorders>
            <w:shd w:val="clear" w:color="auto" w:fill="DD924E"/>
          </w:tcPr>
          <w:p>
            <w:pPr>
              <w:ind w:left="720"/>
              <w:spacing w:after="0"/>
              <w:rPr>
                <w:sz w:val="20"/>
                <w:szCs w:val="20"/>
                <w:color w:val="auto"/>
              </w:rPr>
            </w:pPr>
            <w:r>
              <w:rPr>
                <w:rFonts w:ascii="Arial" w:cs="Arial" w:eastAsia="Arial" w:hAnsi="Arial"/>
                <w:sz w:val="14"/>
                <w:szCs w:val="14"/>
                <w:b w:val="1"/>
                <w:bCs w:val="1"/>
                <w:color w:val="FFFFFF"/>
              </w:rPr>
              <w:t>Plan Category</w:t>
            </w:r>
          </w:p>
        </w:tc>
        <w:tc>
          <w:tcPr>
            <w:tcW w:w="100" w:type="dxa"/>
            <w:vAlign w:val="bottom"/>
            <w:tcBorders>
              <w:bottom w:val="single" w:sz="8" w:color="DD924E"/>
            </w:tcBorders>
            <w:shd w:val="clear" w:color="auto" w:fill="DD924E"/>
          </w:tcPr>
          <w:p>
            <w:pPr>
              <w:spacing w:after="0"/>
              <w:rPr>
                <w:sz w:val="15"/>
                <w:szCs w:val="15"/>
                <w:color w:val="auto"/>
              </w:rPr>
            </w:pPr>
          </w:p>
        </w:tc>
        <w:tc>
          <w:tcPr>
            <w:tcW w:w="2180" w:type="dxa"/>
            <w:vAlign w:val="bottom"/>
            <w:tcBorders>
              <w:bottom w:val="single" w:sz="8" w:color="auto"/>
            </w:tcBorders>
            <w:shd w:val="clear" w:color="auto" w:fill="DD924E"/>
          </w:tcPr>
          <w:p>
            <w:pPr>
              <w:jc w:val="center"/>
              <w:spacing w:after="0"/>
              <w:rPr>
                <w:sz w:val="20"/>
                <w:szCs w:val="20"/>
                <w:color w:val="auto"/>
              </w:rPr>
            </w:pPr>
            <w:r>
              <w:rPr>
                <w:rFonts w:ascii="Arial" w:cs="Arial" w:eastAsia="Arial" w:hAnsi="Arial"/>
                <w:sz w:val="14"/>
                <w:szCs w:val="14"/>
                <w:b w:val="1"/>
                <w:bCs w:val="1"/>
                <w:color w:val="FFFFFF"/>
                <w:w w:val="96"/>
              </w:rPr>
              <w:t>Options, Warrants and Rights*</w:t>
            </w:r>
          </w:p>
        </w:tc>
        <w:tc>
          <w:tcPr>
            <w:tcW w:w="180" w:type="dxa"/>
            <w:vAlign w:val="bottom"/>
            <w:tcBorders>
              <w:bottom w:val="single" w:sz="8" w:color="DD924E"/>
            </w:tcBorders>
            <w:shd w:val="clear" w:color="auto" w:fill="DD924E"/>
          </w:tcPr>
          <w:p>
            <w:pPr>
              <w:spacing w:after="0"/>
              <w:rPr>
                <w:sz w:val="15"/>
                <w:szCs w:val="15"/>
                <w:color w:val="auto"/>
              </w:rPr>
            </w:pPr>
          </w:p>
        </w:tc>
        <w:tc>
          <w:tcPr>
            <w:tcW w:w="200" w:type="dxa"/>
            <w:vAlign w:val="bottom"/>
            <w:tcBorders>
              <w:bottom w:val="single" w:sz="8" w:color="auto"/>
            </w:tcBorders>
            <w:shd w:val="clear" w:color="auto" w:fill="DD924E"/>
          </w:tcPr>
          <w:p>
            <w:pPr>
              <w:spacing w:after="0"/>
              <w:rPr>
                <w:sz w:val="15"/>
                <w:szCs w:val="15"/>
                <w:color w:val="auto"/>
              </w:rPr>
            </w:pPr>
          </w:p>
        </w:tc>
        <w:tc>
          <w:tcPr>
            <w:tcW w:w="1380" w:type="dxa"/>
            <w:vAlign w:val="bottom"/>
            <w:tcBorders>
              <w:bottom w:val="single" w:sz="8" w:color="auto"/>
            </w:tcBorders>
            <w:shd w:val="clear" w:color="auto" w:fill="DD924E"/>
          </w:tcPr>
          <w:p>
            <w:pPr>
              <w:jc w:val="center"/>
              <w:ind w:right="132"/>
              <w:spacing w:after="0"/>
              <w:rPr>
                <w:sz w:val="20"/>
                <w:szCs w:val="20"/>
                <w:color w:val="auto"/>
              </w:rPr>
            </w:pPr>
            <w:r>
              <w:rPr>
                <w:rFonts w:ascii="Arial" w:cs="Arial" w:eastAsia="Arial" w:hAnsi="Arial"/>
                <w:sz w:val="14"/>
                <w:szCs w:val="14"/>
                <w:b w:val="1"/>
                <w:bCs w:val="1"/>
                <w:color w:val="FFFFFF"/>
                <w:w w:val="96"/>
              </w:rPr>
              <w:t>Rights</w:t>
            </w:r>
          </w:p>
        </w:tc>
        <w:tc>
          <w:tcPr>
            <w:tcW w:w="180" w:type="dxa"/>
            <w:vAlign w:val="bottom"/>
            <w:tcBorders>
              <w:bottom w:val="single" w:sz="8" w:color="DD924E"/>
            </w:tcBorders>
            <w:shd w:val="clear" w:color="auto" w:fill="DD924E"/>
          </w:tcPr>
          <w:p>
            <w:pPr>
              <w:spacing w:after="0"/>
              <w:rPr>
                <w:sz w:val="15"/>
                <w:szCs w:val="15"/>
                <w:color w:val="auto"/>
              </w:rPr>
            </w:pPr>
          </w:p>
        </w:tc>
        <w:tc>
          <w:tcPr>
            <w:tcW w:w="2180" w:type="dxa"/>
            <w:vAlign w:val="bottom"/>
            <w:tcBorders>
              <w:bottom w:val="single" w:sz="8" w:color="auto"/>
              <w:right w:val="single" w:sz="8" w:color="DD924E"/>
            </w:tcBorders>
            <w:shd w:val="clear" w:color="auto" w:fill="DD924E"/>
          </w:tcPr>
          <w:p>
            <w:pPr>
              <w:jc w:val="center"/>
              <w:ind w:right="32"/>
              <w:spacing w:after="0"/>
              <w:rPr>
                <w:sz w:val="20"/>
                <w:szCs w:val="20"/>
                <w:color w:val="auto"/>
              </w:rPr>
            </w:pPr>
            <w:r>
              <w:rPr>
                <w:rFonts w:ascii="Arial" w:cs="Arial" w:eastAsia="Arial" w:hAnsi="Arial"/>
                <w:sz w:val="14"/>
                <w:szCs w:val="14"/>
                <w:b w:val="1"/>
                <w:bCs w:val="1"/>
                <w:color w:val="FFFFFF"/>
                <w:w w:val="97"/>
              </w:rPr>
              <w:t>Reflected in Column 1)</w:t>
            </w:r>
          </w:p>
        </w:tc>
      </w:tr>
      <w:tr>
        <w:trPr>
          <w:trHeight w:val="184"/>
        </w:trPr>
        <w:tc>
          <w:tcPr>
            <w:tcW w:w="242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Equity compensation plans</w:t>
            </w:r>
          </w:p>
        </w:tc>
        <w:tc>
          <w:tcPr>
            <w:tcW w:w="100" w:type="dxa"/>
            <w:vAlign w:val="bottom"/>
            <w:shd w:val="clear" w:color="auto" w:fill="FBF4ED"/>
          </w:tcPr>
          <w:p>
            <w:pPr>
              <w:spacing w:after="0"/>
              <w:rPr>
                <w:sz w:val="16"/>
                <w:szCs w:val="16"/>
                <w:color w:val="auto"/>
              </w:rPr>
            </w:pPr>
          </w:p>
        </w:tc>
        <w:tc>
          <w:tcPr>
            <w:tcW w:w="2180" w:type="dxa"/>
            <w:vAlign w:val="bottom"/>
            <w:shd w:val="clear" w:color="auto" w:fill="FBF4ED"/>
          </w:tcPr>
          <w:p>
            <w:pPr>
              <w:spacing w:after="0"/>
              <w:rPr>
                <w:sz w:val="16"/>
                <w:szCs w:val="16"/>
                <w:color w:val="auto"/>
              </w:rPr>
            </w:pPr>
          </w:p>
        </w:tc>
        <w:tc>
          <w:tcPr>
            <w:tcW w:w="180" w:type="dxa"/>
            <w:vAlign w:val="bottom"/>
            <w:shd w:val="clear" w:color="auto" w:fill="FBF4ED"/>
          </w:tcPr>
          <w:p>
            <w:pPr>
              <w:spacing w:after="0"/>
              <w:rPr>
                <w:sz w:val="16"/>
                <w:szCs w:val="16"/>
                <w:color w:val="auto"/>
              </w:rPr>
            </w:pPr>
          </w:p>
        </w:tc>
        <w:tc>
          <w:tcPr>
            <w:tcW w:w="200" w:type="dxa"/>
            <w:vAlign w:val="bottom"/>
            <w:shd w:val="clear" w:color="auto" w:fill="FBF4ED"/>
          </w:tcPr>
          <w:p>
            <w:pPr>
              <w:spacing w:after="0"/>
              <w:rPr>
                <w:sz w:val="16"/>
                <w:szCs w:val="16"/>
                <w:color w:val="auto"/>
              </w:rPr>
            </w:pPr>
          </w:p>
        </w:tc>
        <w:tc>
          <w:tcPr>
            <w:tcW w:w="1380" w:type="dxa"/>
            <w:vAlign w:val="bottom"/>
            <w:shd w:val="clear" w:color="auto" w:fill="FBF4ED"/>
          </w:tcPr>
          <w:p>
            <w:pPr>
              <w:spacing w:after="0"/>
              <w:rPr>
                <w:sz w:val="16"/>
                <w:szCs w:val="16"/>
                <w:color w:val="auto"/>
              </w:rPr>
            </w:pPr>
          </w:p>
        </w:tc>
        <w:tc>
          <w:tcPr>
            <w:tcW w:w="180" w:type="dxa"/>
            <w:vAlign w:val="bottom"/>
            <w:shd w:val="clear" w:color="auto" w:fill="FBF4ED"/>
          </w:tcPr>
          <w:p>
            <w:pPr>
              <w:spacing w:after="0"/>
              <w:rPr>
                <w:sz w:val="16"/>
                <w:szCs w:val="16"/>
                <w:color w:val="auto"/>
              </w:rPr>
            </w:pPr>
          </w:p>
        </w:tc>
        <w:tc>
          <w:tcPr>
            <w:tcW w:w="2180" w:type="dxa"/>
            <w:vAlign w:val="bottom"/>
            <w:tcBorders>
              <w:right w:val="single" w:sz="8" w:color="DD924E"/>
            </w:tcBorders>
            <w:shd w:val="clear" w:color="auto" w:fill="FBF4ED"/>
          </w:tcPr>
          <w:p>
            <w:pPr>
              <w:spacing w:after="0"/>
              <w:rPr>
                <w:sz w:val="16"/>
                <w:szCs w:val="16"/>
                <w:color w:val="auto"/>
              </w:rPr>
            </w:pPr>
          </w:p>
        </w:tc>
      </w:tr>
      <w:tr>
        <w:trPr>
          <w:trHeight w:val="175"/>
        </w:trPr>
        <w:tc>
          <w:tcPr>
            <w:tcW w:w="2420" w:type="dxa"/>
            <w:vAlign w:val="bottom"/>
            <w:tcBorders>
              <w:left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approved by security holders</w:t>
            </w:r>
          </w:p>
        </w:tc>
        <w:tc>
          <w:tcPr>
            <w:tcW w:w="22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2,215,523</w:t>
            </w:r>
          </w:p>
        </w:tc>
        <w:tc>
          <w:tcPr>
            <w:tcW w:w="380" w:type="dxa"/>
            <w:vAlign w:val="bottom"/>
            <w:gridSpan w:val="2"/>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FBF4ED"/>
          </w:tcPr>
          <w:p>
            <w:pPr>
              <w:jc w:val="right"/>
              <w:spacing w:after="0"/>
              <w:rPr>
                <w:sz w:val="20"/>
                <w:szCs w:val="20"/>
                <w:color w:val="auto"/>
              </w:rPr>
            </w:pPr>
            <w:r>
              <w:rPr>
                <w:rFonts w:ascii="Arial" w:cs="Arial" w:eastAsia="Arial" w:hAnsi="Arial"/>
                <w:sz w:val="14"/>
                <w:szCs w:val="14"/>
                <w:color w:val="auto"/>
              </w:rPr>
              <w:t>18.03</w:t>
            </w:r>
          </w:p>
        </w:tc>
        <w:tc>
          <w:tcPr>
            <w:tcW w:w="2360" w:type="dxa"/>
            <w:vAlign w:val="bottom"/>
            <w:tcBorders>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4"/>
                <w:szCs w:val="14"/>
                <w:color w:val="auto"/>
              </w:rPr>
              <w:t>1,509,976</w:t>
            </w:r>
          </w:p>
        </w:tc>
      </w:tr>
      <w:tr>
        <w:trPr>
          <w:trHeight w:val="184"/>
        </w:trPr>
        <w:tc>
          <w:tcPr>
            <w:tcW w:w="2420" w:type="dxa"/>
            <w:vAlign w:val="bottom"/>
            <w:tcBorders>
              <w:left w:val="single" w:sz="8" w:color="DD924E"/>
            </w:tcBorders>
            <w:gridSpan w:val="2"/>
          </w:tcPr>
          <w:p>
            <w:pPr>
              <w:ind w:left="60"/>
              <w:spacing w:after="0"/>
              <w:rPr>
                <w:sz w:val="20"/>
                <w:szCs w:val="20"/>
                <w:color w:val="auto"/>
              </w:rPr>
            </w:pPr>
            <w:r>
              <w:rPr>
                <w:rFonts w:ascii="Arial" w:cs="Arial" w:eastAsia="Arial" w:hAnsi="Arial"/>
                <w:sz w:val="14"/>
                <w:szCs w:val="14"/>
                <w:color w:val="auto"/>
              </w:rPr>
              <w:t>Equity compensation plans not</w:t>
            </w: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Borders>
              <w:right w:val="single" w:sz="8" w:color="DD924E"/>
            </w:tcBorders>
          </w:tcPr>
          <w:p>
            <w:pPr>
              <w:spacing w:after="0"/>
              <w:rPr>
                <w:sz w:val="16"/>
                <w:szCs w:val="16"/>
                <w:color w:val="auto"/>
              </w:rPr>
            </w:pPr>
          </w:p>
        </w:tc>
      </w:tr>
      <w:tr>
        <w:trPr>
          <w:trHeight w:val="169"/>
        </w:trPr>
        <w:tc>
          <w:tcPr>
            <w:tcW w:w="2420" w:type="dxa"/>
            <w:vAlign w:val="bottom"/>
            <w:tcBorders>
              <w:left w:val="single" w:sz="8" w:color="DD924E"/>
            </w:tcBorders>
            <w:gridSpan w:val="2"/>
          </w:tcPr>
          <w:p>
            <w:pPr>
              <w:ind w:left="60"/>
              <w:spacing w:after="0"/>
              <w:rPr>
                <w:sz w:val="20"/>
                <w:szCs w:val="20"/>
                <w:color w:val="auto"/>
              </w:rPr>
            </w:pPr>
            <w:r>
              <w:rPr>
                <w:rFonts w:ascii="Arial" w:cs="Arial" w:eastAsia="Arial" w:hAnsi="Arial"/>
                <w:sz w:val="14"/>
                <w:szCs w:val="14"/>
                <w:color w:val="auto"/>
              </w:rPr>
              <w:t>approved by security holders</w:t>
            </w:r>
          </w:p>
        </w:tc>
        <w:tc>
          <w:tcPr>
            <w:tcW w:w="1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180" w:type="dxa"/>
            <w:vAlign w:val="bottom"/>
            <w:tcBorders>
              <w:right w:val="single" w:sz="8" w:color="DD924E"/>
            </w:tcBorders>
          </w:tcPr>
          <w:p>
            <w:pPr>
              <w:jc w:val="right"/>
              <w:ind w:right="12"/>
              <w:spacing w:after="0"/>
              <w:rPr>
                <w:sz w:val="20"/>
                <w:szCs w:val="20"/>
                <w:color w:val="auto"/>
              </w:rPr>
            </w:pPr>
            <w:r>
              <w:rPr>
                <w:rFonts w:ascii="Arial" w:cs="Arial" w:eastAsia="Arial" w:hAnsi="Arial"/>
                <w:sz w:val="14"/>
                <w:szCs w:val="14"/>
                <w:color w:val="auto"/>
              </w:rPr>
              <w:t>—</w:t>
            </w:r>
          </w:p>
        </w:tc>
      </w:tr>
      <w:tr>
        <w:trPr>
          <w:trHeight w:val="205"/>
        </w:trPr>
        <w:tc>
          <w:tcPr>
            <w:tcW w:w="2420" w:type="dxa"/>
            <w:vAlign w:val="bottom"/>
            <w:tcBorders>
              <w:left w:val="single" w:sz="8" w:color="DD924E"/>
              <w:bottom w:val="single" w:sz="8" w:color="DD924E"/>
            </w:tcBorders>
            <w:gridSpan w:val="2"/>
            <w:shd w:val="clear" w:color="auto" w:fill="FBF4ED"/>
          </w:tcPr>
          <w:p>
            <w:pPr>
              <w:ind w:left="60"/>
              <w:spacing w:after="0"/>
              <w:rPr>
                <w:sz w:val="20"/>
                <w:szCs w:val="20"/>
                <w:color w:val="auto"/>
              </w:rPr>
            </w:pPr>
            <w:r>
              <w:rPr>
                <w:rFonts w:ascii="Arial" w:cs="Arial" w:eastAsia="Arial" w:hAnsi="Arial"/>
                <w:sz w:val="14"/>
                <w:szCs w:val="14"/>
                <w:color w:val="auto"/>
              </w:rPr>
              <w:t>Total</w:t>
            </w:r>
          </w:p>
        </w:tc>
        <w:tc>
          <w:tcPr>
            <w:tcW w:w="2280" w:type="dxa"/>
            <w:vAlign w:val="bottom"/>
            <w:tcBorders>
              <w:bottom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2,215,523</w:t>
            </w:r>
          </w:p>
        </w:tc>
        <w:tc>
          <w:tcPr>
            <w:tcW w:w="380" w:type="dxa"/>
            <w:vAlign w:val="bottom"/>
            <w:tcBorders>
              <w:bottom w:val="single" w:sz="8" w:color="DD924E"/>
            </w:tcBorders>
            <w:gridSpan w:val="2"/>
            <w:shd w:val="clear" w:color="auto" w:fill="FBF4ED"/>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D924E"/>
            </w:tcBorders>
            <w:shd w:val="clear" w:color="auto" w:fill="FBF4ED"/>
          </w:tcPr>
          <w:p>
            <w:pPr>
              <w:jc w:val="right"/>
              <w:spacing w:after="0"/>
              <w:rPr>
                <w:sz w:val="20"/>
                <w:szCs w:val="20"/>
                <w:color w:val="auto"/>
              </w:rPr>
            </w:pPr>
            <w:r>
              <w:rPr>
                <w:rFonts w:ascii="Arial" w:cs="Arial" w:eastAsia="Arial" w:hAnsi="Arial"/>
                <w:sz w:val="14"/>
                <w:szCs w:val="14"/>
                <w:color w:val="auto"/>
              </w:rPr>
              <w:t>18.03</w:t>
            </w:r>
          </w:p>
        </w:tc>
        <w:tc>
          <w:tcPr>
            <w:tcW w:w="2360" w:type="dxa"/>
            <w:vAlign w:val="bottom"/>
            <w:tcBorders>
              <w:bottom w:val="single" w:sz="8" w:color="DD924E"/>
              <w:right w:val="single" w:sz="8" w:color="DD924E"/>
            </w:tcBorders>
            <w:gridSpan w:val="2"/>
            <w:shd w:val="clear" w:color="auto" w:fill="FBF4ED"/>
          </w:tcPr>
          <w:p>
            <w:pPr>
              <w:jc w:val="right"/>
              <w:ind w:right="12"/>
              <w:spacing w:after="0"/>
              <w:rPr>
                <w:sz w:val="20"/>
                <w:szCs w:val="20"/>
                <w:color w:val="auto"/>
              </w:rPr>
            </w:pPr>
            <w:r>
              <w:rPr>
                <w:rFonts w:ascii="Arial" w:cs="Arial" w:eastAsia="Arial" w:hAnsi="Arial"/>
                <w:sz w:val="14"/>
                <w:szCs w:val="14"/>
                <w:color w:val="auto"/>
              </w:rPr>
              <w:t>1,509,976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121920</wp:posOffset>
            </wp:positionV>
            <wp:extent cx="12865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267" w:lineRule="exact"/>
        <w:rPr>
          <w:sz w:val="20"/>
          <w:szCs w:val="20"/>
          <w:color w:val="auto"/>
        </w:rPr>
      </w:pPr>
    </w:p>
    <w:p>
      <w:pPr>
        <w:ind w:left="500" w:right="79" w:hanging="344"/>
        <w:spacing w:after="0" w:line="236" w:lineRule="auto"/>
        <w:tabs>
          <w:tab w:leader="none" w:pos="50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This includes outstanding options and unvested Restricted Stock, Restricted Stock Units and Performance Restricted Stock Units. Refer to Note 21 to our consolidated financial statements for further details.</w:t>
      </w:r>
    </w:p>
    <w:p>
      <w:pPr>
        <w:spacing w:after="0" w:line="114" w:lineRule="exact"/>
        <w:rPr>
          <w:sz w:val="20"/>
          <w:szCs w:val="20"/>
          <w:color w:val="auto"/>
        </w:rPr>
      </w:pPr>
    </w:p>
    <w:p>
      <w:pPr>
        <w:jc w:val="both"/>
        <w:ind w:left="160" w:right="59"/>
        <w:spacing w:after="0" w:line="254" w:lineRule="auto"/>
        <w:rPr>
          <w:sz w:val="20"/>
          <w:szCs w:val="20"/>
          <w:color w:val="auto"/>
        </w:rPr>
      </w:pPr>
      <w:r>
        <w:rPr>
          <w:rFonts w:ascii="Arial" w:cs="Arial" w:eastAsia="Arial" w:hAnsi="Arial"/>
          <w:sz w:val="17"/>
          <w:szCs w:val="17"/>
          <w:color w:val="auto"/>
        </w:rPr>
        <w:t>As of March 15, 2018, 912,584 shares were still available for grant under the Prior Plan. As of March 15, 2018, options to purchase 246,563 shares of our common stock were issued and outstanding with a weighted average exercise price of $18.26 and an average term of options of 2.67 years, and we had outstanding 1,719,586 full value awards (i.e., restricted shares, restricted stock units, deferred stock units, etc.) of common stock under our Prior Plan.</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518DC8"/>
        </w:rPr>
        <w:t>Required Vote</w:t>
      </w:r>
    </w:p>
    <w:p>
      <w:pPr>
        <w:spacing w:after="0" w:line="158" w:lineRule="exact"/>
        <w:rPr>
          <w:sz w:val="20"/>
          <w:szCs w:val="20"/>
          <w:color w:val="auto"/>
        </w:rPr>
      </w:pPr>
    </w:p>
    <w:p>
      <w:pPr>
        <w:jc w:val="both"/>
        <w:ind w:left="160" w:right="79"/>
        <w:spacing w:after="0" w:line="257" w:lineRule="auto"/>
        <w:rPr>
          <w:sz w:val="20"/>
          <w:szCs w:val="20"/>
          <w:color w:val="auto"/>
        </w:rPr>
      </w:pPr>
      <w:r>
        <w:rPr>
          <w:rFonts w:ascii="Arial" w:cs="Arial" w:eastAsia="Arial" w:hAnsi="Arial"/>
          <w:sz w:val="17"/>
          <w:szCs w:val="17"/>
          <w:color w:val="auto"/>
        </w:rPr>
        <w:t>The approval of the 2018 Omnibus Incentive Plan requires the affirmative vote of a majority of shares present in person or represented by proxy and entitled to vote at the Annual Meeting. Unless marked to the contrary, proxies received will be voted “FOR” the proposal.</w:t>
      </w:r>
    </w:p>
    <w:p>
      <w:pPr>
        <w:spacing w:after="0" w:line="110"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FFFFFF"/>
        </w:rPr>
        <w:t>Our board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5584825" cy="3416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84825" cy="341630"/>
                    </a:xfrm>
                    <a:prstGeom prst="rect">
                      <a:avLst/>
                    </a:prstGeom>
                    <a:noFill/>
                  </pic:spPr>
                </pic:pic>
              </a:graphicData>
            </a:graphic>
          </wp:anchor>
        </w:drawing>
      </w:r>
    </w:p>
    <w:p>
      <w:pPr>
        <w:spacing w:after="0" w:line="19" w:lineRule="exact"/>
        <w:rPr>
          <w:sz w:val="20"/>
          <w:szCs w:val="20"/>
          <w:color w:val="auto"/>
        </w:rPr>
      </w:pPr>
    </w:p>
    <w:p>
      <w:pPr>
        <w:ind w:left="240"/>
        <w:spacing w:after="0"/>
        <w:tabs>
          <w:tab w:leader="none" w:pos="1380" w:val="left"/>
        </w:tabs>
        <w:rPr>
          <w:sz w:val="20"/>
          <w:szCs w:val="20"/>
          <w:color w:val="auto"/>
        </w:rPr>
      </w:pPr>
      <w:r>
        <w:rPr>
          <w:rFonts w:ascii="Arial" w:cs="Arial" w:eastAsia="Arial" w:hAnsi="Arial"/>
          <w:sz w:val="17"/>
          <w:szCs w:val="17"/>
          <w:b w:val="1"/>
          <w:bCs w:val="1"/>
          <w:color w:val="auto"/>
        </w:rPr>
        <w:t>FOR</w:t>
      </w:r>
      <w:r>
        <w:rPr>
          <w:sz w:val="20"/>
          <w:szCs w:val="20"/>
          <w:color w:val="auto"/>
        </w:rPr>
        <w:tab/>
      </w:r>
      <w:r>
        <w:rPr>
          <w:rFonts w:ascii="Arial" w:cs="Arial" w:eastAsia="Arial" w:hAnsi="Arial"/>
          <w:sz w:val="17"/>
          <w:szCs w:val="17"/>
          <w:b w:val="1"/>
          <w:bCs w:val="1"/>
          <w:color w:val="auto"/>
        </w:rPr>
        <w:t>the approval of the 2018 Omnibus Incentive Plan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7" w:name="page88"/>
    <w:bookmarkEnd w:id="87"/>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STOCKHOLDER PROPOSALS AND DIRECTOR NOMINATIONS</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FOR THE 2019 ANNUAL MEETING</w:t>
      </w:r>
    </w:p>
    <w:p>
      <w:pPr>
        <w:spacing w:after="0" w:line="132"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Stockholder proposals intended to be included in our proxy materials for the 2019 Annual Meeting of Stockholders (“2019 Annual Meeting”) must be received by the deadline calculated in accordance with SEC Rule 14a-8, which is 120 days before the anniversary of the date of this year’s proxy statement. This year’s deadline is Friday, December 28, 2018. Such proposals must include the information required by SEC rules, and should be sent in writing by courier or certified mail to the Corporate Secretary of the Company at 280 Park Avenue, 38th Floor, New York, New York 10017. Stockholder proposals that are sent to any other person or location or by any other means may not be received in a timely manner and thus ineligible for inclusion.</w:t>
      </w:r>
    </w:p>
    <w:p>
      <w:pPr>
        <w:spacing w:after="0" w:line="134"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Stockholders who intend to submit proposals at the 2019 Annual Meeting but whose proposals are not included in the proxy materials for the meeting, and stockholders who intend to submit nominations for directors at the 2019 Annual Meeting, are required to notify the Corporate Secretary of the Company (at the address above) of their proposal or nominations not less than 90 days, nor more than 120 days, before the anniversary of this year’s Annual Meeting of Stockholders, in accordance with our by-laws. Such notices of proposals for the 2019 Annual Meeting must be delivered between February 15, 2019 and March 17, 2019. Special notice provisions apply under the by-laws if the date of the 2019 Annual Meeting is more than 30 days before or 70 days after the anniversary date of this year’s Annual Meeting of Stockholders.</w:t>
      </w:r>
    </w:p>
    <w:p>
      <w:pPr>
        <w:spacing w:after="0" w:line="134"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Any notice of proposed business or nomination, whether or not included in our proxy statement, must include the information required under our by-laws, including Section 2.11.4, in order for the matter to be eligible for consideration at the 2019 Annual Meeting. The presiding officer of the 2019 Annual Meeting may refuse to acknowledge any matter or nomination not made in compliance with the procedures in our by-laws. Our by-laws can be found on our website and the current SEC rules for submitting stockholder proposals can be obtained from the SEC at: Division of Corporation Finance, 100 F. Street, N.E., Washington, DC 20549, or through the SEC’s Internet website at www.sec.gov.</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8" w:name="page89"/>
    <w:bookmarkEnd w:id="88"/>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MISCELLANEOUS</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Delivery of Documents to Stockholders Sharing an Address</w:t>
      </w:r>
    </w:p>
    <w:p>
      <w:pPr>
        <w:spacing w:after="0" w:line="162" w:lineRule="exact"/>
        <w:rPr>
          <w:sz w:val="20"/>
          <w:szCs w:val="20"/>
          <w:color w:val="auto"/>
        </w:rPr>
      </w:pPr>
    </w:p>
    <w:p>
      <w:pPr>
        <w:jc w:val="both"/>
        <w:ind w:left="160" w:right="59"/>
        <w:spacing w:after="0" w:line="252" w:lineRule="auto"/>
        <w:rPr>
          <w:sz w:val="20"/>
          <w:szCs w:val="20"/>
          <w:color w:val="auto"/>
        </w:rPr>
      </w:pPr>
      <w:r>
        <w:rPr>
          <w:rFonts w:ascii="Arial" w:cs="Arial" w:eastAsia="Arial" w:hAnsi="Arial"/>
          <w:sz w:val="17"/>
          <w:szCs w:val="17"/>
          <w:color w:val="auto"/>
        </w:rPr>
        <w:t>If you are the beneficial owner, but not the record holder, of shares of our common stock, your broker, bank, trust or other nominee may only deliver one copy of this proxy statement and the 2017 Form 10-K, which serves as our Annual Report to Stockholders under Regulation 14A (the “2017 Annual Report”), to multiple stockholders who share an address unless that nominee has received contrary instructions from one or more of the stockholders. We will deliver promptly, upon written or oral request, a separate copy of this proxy statement and the 2017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our website at www.exlservice.com.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18DC8"/>
        </w:rPr>
        <w:t>Electronic Access to Proxy Statement and Annual Report</w:t>
      </w:r>
    </w:p>
    <w:p>
      <w:pPr>
        <w:spacing w:after="0" w:line="149"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 xml:space="preserve">This proxy statement and our 2017 Annual Report may be viewed on our website at </w:t>
      </w:r>
      <w:r>
        <w:rPr>
          <w:rFonts w:ascii="Arial" w:cs="Arial" w:eastAsia="Arial" w:hAnsi="Arial"/>
          <w:sz w:val="17"/>
          <w:szCs w:val="17"/>
          <w:u w:val="single" w:color="auto"/>
          <w:color w:val="auto"/>
        </w:rPr>
        <w:t>www.exlservice.com</w:t>
      </w:r>
      <w:r>
        <w:rPr>
          <w:rFonts w:ascii="Arial" w:cs="Arial" w:eastAsia="Arial" w:hAnsi="Arial"/>
          <w:sz w:val="17"/>
          <w:szCs w:val="17"/>
          <w:color w:val="auto"/>
        </w:rPr>
        <w:t xml:space="preserve"> and at </w:t>
      </w:r>
      <w:r>
        <w:rPr>
          <w:rFonts w:ascii="Arial" w:cs="Arial" w:eastAsia="Arial" w:hAnsi="Arial"/>
          <w:sz w:val="17"/>
          <w:szCs w:val="17"/>
          <w:u w:val="single" w:color="auto"/>
          <w:color w:val="auto"/>
        </w:rPr>
        <w:t>www.proxyvote.com</w:t>
      </w:r>
      <w:r>
        <w:rPr>
          <w:rFonts w:ascii="Arial" w:cs="Arial" w:eastAsia="Arial" w:hAnsi="Arial"/>
          <w:sz w:val="17"/>
          <w:szCs w:val="17"/>
          <w:color w:val="auto"/>
        </w:rPr>
        <w:t xml:space="preserve"> by following the instructions provided in the Internet Notice.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9" w:name="page90"/>
    <w:bookmarkEnd w:id="89"/>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DD924E"/>
        </w:rPr>
        <w:t>OTHER MATTERS</w:t>
      </w:r>
    </w:p>
    <w:p>
      <w:pPr>
        <w:spacing w:after="0" w:line="162"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Whether or not you intend to be present at the Annual Meeting, we urge you to submit your signed proxy promptly.</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47625</wp:posOffset>
            </wp:positionV>
            <wp:extent cx="1555115" cy="4883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5511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Nancy Saltzman</w:t>
      </w:r>
    </w:p>
    <w:p>
      <w:pPr>
        <w:spacing w:after="0" w:line="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Executive Vice President,</w:t>
      </w:r>
    </w:p>
    <w:p>
      <w:pPr>
        <w:spacing w:after="0" w:line="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General Counsel and</w:t>
      </w:r>
    </w:p>
    <w:p>
      <w:pPr>
        <w:spacing w:after="0" w:line="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Corporate Secretary</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New York, New York</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April 27, 2018</w:t>
      </w:r>
    </w:p>
    <w:p>
      <w:pPr>
        <w:spacing w:after="0" w:line="131"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b w:val="1"/>
          <w:bCs w:val="1"/>
          <w:color w:val="auto"/>
        </w:rPr>
        <w:t>We will furnish without charge to each person whose proxy is being solicited, upon the written request of any such person, a copy of the 2017 Form 10-K, as filed with the SEC, as well as copies of exhibits to the 2017 Form 10-K, but for copies of exhibits will charge a reasonable fee per page to any requesting stockholder. Stockholders may make such request in writing to ExlService Holdings, Inc., 280 Park Avenue, 38th Floor, New York, New York 10017, Attention: Investor Relations. The request must include a representation by the stockholder that as of April 23, 2018, the stockholder was entitled to vote at the Annual Meeting.</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0" w:name="page91"/>
    <w:bookmarkEnd w:id="90"/>
    <w:p>
      <w:pPr>
        <w:spacing w:after="0" w:line="58" w:lineRule="exact"/>
        <w:rPr>
          <w:sz w:val="20"/>
          <w:szCs w:val="20"/>
          <w:color w:val="auto"/>
        </w:rPr>
      </w:pPr>
    </w:p>
    <w:p>
      <w:pPr>
        <w:jc w:val="right"/>
        <w:ind w:right="59"/>
        <w:spacing w:after="0"/>
        <w:rPr>
          <w:sz w:val="20"/>
          <w:szCs w:val="20"/>
          <w:color w:val="auto"/>
        </w:rPr>
      </w:pPr>
      <w:r>
        <w:rPr>
          <w:rFonts w:ascii="Arial" w:cs="Arial" w:eastAsia="Arial" w:hAnsi="Arial"/>
          <w:sz w:val="17"/>
          <w:szCs w:val="17"/>
          <w:color w:val="auto"/>
        </w:rPr>
        <w:t>Annex A</w:t>
      </w:r>
    </w:p>
    <w:p>
      <w:pPr>
        <w:spacing w:after="0" w:line="11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ExlService Holdings, Inc.</w:t>
      </w:r>
    </w:p>
    <w:p>
      <w:pPr>
        <w:spacing w:after="0" w:line="1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2018 OMNIBUS INCENTIVE PLAN</w:t>
      </w:r>
    </w:p>
    <w:p>
      <w:pPr>
        <w:spacing w:after="0" w:line="151" w:lineRule="exact"/>
        <w:rPr>
          <w:sz w:val="20"/>
          <w:szCs w:val="20"/>
          <w:color w:val="auto"/>
        </w:rPr>
      </w:pPr>
    </w:p>
    <w:p>
      <w:pPr>
        <w:ind w:left="840" w:hanging="684"/>
        <w:spacing w:after="0"/>
        <w:tabs>
          <w:tab w:leader="none" w:pos="84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Purpose</w:t>
      </w:r>
    </w:p>
    <w:p>
      <w:pPr>
        <w:spacing w:after="0" w:line="158" w:lineRule="exact"/>
        <w:rPr>
          <w:sz w:val="20"/>
          <w:szCs w:val="20"/>
          <w:color w:val="auto"/>
        </w:rPr>
      </w:pPr>
    </w:p>
    <w:p>
      <w:pPr>
        <w:jc w:val="both"/>
        <w:ind w:left="160" w:right="59" w:firstLine="677"/>
        <w:spacing w:after="0" w:line="254" w:lineRule="auto"/>
        <w:rPr>
          <w:sz w:val="20"/>
          <w:szCs w:val="20"/>
          <w:color w:val="auto"/>
        </w:rPr>
      </w:pPr>
      <w:r>
        <w:rPr>
          <w:rFonts w:ascii="Arial" w:cs="Arial" w:eastAsia="Arial" w:hAnsi="Arial"/>
          <w:sz w:val="17"/>
          <w:szCs w:val="17"/>
          <w:color w:val="auto"/>
        </w:rPr>
        <w:t>The purpose of the Plan is to provide a means through which the Company and its Affiliates may attract able persons to enter and remain in the employ of the Company and its Affiliates and to provide a means whereby employees, directors and consultants of the Company and its Affiliates can acquire and maintain Common Stock ownership, or be paid incentive compensation measured by reference to the value of Common Stock, thereby strengthening their commitment to the welfare of the Company and its Affiliates and promoting an identity of interest between stockholders and these persons.</w:t>
      </w:r>
    </w:p>
    <w:p>
      <w:pPr>
        <w:spacing w:after="0" w:line="131" w:lineRule="exact"/>
        <w:rPr>
          <w:sz w:val="20"/>
          <w:szCs w:val="20"/>
          <w:color w:val="auto"/>
        </w:rPr>
      </w:pPr>
    </w:p>
    <w:p>
      <w:pPr>
        <w:jc w:val="both"/>
        <w:ind w:left="160" w:right="59" w:firstLine="677"/>
        <w:spacing w:after="0" w:line="254" w:lineRule="auto"/>
        <w:rPr>
          <w:sz w:val="20"/>
          <w:szCs w:val="20"/>
          <w:color w:val="auto"/>
        </w:rPr>
      </w:pPr>
      <w:r>
        <w:rPr>
          <w:rFonts w:ascii="Arial" w:cs="Arial" w:eastAsia="Arial" w:hAnsi="Arial"/>
          <w:sz w:val="17"/>
          <w:szCs w:val="17"/>
          <w:color w:val="auto"/>
        </w:rPr>
        <w:t>This Plan document is an omnibus document which includes, in addition to the Plan, separate sub-plans (“</w:t>
      </w:r>
      <w:r>
        <w:rPr>
          <w:rFonts w:ascii="Arial" w:cs="Arial" w:eastAsia="Arial" w:hAnsi="Arial"/>
          <w:sz w:val="17"/>
          <w:szCs w:val="17"/>
          <w:u w:val="single" w:color="auto"/>
          <w:color w:val="auto"/>
        </w:rPr>
        <w:t>Sub Plans</w:t>
      </w:r>
      <w:r>
        <w:rPr>
          <w:rFonts w:ascii="Arial" w:cs="Arial" w:eastAsia="Arial" w:hAnsi="Arial"/>
          <w:sz w:val="17"/>
          <w:szCs w:val="17"/>
          <w:color w:val="auto"/>
        </w:rPr>
        <w:t>”) that permit offerings of grants to employees of certain Designated Foreign Subsidiaries. Offerings under the Sub Plans may be made in particular locations outside the United States of America and shall comply with local laws applicable to offerings in such foreign jurisdictions. The Plan shall be a separate and independent plan from the Sub Plans, but the total number of shares of Stock authorized to be issued under the Plan applies in the aggregate to both the Plan and the Sub Plans.</w:t>
      </w:r>
    </w:p>
    <w:p>
      <w:pPr>
        <w:spacing w:after="0" w:line="131" w:lineRule="exact"/>
        <w:rPr>
          <w:sz w:val="20"/>
          <w:szCs w:val="20"/>
          <w:color w:val="auto"/>
        </w:rPr>
      </w:pPr>
    </w:p>
    <w:p>
      <w:pPr>
        <w:jc w:val="both"/>
        <w:ind w:left="160" w:right="59" w:firstLine="677"/>
        <w:spacing w:after="0" w:line="257" w:lineRule="auto"/>
        <w:rPr>
          <w:sz w:val="20"/>
          <w:szCs w:val="20"/>
          <w:color w:val="auto"/>
        </w:rPr>
      </w:pPr>
      <w:r>
        <w:rPr>
          <w:rFonts w:ascii="Arial" w:cs="Arial" w:eastAsia="Arial" w:hAnsi="Arial"/>
          <w:sz w:val="17"/>
          <w:szCs w:val="17"/>
          <w:color w:val="auto"/>
        </w:rPr>
        <w:t>So that the appropriate incentive can be provided, the Plan provides for granting Incentive Stock Options, Nonqualified Stock Options, Stock Appreciation Rights, Restricted Stock, Restricted Stock Units, Phantom Stock Awards, Stock Bonuses and Cash Bonus Awards, or any combination or variation of the foregoing.</w:t>
      </w:r>
    </w:p>
    <w:p>
      <w:pPr>
        <w:spacing w:after="0" w:line="116" w:lineRule="exact"/>
        <w:rPr>
          <w:sz w:val="20"/>
          <w:szCs w:val="20"/>
          <w:color w:val="auto"/>
        </w:rPr>
      </w:pPr>
    </w:p>
    <w:p>
      <w:pPr>
        <w:jc w:val="both"/>
        <w:ind w:left="160" w:right="59" w:firstLine="677"/>
        <w:spacing w:after="0" w:line="253" w:lineRule="auto"/>
        <w:rPr>
          <w:sz w:val="20"/>
          <w:szCs w:val="20"/>
          <w:color w:val="auto"/>
        </w:rPr>
      </w:pPr>
      <w:r>
        <w:rPr>
          <w:rFonts w:ascii="Arial" w:cs="Arial" w:eastAsia="Arial" w:hAnsi="Arial"/>
          <w:sz w:val="17"/>
          <w:szCs w:val="17"/>
          <w:color w:val="auto"/>
        </w:rPr>
        <w:t>The Plan replaces and supersedes the 2015 Amendment and Restatement of the ExlService Holdings, Inc. 2006 Omnibus Award Plan (the “</w:t>
      </w:r>
      <w:r>
        <w:rPr>
          <w:rFonts w:ascii="Arial" w:cs="Arial" w:eastAsia="Arial" w:hAnsi="Arial"/>
          <w:sz w:val="17"/>
          <w:szCs w:val="17"/>
          <w:u w:val="single" w:color="auto"/>
          <w:color w:val="auto"/>
        </w:rPr>
        <w:t>Prior Plan</w:t>
      </w:r>
      <w:r>
        <w:rPr>
          <w:rFonts w:ascii="Arial" w:cs="Arial" w:eastAsia="Arial" w:hAnsi="Arial"/>
          <w:sz w:val="17"/>
          <w:szCs w:val="17"/>
          <w:color w:val="auto"/>
        </w:rPr>
        <w:t>”) and is effective upon the date approved by the Company’s stockholders. Upon approval of the Plan by the Company’s stockholders, no new awards shall be made under the Prior Plan, although outstanding awards previously made under the Prior Plan shall continue to be governed by the terms of the Prior Plan. Shares of Stock that are subject to outstanding awards under the Prior Plan that expire, are forfeited or otherwise terminate unexercised may be subjected to new Awards under the Plan, as provided in Section 5.</w:t>
      </w:r>
    </w:p>
    <w:p>
      <w:pPr>
        <w:spacing w:after="0" w:line="114" w:lineRule="exact"/>
        <w:rPr>
          <w:sz w:val="20"/>
          <w:szCs w:val="20"/>
          <w:color w:val="auto"/>
        </w:rPr>
      </w:pPr>
    </w:p>
    <w:p>
      <w:pPr>
        <w:ind w:left="840" w:hanging="684"/>
        <w:spacing w:after="0"/>
        <w:tabs>
          <w:tab w:leader="none" w:pos="840"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definitions shall be applicable throughout the Plan.</w:t>
      </w:r>
    </w:p>
    <w:p>
      <w:pPr>
        <w:spacing w:after="0" w:line="138" w:lineRule="exact"/>
        <w:rPr>
          <w:sz w:val="20"/>
          <w:szCs w:val="20"/>
          <w:color w:val="auto"/>
        </w:rPr>
      </w:pPr>
    </w:p>
    <w:p>
      <w:pPr>
        <w:jc w:val="both"/>
        <w:ind w:left="160" w:right="59" w:firstLine="673"/>
        <w:spacing w:after="0" w:line="257" w:lineRule="auto"/>
        <w:tabs>
          <w:tab w:leader="none" w:pos="151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“Affiliate” means (i) any entity that directly or indirectly is controlled by, controls or is under common control with the Company and (ii) to the extent provided by the Committee, any entity in which the Company has a significant equity interest.</w:t>
      </w:r>
    </w:p>
    <w:p>
      <w:pPr>
        <w:spacing w:after="0" w:line="128" w:lineRule="exact"/>
        <w:rPr>
          <w:rFonts w:ascii="Arial" w:cs="Arial" w:eastAsia="Arial" w:hAnsi="Arial"/>
          <w:sz w:val="17"/>
          <w:szCs w:val="17"/>
          <w:color w:val="auto"/>
        </w:rPr>
      </w:pPr>
    </w:p>
    <w:p>
      <w:pPr>
        <w:jc w:val="both"/>
        <w:ind w:left="160" w:right="59" w:firstLine="673"/>
        <w:spacing w:after="0" w:line="257" w:lineRule="auto"/>
        <w:tabs>
          <w:tab w:leader="none" w:pos="151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“Award” means, individually or collectively, any Incentive Stock Option, Nonqualified Stock Option, Stock Appreciation Right, Restricted Stock, Restricted Stock Unit, Phantom Stock Award, Stock Bonus or Cash Bonus Award granted under the Plan.</w:t>
      </w:r>
    </w:p>
    <w:p>
      <w:pPr>
        <w:spacing w:after="0" w:line="115" w:lineRule="exact"/>
        <w:rPr>
          <w:rFonts w:ascii="Arial" w:cs="Arial" w:eastAsia="Arial" w:hAnsi="Arial"/>
          <w:sz w:val="17"/>
          <w:szCs w:val="17"/>
          <w:color w:val="auto"/>
        </w:rPr>
      </w:pPr>
    </w:p>
    <w:p>
      <w:pPr>
        <w:ind w:left="1520" w:hanging="687"/>
        <w:spacing w:after="0"/>
        <w:tabs>
          <w:tab w:leader="none" w:pos="15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“Award Agreement” means an agreement pursuant to which an Award is granted.</w:t>
      </w:r>
    </w:p>
    <w:p>
      <w:pPr>
        <w:spacing w:after="0" w:line="150" w:lineRule="exact"/>
        <w:rPr>
          <w:rFonts w:ascii="Arial" w:cs="Arial" w:eastAsia="Arial" w:hAnsi="Arial"/>
          <w:sz w:val="17"/>
          <w:szCs w:val="17"/>
          <w:color w:val="auto"/>
        </w:rPr>
      </w:pPr>
    </w:p>
    <w:p>
      <w:pPr>
        <w:ind w:left="1520" w:hanging="687"/>
        <w:spacing w:after="0"/>
        <w:tabs>
          <w:tab w:leader="none" w:pos="15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“Board” means the Board of Directors of the Company.</w:t>
      </w:r>
    </w:p>
    <w:p>
      <w:pPr>
        <w:spacing w:after="0" w:line="150" w:lineRule="exact"/>
        <w:rPr>
          <w:rFonts w:ascii="Arial" w:cs="Arial" w:eastAsia="Arial" w:hAnsi="Arial"/>
          <w:sz w:val="17"/>
          <w:szCs w:val="17"/>
          <w:color w:val="auto"/>
        </w:rPr>
      </w:pPr>
    </w:p>
    <w:p>
      <w:pPr>
        <w:ind w:left="1520" w:hanging="687"/>
        <w:spacing w:after="0"/>
        <w:tabs>
          <w:tab w:leader="none" w:pos="15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“Cash Bonus Award” means an Award of a cash bonus pursuant to Section 11(a) of the Plan.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1" w:name="page92"/>
    <w:bookmarkEnd w:id="91"/>
    <w:p>
      <w:pPr>
        <w:spacing w:after="0" w:line="58" w:lineRule="exact"/>
        <w:rPr>
          <w:sz w:val="20"/>
          <w:szCs w:val="20"/>
          <w:color w:val="auto"/>
        </w:rPr>
      </w:pPr>
    </w:p>
    <w:p>
      <w:pPr>
        <w:jc w:val="both"/>
        <w:ind w:left="160" w:right="59" w:firstLine="673"/>
        <w:spacing w:after="0" w:line="251" w:lineRule="auto"/>
        <w:tabs>
          <w:tab w:leader="none" w:pos="1514" w:val="left"/>
        </w:tabs>
        <w:numPr>
          <w:ilvl w:val="1"/>
          <w:numId w:val="109"/>
        </w:numPr>
        <w:rPr>
          <w:rFonts w:ascii="Arial" w:cs="Arial" w:eastAsia="Arial" w:hAnsi="Arial"/>
          <w:sz w:val="17"/>
          <w:szCs w:val="17"/>
          <w:color w:val="auto"/>
        </w:rPr>
      </w:pPr>
      <w:r>
        <w:rPr>
          <w:rFonts w:ascii="Arial" w:cs="Arial" w:eastAsia="Arial" w:hAnsi="Arial"/>
          <w:sz w:val="17"/>
          <w:szCs w:val="17"/>
          <w:color w:val="auto"/>
        </w:rPr>
        <w:t>“Cause” shall mean, unless in the case of a particular Award the applicable Award Agreement states otherwise, the Company or an Affiliate having “cause” to terminate a Participant’s employment or service, as defined in any existing employment, consulting or any other agreement between the Participant and the Company or an Affiliate in effect at the time of such termination or, in the absence of such an employment, consulting or other agreement, upon (i) the good faith determination by the Committee that the Participant has ceased to perform his duties to the Company or an Affiliate (other than as a result of his incapacity due to physical or mental illness or injury), which failure amounts to an intentional and extended neglect of his duties to such party, provided that no such failure shall constitute Cause unless the Participant has been given notice of such failure (if cure is reasonably possible) and has not cured such act or omission within 15 days following receipt of such notice, (ii) the Committee’s good faith determination that the Participant has engaged or is about to engage in conduct materially injurious to the Company or an Affiliate, (iii) the Participant having been convicted of, or plead guilty or no contest to, a felony or any crime involving as a material element fraud or dishonesty, (iv) the consistent failure of the Participant to follow the lawful instructions of the Board or his direct superiors, which failure amounts to an intentional and extended neglect of his duties to such party, or (v) in the case of a Participant who is a non-employee director, the Participant ceasing to be a member of the Board in connection with the Participant engaging in any of the activities described in clauses</w:t>
      </w:r>
    </w:p>
    <w:p>
      <w:pPr>
        <w:spacing w:after="0" w:line="10" w:lineRule="exact"/>
        <w:rPr>
          <w:rFonts w:ascii="Arial" w:cs="Arial" w:eastAsia="Arial" w:hAnsi="Arial"/>
          <w:sz w:val="17"/>
          <w:szCs w:val="17"/>
          <w:color w:val="auto"/>
        </w:rPr>
      </w:pPr>
    </w:p>
    <w:p>
      <w:pPr>
        <w:ind w:left="360" w:hanging="204"/>
        <w:spacing w:after="0"/>
        <w:tabs>
          <w:tab w:leader="none" w:pos="3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through (iv) above.</w:t>
      </w:r>
    </w:p>
    <w:p>
      <w:pPr>
        <w:spacing w:after="0" w:line="137" w:lineRule="exact"/>
        <w:rPr>
          <w:rFonts w:ascii="Arial" w:cs="Arial" w:eastAsia="Arial" w:hAnsi="Arial"/>
          <w:sz w:val="17"/>
          <w:szCs w:val="17"/>
          <w:color w:val="auto"/>
        </w:rPr>
      </w:pPr>
    </w:p>
    <w:p>
      <w:pPr>
        <w:ind w:left="160" w:right="59" w:firstLine="673"/>
        <w:spacing w:after="0" w:line="263" w:lineRule="auto"/>
        <w:tabs>
          <w:tab w:leader="none" w:pos="1514" w:val="left"/>
        </w:tabs>
        <w:numPr>
          <w:ilvl w:val="1"/>
          <w:numId w:val="110"/>
        </w:numPr>
        <w:rPr>
          <w:rFonts w:ascii="Arial" w:cs="Arial" w:eastAsia="Arial" w:hAnsi="Arial"/>
          <w:sz w:val="17"/>
          <w:szCs w:val="17"/>
          <w:color w:val="auto"/>
        </w:rPr>
      </w:pPr>
      <w:r>
        <w:rPr>
          <w:rFonts w:ascii="Arial" w:cs="Arial" w:eastAsia="Arial" w:hAnsi="Arial"/>
          <w:sz w:val="17"/>
          <w:szCs w:val="17"/>
          <w:color w:val="auto"/>
        </w:rPr>
        <w:t>“Change in Control” shall, unless in the case of a particular Award the applicable Award Agreement states otherwise or contains a different definition of “Change in Control,” be deemed to occur upon:</w:t>
      </w:r>
    </w:p>
    <w:p>
      <w:pPr>
        <w:spacing w:after="0" w:line="122" w:lineRule="exact"/>
        <w:rPr>
          <w:rFonts w:ascii="Arial" w:cs="Arial" w:eastAsia="Arial" w:hAnsi="Arial"/>
          <w:sz w:val="17"/>
          <w:szCs w:val="17"/>
          <w:color w:val="auto"/>
        </w:rPr>
      </w:pPr>
    </w:p>
    <w:p>
      <w:pPr>
        <w:jc w:val="both"/>
        <w:ind w:left="160" w:right="59" w:firstLine="1350"/>
        <w:spacing w:after="0" w:line="252" w:lineRule="auto"/>
        <w:tabs>
          <w:tab w:leader="none" w:pos="2191" w:val="left"/>
        </w:tabs>
        <w:numPr>
          <w:ilvl w:val="2"/>
          <w:numId w:val="110"/>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w:t>
      </w:r>
      <w:r>
        <w:rPr>
          <w:rFonts w:ascii="Arial" w:cs="Arial" w:eastAsia="Arial" w:hAnsi="Arial"/>
          <w:sz w:val="17"/>
          <w:szCs w:val="17"/>
          <w:u w:val="single" w:color="auto"/>
          <w:color w:val="auto"/>
        </w:rPr>
        <w:t>Person</w:t>
      </w:r>
      <w:r>
        <w:rPr>
          <w:rFonts w:ascii="Arial" w:cs="Arial" w:eastAsia="Arial" w:hAnsi="Arial"/>
          <w:sz w:val="17"/>
          <w:szCs w:val="17"/>
          <w:color w:val="auto"/>
        </w:rPr>
        <w:t>”) of beneficial ownership (within the meaning of Rule 13d-3 promulgated under the Exchange Act) of more than 50% (on a fully diluted basis) of either (A) 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Arial" w:cs="Arial" w:eastAsia="Arial" w:hAnsi="Arial"/>
          <w:sz w:val="17"/>
          <w:szCs w:val="17"/>
          <w:u w:val="single" w:color="auto"/>
          <w:color w:val="auto"/>
        </w:rPr>
        <w:t>Outstanding Company Common Stock</w:t>
      </w:r>
      <w:r>
        <w:rPr>
          <w:rFonts w:ascii="Arial" w:cs="Arial" w:eastAsia="Arial" w:hAnsi="Arial"/>
          <w:sz w:val="17"/>
          <w:szCs w:val="17"/>
          <w:color w:val="auto"/>
        </w:rPr>
        <w:t>”) or (B) the combined voting power of the then outstanding voting securities of the Company entitled to vote generally in the election of directors (the “</w:t>
      </w:r>
      <w:r>
        <w:rPr>
          <w:rFonts w:ascii="Arial" w:cs="Arial" w:eastAsia="Arial" w:hAnsi="Arial"/>
          <w:sz w:val="17"/>
          <w:szCs w:val="17"/>
          <w:u w:val="single" w:color="auto"/>
          <w:color w:val="auto"/>
        </w:rPr>
        <w:t>Outstanding Company Voting Securities</w:t>
      </w:r>
      <w:r>
        <w:rPr>
          <w:rFonts w:ascii="Arial" w:cs="Arial" w:eastAsia="Arial" w:hAnsi="Arial"/>
          <w:sz w:val="17"/>
          <w:szCs w:val="17"/>
          <w:color w:val="auto"/>
        </w:rPr>
        <w:t>”); provided, however, that for purposes of this Plan, the following acquisitions shall not constitute a Change in Control: (I) any acquisition by the Company or any Affiliate, (II) any acquisition by any employee benefit plan sponsored or maintained by the Company or any Affiliate, (III) any acquisition which complies with clauses (A), (B) and (C) of subsection (v) of this Section 2(f) or (IV) in respect of an Award held by a particular Participant, any acquisition by the Participant or any group of persons including the Participant (or any entity controlled by the Participant or any group of persons including the Participant);</w:t>
      </w:r>
    </w:p>
    <w:p>
      <w:pPr>
        <w:spacing w:after="0" w:line="139" w:lineRule="exact"/>
        <w:rPr>
          <w:rFonts w:ascii="Arial" w:cs="Arial" w:eastAsia="Arial" w:hAnsi="Arial"/>
          <w:sz w:val="17"/>
          <w:szCs w:val="17"/>
          <w:color w:val="auto"/>
        </w:rPr>
      </w:pPr>
    </w:p>
    <w:p>
      <w:pPr>
        <w:jc w:val="both"/>
        <w:ind w:left="160" w:right="59" w:firstLine="1350"/>
        <w:spacing w:after="0" w:line="253" w:lineRule="auto"/>
        <w:tabs>
          <w:tab w:leader="none" w:pos="2191" w:val="left"/>
        </w:tabs>
        <w:numPr>
          <w:ilvl w:val="2"/>
          <w:numId w:val="110"/>
        </w:numPr>
        <w:rPr>
          <w:rFonts w:ascii="Arial" w:cs="Arial" w:eastAsia="Arial" w:hAnsi="Arial"/>
          <w:sz w:val="17"/>
          <w:szCs w:val="17"/>
          <w:color w:val="auto"/>
        </w:rPr>
      </w:pPr>
      <w:r>
        <w:rPr>
          <w:rFonts w:ascii="Arial" w:cs="Arial" w:eastAsia="Arial" w:hAnsi="Arial"/>
          <w:sz w:val="17"/>
          <w:szCs w:val="17"/>
          <w:color w:val="auto"/>
        </w:rPr>
        <w:t>individuals who, on the date hereof, constitute the Board (the “</w:t>
      </w:r>
      <w:r>
        <w:rPr>
          <w:rFonts w:ascii="Arial" w:cs="Arial" w:eastAsia="Arial" w:hAnsi="Arial"/>
          <w:sz w:val="17"/>
          <w:szCs w:val="17"/>
          <w:u w:val="single" w:color="auto"/>
          <w:color w:val="auto"/>
        </w:rPr>
        <w:t>Incumbent Directors</w:t>
      </w:r>
      <w:r>
        <w:rPr>
          <w:rFonts w:ascii="Arial" w:cs="Arial" w:eastAsia="Arial" w:hAnsi="Arial"/>
          <w:sz w:val="17"/>
          <w:szCs w:val="17"/>
          <w:color w:val="auto"/>
        </w:rPr>
        <w:t xml:space="preserve">”) cease for any reason to constitute at least a majority of the Board, provided that any person becoming a director subsequent to the date hereof, whose election or nomination for election was approved by a vote of at least two-thirds of the Incumbent Directors then on the Board (either by a specific vote or by approval of a registration statement of the Company describing such person’s inclusion on the Board, or a proxy statement of the Company in which such person is named as a nominee for director, without written objection to such nomination) shall be an Incumbent Director;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individual initially elected or nominated as a director of the Company as a result of an actual or threatened election contest with respect to directors or as a result of any other actual or threatened solicitation of proxies or consents by or on behalf of any person other than the Board shall be deemed to be an Incumbent Director;</w:t>
      </w:r>
    </w:p>
    <w:p>
      <w:pPr>
        <w:spacing w:after="0" w:line="118" w:lineRule="exact"/>
        <w:rPr>
          <w:rFonts w:ascii="Arial" w:cs="Arial" w:eastAsia="Arial" w:hAnsi="Arial"/>
          <w:sz w:val="17"/>
          <w:szCs w:val="17"/>
          <w:color w:val="auto"/>
        </w:rPr>
      </w:pPr>
    </w:p>
    <w:p>
      <w:pPr>
        <w:ind w:left="2180" w:hanging="670"/>
        <w:spacing w:after="0"/>
        <w:tabs>
          <w:tab w:leader="none" w:pos="2180" w:val="left"/>
        </w:tabs>
        <w:numPr>
          <w:ilvl w:val="2"/>
          <w:numId w:val="110"/>
        </w:numPr>
        <w:rPr>
          <w:rFonts w:ascii="Arial" w:cs="Arial" w:eastAsia="Arial" w:hAnsi="Arial"/>
          <w:sz w:val="17"/>
          <w:szCs w:val="17"/>
          <w:color w:val="auto"/>
        </w:rPr>
      </w:pPr>
      <w:r>
        <w:rPr>
          <w:rFonts w:ascii="Arial" w:cs="Arial" w:eastAsia="Arial" w:hAnsi="Arial"/>
          <w:sz w:val="17"/>
          <w:szCs w:val="17"/>
          <w:color w:val="auto"/>
        </w:rPr>
        <w:t>the dissolution or liquidation of the Company;</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2" w:name="page93"/>
    <w:bookmarkEnd w:id="92"/>
    <w:p>
      <w:pPr>
        <w:spacing w:after="0" w:line="58" w:lineRule="exact"/>
        <w:rPr>
          <w:sz w:val="20"/>
          <w:szCs w:val="20"/>
          <w:color w:val="auto"/>
        </w:rPr>
      </w:pPr>
    </w:p>
    <w:p>
      <w:pPr>
        <w:ind w:left="2180" w:hanging="670"/>
        <w:spacing w:after="0"/>
        <w:tabs>
          <w:tab w:leader="none" w:pos="21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sale, transfer or other disposition of all or substantially all of the business or assets of</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Company; or</w:t>
      </w:r>
    </w:p>
    <w:p>
      <w:pPr>
        <w:spacing w:after="0" w:line="138" w:lineRule="exact"/>
        <w:rPr>
          <w:sz w:val="20"/>
          <w:szCs w:val="20"/>
          <w:color w:val="auto"/>
        </w:rPr>
      </w:pPr>
    </w:p>
    <w:p>
      <w:pPr>
        <w:jc w:val="both"/>
        <w:ind w:left="160" w:right="59" w:firstLine="1350"/>
        <w:spacing w:after="0" w:line="252" w:lineRule="auto"/>
        <w:tabs>
          <w:tab w:leader="none" w:pos="2191"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consummation of a reorganization, recapitalization, merger, consolidation, statutory share exchange or similar form of corporate transaction involving the Company that requires the approval of the Company’s stockholders, whether for such transaction or the issuance of securities in the transaction (a “</w:t>
      </w:r>
      <w:r>
        <w:rPr>
          <w:rFonts w:ascii="Arial" w:cs="Arial" w:eastAsia="Arial" w:hAnsi="Arial"/>
          <w:sz w:val="17"/>
          <w:szCs w:val="17"/>
          <w:u w:val="single" w:color="auto"/>
          <w:color w:val="auto"/>
        </w:rPr>
        <w:t>Business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Combination</w:t>
      </w:r>
      <w:r>
        <w:rPr>
          <w:rFonts w:ascii="Arial" w:cs="Arial" w:eastAsia="Arial" w:hAnsi="Arial"/>
          <w:sz w:val="17"/>
          <w:szCs w:val="17"/>
          <w:color w:val="auto"/>
        </w:rPr>
        <w:t>”), unless immediately following such Business Combination: (A) more than 50% of the total voting power of (x) the entity resulting from such Business Combination (the “</w:t>
      </w:r>
      <w:r>
        <w:rPr>
          <w:rFonts w:ascii="Arial" w:cs="Arial" w:eastAsia="Arial" w:hAnsi="Arial"/>
          <w:sz w:val="17"/>
          <w:szCs w:val="17"/>
          <w:u w:val="single" w:color="auto"/>
          <w:color w:val="auto"/>
        </w:rPr>
        <w:t>Surviving Company</w:t>
      </w:r>
      <w:r>
        <w:rPr>
          <w:rFonts w:ascii="Arial" w:cs="Arial" w:eastAsia="Arial" w:hAnsi="Arial"/>
          <w:sz w:val="17"/>
          <w:szCs w:val="17"/>
          <w:color w:val="auto"/>
        </w:rPr>
        <w:t>”), or (y)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Arial" w:cs="Arial" w:eastAsia="Arial" w:hAnsi="Arial"/>
          <w:sz w:val="17"/>
          <w:szCs w:val="17"/>
          <w:u w:val="single" w:color="auto"/>
          <w:color w:val="auto"/>
        </w:rPr>
        <w:t>Parent Company</w:t>
      </w:r>
      <w:r>
        <w:rPr>
          <w:rFonts w:ascii="Arial" w:cs="Arial" w:eastAsia="Arial" w:hAnsi="Arial"/>
          <w:sz w:val="17"/>
          <w:szCs w:val="17"/>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(B) no Person (other than any employee benefit plan sponsored or maintained by the Surviving Company or the Parent Company, or one or more Designated Holders), is or becomes the beneficial owner, directly or indirectly, of more than 50% of the total voting power of the outstanding voting securities eligible to elect members of the board of directors of the Parent Company (or the analogous governing body)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138" w:lineRule="exact"/>
        <w:rPr>
          <w:rFonts w:ascii="Arial" w:cs="Arial" w:eastAsia="Arial" w:hAnsi="Arial"/>
          <w:sz w:val="17"/>
          <w:szCs w:val="17"/>
          <w:color w:val="auto"/>
        </w:rPr>
      </w:pPr>
    </w:p>
    <w:p>
      <w:pPr>
        <w:jc w:val="both"/>
        <w:ind w:left="160" w:right="79" w:firstLine="673"/>
        <w:spacing w:after="0" w:line="257" w:lineRule="auto"/>
        <w:tabs>
          <w:tab w:leader="none" w:pos="151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“Code” means the Internal Revenue Code of 1986, as amended. Reference in the Plan to any section of the Code shall be deemed to include any amendments or successor provisions to such section and any regulations under such section.</w:t>
      </w:r>
    </w:p>
    <w:p>
      <w:pPr>
        <w:spacing w:after="0" w:line="128" w:lineRule="exact"/>
        <w:rPr>
          <w:rFonts w:ascii="Arial" w:cs="Arial" w:eastAsia="Arial" w:hAnsi="Arial"/>
          <w:sz w:val="17"/>
          <w:szCs w:val="17"/>
          <w:color w:val="auto"/>
        </w:rPr>
      </w:pPr>
    </w:p>
    <w:p>
      <w:pPr>
        <w:ind w:left="160" w:right="79" w:firstLine="673"/>
        <w:spacing w:after="0" w:line="263" w:lineRule="auto"/>
        <w:tabs>
          <w:tab w:leader="none" w:pos="151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“Committee” means the Compensation Committee of the Board, or if the Board is acting as the Committee, the individuals constituting Eligible Directors of the Board.</w:t>
      </w:r>
    </w:p>
    <w:p>
      <w:pPr>
        <w:spacing w:after="0" w:line="110" w:lineRule="exact"/>
        <w:rPr>
          <w:rFonts w:ascii="Arial" w:cs="Arial" w:eastAsia="Arial" w:hAnsi="Arial"/>
          <w:sz w:val="17"/>
          <w:szCs w:val="17"/>
          <w:color w:val="auto"/>
        </w:rPr>
      </w:pPr>
    </w:p>
    <w:p>
      <w:pPr>
        <w:ind w:left="160" w:right="79" w:firstLine="673"/>
        <w:spacing w:after="0" w:line="263" w:lineRule="auto"/>
        <w:tabs>
          <w:tab w:leader="none" w:pos="151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“Common Stock” means the Series B Common Stock, par value $0.001 per share, of the Company and any stock into which such common stock may be converted or into which it may be exchanged.</w:t>
      </w:r>
    </w:p>
    <w:p>
      <w:pPr>
        <w:spacing w:after="0" w:line="122" w:lineRule="exact"/>
        <w:rPr>
          <w:rFonts w:ascii="Arial" w:cs="Arial" w:eastAsia="Arial" w:hAnsi="Arial"/>
          <w:sz w:val="17"/>
          <w:szCs w:val="17"/>
          <w:color w:val="auto"/>
        </w:rPr>
      </w:pPr>
    </w:p>
    <w:p>
      <w:pPr>
        <w:ind w:left="1520" w:hanging="687"/>
        <w:spacing w:after="0"/>
        <w:tabs>
          <w:tab w:leader="none" w:pos="15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“Company” means ExlService Holdings, Inc. and any successor thereto.</w:t>
      </w:r>
    </w:p>
    <w:p>
      <w:pPr>
        <w:spacing w:after="0" w:line="150" w:lineRule="exact"/>
        <w:rPr>
          <w:rFonts w:ascii="Arial" w:cs="Arial" w:eastAsia="Arial" w:hAnsi="Arial"/>
          <w:sz w:val="17"/>
          <w:szCs w:val="17"/>
          <w:color w:val="auto"/>
        </w:rPr>
      </w:pPr>
    </w:p>
    <w:p>
      <w:pPr>
        <w:jc w:val="both"/>
        <w:ind w:left="160" w:right="79" w:firstLine="673"/>
        <w:spacing w:after="0" w:line="257" w:lineRule="auto"/>
        <w:tabs>
          <w:tab w:leader="none" w:pos="151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“Date of Grant” means the date on which the granting of an Award is authorized, or such other date as may be specified in such authorization or, if there is no such date, the date indicated on the applicable Award Agreement.</w:t>
      </w:r>
    </w:p>
    <w:p>
      <w:pPr>
        <w:spacing w:after="0" w:line="115" w:lineRule="exact"/>
        <w:rPr>
          <w:rFonts w:ascii="Arial" w:cs="Arial" w:eastAsia="Arial" w:hAnsi="Arial"/>
          <w:sz w:val="17"/>
          <w:szCs w:val="17"/>
          <w:color w:val="auto"/>
        </w:rPr>
      </w:pPr>
    </w:p>
    <w:p>
      <w:pPr>
        <w:jc w:val="both"/>
        <w:ind w:left="160" w:right="59" w:firstLine="673"/>
        <w:spacing w:after="0" w:line="257" w:lineRule="auto"/>
        <w:tabs>
          <w:tab w:leader="none" w:pos="151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“Designated Foreign Subsidiaries” means all Affiliates organized under the laws of any jurisdiction or country other than the United States of America that may be designated by the Board or the Committee from time to time.</w:t>
      </w:r>
    </w:p>
    <w:p>
      <w:pPr>
        <w:spacing w:after="0" w:line="128" w:lineRule="exact"/>
        <w:rPr>
          <w:rFonts w:ascii="Arial" w:cs="Arial" w:eastAsia="Arial" w:hAnsi="Arial"/>
          <w:sz w:val="17"/>
          <w:szCs w:val="17"/>
          <w:color w:val="auto"/>
        </w:rPr>
      </w:pPr>
    </w:p>
    <w:p>
      <w:pPr>
        <w:jc w:val="both"/>
        <w:ind w:left="160" w:right="59" w:firstLine="673"/>
        <w:spacing w:after="0" w:line="254" w:lineRule="auto"/>
        <w:tabs>
          <w:tab w:leader="none" w:pos="151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“Disability” means, unless in the case of a particular Award the applicable Award Agreement states otherwise, the Company or an Affiliate having cause to terminate a Participant’s employment or service on account of “disability,” as defined in any existing employment, consulting or other similar agreement between the Participant and the Company or an Affiliate or, in the absence of such an employment, consulting or other agreement, a condition entitling the Participant to receive benefits under a long-term disability plan of the Company or an Affiliate, or, in the absence of such a plan, the complete and permanent inability by reason of illness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3" w:name="page94"/>
    <w:bookmarkEnd w:id="93"/>
    <w:p>
      <w:pPr>
        <w:spacing w:after="0" w:line="58" w:lineRule="exact"/>
        <w:rPr>
          <w:sz w:val="20"/>
          <w:szCs w:val="20"/>
          <w:color w:val="auto"/>
        </w:rPr>
      </w:pPr>
    </w:p>
    <w:p>
      <w:pPr>
        <w:ind w:left="160" w:right="59"/>
        <w:spacing w:after="0" w:line="263" w:lineRule="auto"/>
        <w:rPr>
          <w:sz w:val="20"/>
          <w:szCs w:val="20"/>
          <w:color w:val="auto"/>
        </w:rPr>
      </w:pPr>
      <w:r>
        <w:rPr>
          <w:rFonts w:ascii="Arial" w:cs="Arial" w:eastAsia="Arial" w:hAnsi="Arial"/>
          <w:sz w:val="17"/>
          <w:szCs w:val="17"/>
          <w:color w:val="auto"/>
        </w:rPr>
        <w:t>or accident to perform the duties of the occupation at which a Participant was employed or served when such disability commenced, as determined by the Committee based upon medical evidence acceptable to it.</w:t>
      </w:r>
    </w:p>
    <w:p>
      <w:pPr>
        <w:spacing w:after="0" w:line="110" w:lineRule="exact"/>
        <w:rPr>
          <w:sz w:val="20"/>
          <w:szCs w:val="20"/>
          <w:color w:val="auto"/>
        </w:rPr>
      </w:pPr>
    </w:p>
    <w:p>
      <w:pPr>
        <w:ind w:left="1520" w:hanging="687"/>
        <w:spacing w:after="0"/>
        <w:tabs>
          <w:tab w:leader="none" w:pos="15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“Effective Date” means the date on which this Plan is approved by the Company’s stockholders.</w:t>
      </w:r>
    </w:p>
    <w:p>
      <w:pPr>
        <w:spacing w:after="0" w:line="150" w:lineRule="exact"/>
        <w:rPr>
          <w:rFonts w:ascii="Arial" w:cs="Arial" w:eastAsia="Arial" w:hAnsi="Arial"/>
          <w:sz w:val="17"/>
          <w:szCs w:val="17"/>
          <w:color w:val="auto"/>
        </w:rPr>
      </w:pPr>
    </w:p>
    <w:p>
      <w:pPr>
        <w:jc w:val="both"/>
        <w:ind w:left="160" w:right="59" w:firstLine="673"/>
        <w:spacing w:after="0" w:line="255" w:lineRule="auto"/>
        <w:tabs>
          <w:tab w:leader="none" w:pos="151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“Eligible Director” means a person who is (i) a “non-employee director” within the meaning of Rule 16b-3 under the Exchange Act, or a person meeting any similar requirement under any successor rule or regulation, and (ii) an “independent director” under the rules of the stock exchange on which the Stock is listed or the National Association of Securities Dealers Automated Quotation System (the “</w:t>
      </w:r>
      <w:r>
        <w:rPr>
          <w:rFonts w:ascii="Arial" w:cs="Arial" w:eastAsia="Arial" w:hAnsi="Arial"/>
          <w:sz w:val="17"/>
          <w:szCs w:val="17"/>
          <w:u w:val="single" w:color="auto"/>
          <w:color w:val="auto"/>
        </w:rPr>
        <w:t>Nasdaq</w:t>
      </w:r>
      <w:r>
        <w:rPr>
          <w:rFonts w:ascii="Arial" w:cs="Arial" w:eastAsia="Arial" w:hAnsi="Arial"/>
          <w:sz w:val="17"/>
          <w:szCs w:val="17"/>
          <w:color w:val="auto"/>
        </w:rPr>
        <w:t>”), as applicable;.</w:t>
      </w:r>
    </w:p>
    <w:p>
      <w:pPr>
        <w:spacing w:after="0" w:line="130" w:lineRule="exact"/>
        <w:rPr>
          <w:rFonts w:ascii="Arial" w:cs="Arial" w:eastAsia="Arial" w:hAnsi="Arial"/>
          <w:sz w:val="17"/>
          <w:szCs w:val="17"/>
          <w:color w:val="auto"/>
        </w:rPr>
      </w:pPr>
    </w:p>
    <w:p>
      <w:pPr>
        <w:jc w:val="both"/>
        <w:ind w:left="160" w:right="59" w:firstLine="673"/>
        <w:spacing w:after="0" w:line="254" w:lineRule="auto"/>
        <w:tabs>
          <w:tab w:leader="none" w:pos="151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“Eligible Person” means any (i) individual regularly employed by the Company or Affiliate who satisfies all of the requirements of Section 6;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of the Company or an Affiliate or (iii) consultant or advisor to the Company or an Affiliate who may be offered securities pursuant to Form S-8.</w:t>
      </w:r>
    </w:p>
    <w:p>
      <w:pPr>
        <w:spacing w:after="0" w:line="117" w:lineRule="exact"/>
        <w:rPr>
          <w:rFonts w:ascii="Arial" w:cs="Arial" w:eastAsia="Arial" w:hAnsi="Arial"/>
          <w:sz w:val="17"/>
          <w:szCs w:val="17"/>
          <w:color w:val="auto"/>
        </w:rPr>
      </w:pPr>
    </w:p>
    <w:p>
      <w:pPr>
        <w:ind w:left="1520" w:hanging="687"/>
        <w:spacing w:after="0"/>
        <w:tabs>
          <w:tab w:leader="none" w:pos="15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“Exchange Act” means the Securities Exchange Act of 1934, as amended.</w:t>
      </w:r>
    </w:p>
    <w:p>
      <w:pPr>
        <w:spacing w:after="0" w:line="150" w:lineRule="exact"/>
        <w:rPr>
          <w:rFonts w:ascii="Arial" w:cs="Arial" w:eastAsia="Arial" w:hAnsi="Arial"/>
          <w:sz w:val="17"/>
          <w:szCs w:val="17"/>
          <w:color w:val="auto"/>
        </w:rPr>
      </w:pPr>
    </w:p>
    <w:p>
      <w:pPr>
        <w:jc w:val="both"/>
        <w:ind w:left="160" w:right="59" w:firstLine="673"/>
        <w:spacing w:after="0" w:line="253" w:lineRule="auto"/>
        <w:tabs>
          <w:tab w:leader="none" w:pos="151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“Fair Market Value,” on a given date, means (i) if the Stock is listed on a national securities exchange, the closing price reported as having occurred on the primary exchange with which the Stock is listed and traded on the date prior to such date, or, if there is no such sale on that date, then on the last preceding date on which such a sale was reported; (ii) if the Stock is not listed on any national securities exchange but is quoted in the Nasdaq National Market on a last sale basis, the last sale price on such date, or, if there is no such sale on that date, then on the last preceding date on which a sale was reported; or (iii) if the Stock is not listed on a national securities exchange nor quoted in the Nasdaq on a last sale basis, the amount determined by the Committee to be the fair market value based upon a good faith attempt to value the Stock accurately and computed in accordance with applicable regulations of the Internal Revenue Service.</w:t>
      </w:r>
    </w:p>
    <w:p>
      <w:pPr>
        <w:spacing w:after="0" w:line="132" w:lineRule="exact"/>
        <w:rPr>
          <w:rFonts w:ascii="Arial" w:cs="Arial" w:eastAsia="Arial" w:hAnsi="Arial"/>
          <w:sz w:val="17"/>
          <w:szCs w:val="17"/>
          <w:color w:val="auto"/>
        </w:rPr>
      </w:pPr>
    </w:p>
    <w:p>
      <w:pPr>
        <w:jc w:val="both"/>
        <w:ind w:left="160" w:right="59" w:firstLine="673"/>
        <w:spacing w:after="0" w:line="257" w:lineRule="auto"/>
        <w:tabs>
          <w:tab w:leader="none" w:pos="151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“Incentive Stock Option” means an Option granted by the Committee to a Participant under the Plan which is designated by the Committee as an incentive stock option as described in Section 422 of the Code and otherwise meets the requirements set forth herein.</w:t>
      </w:r>
    </w:p>
    <w:p>
      <w:pPr>
        <w:spacing w:after="0" w:line="115" w:lineRule="exact"/>
        <w:rPr>
          <w:rFonts w:ascii="Arial" w:cs="Arial" w:eastAsia="Arial" w:hAnsi="Arial"/>
          <w:sz w:val="17"/>
          <w:szCs w:val="17"/>
          <w:color w:val="auto"/>
        </w:rPr>
      </w:pPr>
    </w:p>
    <w:p>
      <w:pPr>
        <w:ind w:left="160" w:right="79" w:firstLine="673"/>
        <w:spacing w:after="0" w:line="263" w:lineRule="auto"/>
        <w:tabs>
          <w:tab w:leader="none" w:pos="151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“Nonqualified Stock Option” means an Option granted by the Committee to a Participant under the Plan which is not designated by the Committee as an Incentive Stock Option.</w:t>
      </w:r>
    </w:p>
    <w:p>
      <w:pPr>
        <w:spacing w:after="0" w:line="122" w:lineRule="exact"/>
        <w:rPr>
          <w:rFonts w:ascii="Arial" w:cs="Arial" w:eastAsia="Arial" w:hAnsi="Arial"/>
          <w:sz w:val="17"/>
          <w:szCs w:val="17"/>
          <w:color w:val="auto"/>
        </w:rPr>
      </w:pPr>
    </w:p>
    <w:p>
      <w:pPr>
        <w:ind w:left="1520" w:hanging="687"/>
        <w:spacing w:after="0"/>
        <w:tabs>
          <w:tab w:leader="none" w:pos="15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“Option” means an Award granted under Section 7 of the Plan.</w:t>
      </w:r>
    </w:p>
    <w:p>
      <w:pPr>
        <w:spacing w:after="0" w:line="150" w:lineRule="exact"/>
        <w:rPr>
          <w:rFonts w:ascii="Arial" w:cs="Arial" w:eastAsia="Arial" w:hAnsi="Arial"/>
          <w:sz w:val="17"/>
          <w:szCs w:val="17"/>
          <w:color w:val="auto"/>
        </w:rPr>
      </w:pPr>
    </w:p>
    <w:p>
      <w:pPr>
        <w:ind w:left="1520" w:hanging="687"/>
        <w:spacing w:after="0"/>
        <w:tabs>
          <w:tab w:leader="none" w:pos="15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“Option Period” means the period described in Section 7(c) of the Plan.</w:t>
      </w:r>
    </w:p>
    <w:p>
      <w:pPr>
        <w:spacing w:after="0" w:line="137" w:lineRule="exact"/>
        <w:rPr>
          <w:rFonts w:ascii="Arial" w:cs="Arial" w:eastAsia="Arial" w:hAnsi="Arial"/>
          <w:sz w:val="17"/>
          <w:szCs w:val="17"/>
          <w:color w:val="auto"/>
        </w:rPr>
      </w:pPr>
    </w:p>
    <w:p>
      <w:pPr>
        <w:ind w:left="1520" w:hanging="687"/>
        <w:spacing w:after="0"/>
        <w:tabs>
          <w:tab w:leader="none" w:pos="15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“Option Price” means the exercise price for an Option as described in Section 7(a) of the Plan.</w:t>
      </w:r>
    </w:p>
    <w:p>
      <w:pPr>
        <w:spacing w:after="0" w:line="150" w:lineRule="exact"/>
        <w:rPr>
          <w:rFonts w:ascii="Arial" w:cs="Arial" w:eastAsia="Arial" w:hAnsi="Arial"/>
          <w:sz w:val="17"/>
          <w:szCs w:val="17"/>
          <w:color w:val="auto"/>
        </w:rPr>
      </w:pPr>
    </w:p>
    <w:p>
      <w:pPr>
        <w:ind w:left="160" w:right="79" w:firstLine="673"/>
        <w:spacing w:after="0" w:line="263" w:lineRule="auto"/>
        <w:tabs>
          <w:tab w:leader="none" w:pos="151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“Participant” means an Eligible Person who has been selected by the Committee to participate in the Plan and to receive an Award pursuant to Section 6 of the Plan.</w:t>
      </w:r>
    </w:p>
    <w:p>
      <w:pPr>
        <w:spacing w:after="0" w:line="110" w:lineRule="exact"/>
        <w:rPr>
          <w:rFonts w:ascii="Arial" w:cs="Arial" w:eastAsia="Arial" w:hAnsi="Arial"/>
          <w:sz w:val="17"/>
          <w:szCs w:val="17"/>
          <w:color w:val="auto"/>
        </w:rPr>
      </w:pPr>
    </w:p>
    <w:p>
      <w:pPr>
        <w:ind w:left="1520" w:hanging="687"/>
        <w:spacing w:after="0"/>
        <w:tabs>
          <w:tab w:leader="none" w:pos="15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“Parent” means any parent of the Company, as defined in Section 424(e) of the Code.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4" w:name="page95"/>
    <w:bookmarkEnd w:id="94"/>
    <w:p>
      <w:pPr>
        <w:spacing w:after="0" w:line="58" w:lineRule="exact"/>
        <w:rPr>
          <w:sz w:val="20"/>
          <w:szCs w:val="20"/>
          <w:color w:val="auto"/>
        </w:rPr>
      </w:pPr>
    </w:p>
    <w:p>
      <w:pPr>
        <w:jc w:val="both"/>
        <w:ind w:left="160" w:right="59" w:firstLine="673"/>
        <w:spacing w:after="0" w:line="252" w:lineRule="auto"/>
        <w:tabs>
          <w:tab w:leader="none" w:pos="151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“Performance Criteria” shall mean the criterion or criteria that the Committee shall select for purposes of establishing the Performance Goal(s) for a Performance Period with respect to any Award under the Plan. The Performance Criteria that may be used to establish the Performance Goal(s) may be based on the achievement of specific levels of performance of the Company (or Affiliate, division or operational unit of the Company). Performance Criteria, may include, without limitation, any of the following: (i) net earnings or net income (before or after taxes); (ii) basic or diluted earnings per share (before or after taxes); (iii) net revenue or net revenue growth; (iv) gross revenue; (v) new client revenue; (vi) gross profit or gross profit growth; (vii) net operating profit (before or after taxes; (viii) return measures (including, but not limited to, return on assets, capital, invested capital, equity or sales); (ix) cash flow (including, but not limited to, operating cash flow, free cash flow, and cash flow return on capital); (x) earnings before or after taxes, interest, depreciation and/or amortization; (xi) share price (included, but not limited to, growth measures and total stockholder return); and (xii) any other objective or subjective criterion or criteria that the Committee may select from time to time.</w:t>
      </w:r>
    </w:p>
    <w:p>
      <w:pPr>
        <w:spacing w:after="0" w:line="127"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Without limiting the Committee’s authority to select any Performance Criteria as it determines appropriate, any Performance Criteria may be used on an absolute or relative basis to measure the performance of the Company and/or an Affiliate as a whole or any business unit of the Company and/or an Affiliate or any combination thereof, as the Committee may deem appropriate, or any Performance Criteria as compared to the performance of a group of comparable companies, or published or special index that the Committee, in its sole discretion, deems appropriate, or the Company may select Performance Criterion as compared to a selected peer group or published index. Performance goals may also be based on individual performance goals. The Committee also has the authority to provide for accelerated vesting of any Award based on the achievement of Performance Goals pursuant to the Performance Criteria.</w:t>
      </w:r>
    </w:p>
    <w:p>
      <w:pPr>
        <w:spacing w:after="0" w:line="133" w:lineRule="exact"/>
        <w:rPr>
          <w:sz w:val="20"/>
          <w:szCs w:val="20"/>
          <w:color w:val="auto"/>
        </w:rPr>
      </w:pPr>
    </w:p>
    <w:p>
      <w:pPr>
        <w:jc w:val="both"/>
        <w:ind w:left="160" w:right="59" w:firstLine="673"/>
        <w:spacing w:after="0" w:line="251" w:lineRule="auto"/>
        <w:tabs>
          <w:tab w:leader="none" w:pos="1514" w:val="left"/>
        </w:tabs>
        <w:numPr>
          <w:ilvl w:val="1"/>
          <w:numId w:val="116"/>
        </w:numPr>
        <w:rPr>
          <w:rFonts w:ascii="Arial" w:cs="Arial" w:eastAsia="Arial" w:hAnsi="Arial"/>
          <w:sz w:val="17"/>
          <w:szCs w:val="17"/>
          <w:color w:val="auto"/>
        </w:rPr>
      </w:pPr>
      <w:r>
        <w:rPr>
          <w:rFonts w:ascii="Arial" w:cs="Arial" w:eastAsia="Arial" w:hAnsi="Arial"/>
          <w:sz w:val="17"/>
          <w:szCs w:val="17"/>
          <w:color w:val="auto"/>
        </w:rPr>
        <w:t>“Performance Goals” shall mean, for a Performance Period, the one or more goals established by the Committee for the Performance Period based upon the Performance Criteria. The Committee is authorized at any time during a Performance Period, in its sole and absolute discretion, to adjust or modify the calculation of a Performance Goal for such Performance Period based on the occurrence of any of following events: (i) asset write downs; (ii) litigation or claim judgments or settlements; (iii) the effect of changes in tax laws, accounting principles, or other laws or regulatory rules affecting reported result; (iv) any reorganization or restructuring programs; (v) extraordinary nonrecurring items as described in Accounting Principles Board Opinion No. 30 (or any successor pronouncement thereto) or unusual or infrequently occurring items pursuant to Accounting Standards Update 2015-01 (or any successor pronouncement thereto) and/or in management’s discussion and analysis of financial conditions and results of operations appearing in the Company’s annual report to stockholders for the applicable year; (vi) acquisitions or divestitures; (vii) any other specific unusual or nonrecurring events, or objectively determinable category thereof; (viii) foreign exchange gains or losses; (ix) a change in the Company’s fiscal year; or</w:t>
      </w:r>
    </w:p>
    <w:p>
      <w:pPr>
        <w:spacing w:after="0" w:line="8" w:lineRule="exact"/>
        <w:rPr>
          <w:rFonts w:ascii="Arial" w:cs="Arial" w:eastAsia="Arial" w:hAnsi="Arial"/>
          <w:sz w:val="17"/>
          <w:szCs w:val="17"/>
          <w:color w:val="auto"/>
        </w:rPr>
      </w:pPr>
    </w:p>
    <w:p>
      <w:pPr>
        <w:ind w:left="400" w:hanging="244"/>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any other event or circumstance the Committee deems appropriate.</w:t>
      </w:r>
    </w:p>
    <w:p>
      <w:pPr>
        <w:spacing w:after="0" w:line="150" w:lineRule="exact"/>
        <w:rPr>
          <w:rFonts w:ascii="Arial" w:cs="Arial" w:eastAsia="Arial" w:hAnsi="Arial"/>
          <w:sz w:val="17"/>
          <w:szCs w:val="17"/>
          <w:color w:val="auto"/>
        </w:rPr>
      </w:pPr>
    </w:p>
    <w:p>
      <w:pPr>
        <w:jc w:val="both"/>
        <w:ind w:left="160" w:right="59" w:firstLine="673"/>
        <w:spacing w:after="0" w:line="257" w:lineRule="auto"/>
        <w:tabs>
          <w:tab w:leader="none" w:pos="1514" w:val="left"/>
        </w:tabs>
        <w:numPr>
          <w:ilvl w:val="1"/>
          <w:numId w:val="117"/>
        </w:numPr>
        <w:rPr>
          <w:rFonts w:ascii="Arial" w:cs="Arial" w:eastAsia="Arial" w:hAnsi="Arial"/>
          <w:sz w:val="17"/>
          <w:szCs w:val="17"/>
          <w:color w:val="auto"/>
        </w:rPr>
      </w:pPr>
      <w:r>
        <w:rPr>
          <w:rFonts w:ascii="Arial" w:cs="Arial" w:eastAsia="Arial" w:hAnsi="Arial"/>
          <w:sz w:val="17"/>
          <w:szCs w:val="17"/>
          <w:color w:val="auto"/>
        </w:rPr>
        <w:t>“Performance Period” shall mean the one or more periods of time, as the Committee may select, over which the attainment of one or more Performance Goals will be measured for the purpose of determining a Participant’s right to and the payment of an Award.</w:t>
      </w:r>
    </w:p>
    <w:p>
      <w:pPr>
        <w:spacing w:after="0" w:line="115" w:lineRule="exact"/>
        <w:rPr>
          <w:rFonts w:ascii="Arial" w:cs="Arial" w:eastAsia="Arial" w:hAnsi="Arial"/>
          <w:sz w:val="17"/>
          <w:szCs w:val="17"/>
          <w:color w:val="auto"/>
        </w:rPr>
      </w:pPr>
    </w:p>
    <w:p>
      <w:pPr>
        <w:ind w:left="160" w:right="79" w:firstLine="673"/>
        <w:spacing w:after="0" w:line="263" w:lineRule="auto"/>
        <w:tabs>
          <w:tab w:leader="none" w:pos="1514" w:val="left"/>
        </w:tabs>
        <w:numPr>
          <w:ilvl w:val="1"/>
          <w:numId w:val="117"/>
        </w:numPr>
        <w:rPr>
          <w:rFonts w:ascii="Arial" w:cs="Arial" w:eastAsia="Arial" w:hAnsi="Arial"/>
          <w:sz w:val="17"/>
          <w:szCs w:val="17"/>
          <w:color w:val="auto"/>
        </w:rPr>
      </w:pPr>
      <w:r>
        <w:rPr>
          <w:rFonts w:ascii="Arial" w:cs="Arial" w:eastAsia="Arial" w:hAnsi="Arial"/>
          <w:sz w:val="17"/>
          <w:szCs w:val="17"/>
          <w:color w:val="auto"/>
        </w:rPr>
        <w:t>“Phantom Stock Award” shall mean a cash award whose value is determined based on the change in the value of the Company Common Stock from the Effective Date.</w:t>
      </w:r>
    </w:p>
    <w:p>
      <w:pPr>
        <w:spacing w:after="0" w:line="122" w:lineRule="exact"/>
        <w:rPr>
          <w:rFonts w:ascii="Arial" w:cs="Arial" w:eastAsia="Arial" w:hAnsi="Arial"/>
          <w:sz w:val="17"/>
          <w:szCs w:val="17"/>
          <w:color w:val="auto"/>
        </w:rPr>
      </w:pPr>
    </w:p>
    <w:p>
      <w:pPr>
        <w:ind w:left="1520" w:hanging="687"/>
        <w:spacing w:after="0"/>
        <w:tabs>
          <w:tab w:leader="none" w:pos="152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“Plan” means this ExlService Holdings, Inc. 2018 Omnibus Incentive Plan, as may be amended</w:t>
      </w:r>
    </w:p>
    <w:p>
      <w:pPr>
        <w:spacing w:after="0" w:line="9"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7"/>
          <w:szCs w:val="17"/>
          <w:color w:val="auto"/>
        </w:rPr>
        <w:t>from time to time.</w:t>
      </w:r>
    </w:p>
    <w:p>
      <w:pPr>
        <w:spacing w:after="0" w:line="150" w:lineRule="exact"/>
        <w:rPr>
          <w:rFonts w:ascii="Arial" w:cs="Arial" w:eastAsia="Arial" w:hAnsi="Arial"/>
          <w:sz w:val="17"/>
          <w:szCs w:val="17"/>
          <w:color w:val="auto"/>
        </w:rPr>
      </w:pPr>
    </w:p>
    <w:p>
      <w:pPr>
        <w:ind w:left="1520" w:hanging="687"/>
        <w:spacing w:after="0"/>
        <w:tabs>
          <w:tab w:leader="none" w:pos="152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“Prior Plan” has the meaning given to it in Section 1 of this Plan.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5" w:name="page96"/>
    <w:bookmarkEnd w:id="95"/>
    <w:p>
      <w:pPr>
        <w:spacing w:after="0" w:line="58" w:lineRule="exact"/>
        <w:rPr>
          <w:sz w:val="20"/>
          <w:szCs w:val="20"/>
          <w:color w:val="auto"/>
        </w:rPr>
      </w:pPr>
    </w:p>
    <w:p>
      <w:pPr>
        <w:jc w:val="both"/>
        <w:ind w:left="160" w:right="59" w:firstLine="673"/>
        <w:spacing w:after="0" w:line="255" w:lineRule="auto"/>
        <w:tabs>
          <w:tab w:leader="none" w:pos="151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“Restricted Period” means, with respect to any Award of Restricted Stock or any Restricted Stock Unit, the period of time determined by the Committee during which such Award is subject to the restrictions set forth in Section 9 or, as applicable, the period of time within which performance is measured for purposes of determining whether an Award has been earned.</w:t>
      </w:r>
    </w:p>
    <w:p>
      <w:pPr>
        <w:spacing w:after="0" w:line="117" w:lineRule="exact"/>
        <w:rPr>
          <w:rFonts w:ascii="Arial" w:cs="Arial" w:eastAsia="Arial" w:hAnsi="Arial"/>
          <w:sz w:val="17"/>
          <w:szCs w:val="17"/>
          <w:color w:val="auto"/>
        </w:rPr>
      </w:pPr>
    </w:p>
    <w:p>
      <w:pPr>
        <w:ind w:left="160" w:right="59" w:firstLine="673"/>
        <w:spacing w:after="0" w:line="263" w:lineRule="auto"/>
        <w:tabs>
          <w:tab w:leader="none" w:pos="151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“Restricted Stock” means shares of Stock issued or transferred to a Participant subject to forfeiture and the other restrictions set forth in Section 9 of the Plan.</w:t>
      </w:r>
    </w:p>
    <w:p>
      <w:pPr>
        <w:spacing w:after="0" w:line="122" w:lineRule="exact"/>
        <w:rPr>
          <w:rFonts w:ascii="Arial" w:cs="Arial" w:eastAsia="Arial" w:hAnsi="Arial"/>
          <w:sz w:val="17"/>
          <w:szCs w:val="17"/>
          <w:color w:val="auto"/>
        </w:rPr>
      </w:pPr>
    </w:p>
    <w:p>
      <w:pPr>
        <w:ind w:left="160" w:right="79" w:firstLine="673"/>
        <w:spacing w:after="0" w:line="263" w:lineRule="auto"/>
        <w:tabs>
          <w:tab w:leader="none" w:pos="151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“Restricted Stock Unit” means a hypothetical investment equivalent to one share of Stock granted in connection with an Award made under Section 9.</w:t>
      </w:r>
    </w:p>
    <w:p>
      <w:pPr>
        <w:spacing w:after="0" w:line="122" w:lineRule="exact"/>
        <w:rPr>
          <w:rFonts w:ascii="Arial" w:cs="Arial" w:eastAsia="Arial" w:hAnsi="Arial"/>
          <w:sz w:val="17"/>
          <w:szCs w:val="17"/>
          <w:color w:val="auto"/>
        </w:rPr>
      </w:pPr>
    </w:p>
    <w:p>
      <w:pPr>
        <w:ind w:left="1520" w:hanging="687"/>
        <w:spacing w:after="0"/>
        <w:tabs>
          <w:tab w:leader="none" w:pos="152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“Securities Act” means the Securities Act of 1933, as amended.</w:t>
      </w:r>
    </w:p>
    <w:p>
      <w:pPr>
        <w:spacing w:after="0" w:line="137" w:lineRule="exact"/>
        <w:rPr>
          <w:rFonts w:ascii="Arial" w:cs="Arial" w:eastAsia="Arial" w:hAnsi="Arial"/>
          <w:sz w:val="17"/>
          <w:szCs w:val="17"/>
          <w:color w:val="auto"/>
        </w:rPr>
      </w:pPr>
    </w:p>
    <w:p>
      <w:pPr>
        <w:ind w:left="160" w:right="59" w:firstLine="673"/>
        <w:spacing w:after="0" w:line="263" w:lineRule="auto"/>
        <w:tabs>
          <w:tab w:leader="none" w:pos="151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“Senior Participant” means each of the Chief Executive Officer and the President of the Company and an employee of the Company or an Affiliate that is designated as a member of the Executive Committee.</w:t>
      </w:r>
    </w:p>
    <w:p>
      <w:pPr>
        <w:spacing w:after="0" w:line="122" w:lineRule="exact"/>
        <w:rPr>
          <w:rFonts w:ascii="Arial" w:cs="Arial" w:eastAsia="Arial" w:hAnsi="Arial"/>
          <w:sz w:val="17"/>
          <w:szCs w:val="17"/>
          <w:color w:val="auto"/>
        </w:rPr>
      </w:pPr>
    </w:p>
    <w:p>
      <w:pPr>
        <w:ind w:left="160" w:right="79" w:firstLine="673"/>
        <w:spacing w:after="0" w:line="263" w:lineRule="auto"/>
        <w:tabs>
          <w:tab w:leader="none" w:pos="151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“Stock” means the Common Stock or such other authorized shares of stock of the Company as the Committee may from time to time authorize for use under the Plan.</w:t>
      </w:r>
    </w:p>
    <w:p>
      <w:pPr>
        <w:spacing w:after="0" w:line="122" w:lineRule="exact"/>
        <w:rPr>
          <w:rFonts w:ascii="Arial" w:cs="Arial" w:eastAsia="Arial" w:hAnsi="Arial"/>
          <w:sz w:val="17"/>
          <w:szCs w:val="17"/>
          <w:color w:val="auto"/>
        </w:rPr>
      </w:pPr>
    </w:p>
    <w:p>
      <w:pPr>
        <w:ind w:left="1520" w:hanging="687"/>
        <w:spacing w:after="0"/>
        <w:tabs>
          <w:tab w:leader="none" w:pos="152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“Stock Appreciation Right” or “SAR” means an Award granted under Section 8 of the Plan.</w:t>
      </w:r>
    </w:p>
    <w:p>
      <w:pPr>
        <w:spacing w:after="0" w:line="137" w:lineRule="exact"/>
        <w:rPr>
          <w:rFonts w:ascii="Arial" w:cs="Arial" w:eastAsia="Arial" w:hAnsi="Arial"/>
          <w:sz w:val="17"/>
          <w:szCs w:val="17"/>
          <w:color w:val="auto"/>
        </w:rPr>
      </w:pPr>
    </w:p>
    <w:p>
      <w:pPr>
        <w:ind w:left="1520" w:hanging="687"/>
        <w:spacing w:after="0"/>
        <w:tabs>
          <w:tab w:leader="none" w:pos="152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“Stock Bonus” means an Award granted under Section 10 of the Plan.</w:t>
      </w:r>
    </w:p>
    <w:p>
      <w:pPr>
        <w:spacing w:after="0" w:line="150" w:lineRule="exact"/>
        <w:rPr>
          <w:rFonts w:ascii="Arial" w:cs="Arial" w:eastAsia="Arial" w:hAnsi="Arial"/>
          <w:sz w:val="17"/>
          <w:szCs w:val="17"/>
          <w:color w:val="auto"/>
        </w:rPr>
      </w:pPr>
    </w:p>
    <w:p>
      <w:pPr>
        <w:ind w:left="160" w:right="59" w:firstLine="673"/>
        <w:spacing w:after="0" w:line="263" w:lineRule="auto"/>
        <w:tabs>
          <w:tab w:leader="none" w:pos="151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“Stock Option Agreement” means any agreement between the Company and a Participant who has been granted an Option pursuant to Section 7 which defines the rights and obligations of the parties thereto.</w:t>
      </w:r>
    </w:p>
    <w:p>
      <w:pPr>
        <w:spacing w:after="0" w:line="122" w:lineRule="exact"/>
        <w:rPr>
          <w:rFonts w:ascii="Arial" w:cs="Arial" w:eastAsia="Arial" w:hAnsi="Arial"/>
          <w:sz w:val="17"/>
          <w:szCs w:val="17"/>
          <w:color w:val="auto"/>
        </w:rPr>
      </w:pPr>
    </w:p>
    <w:p>
      <w:pPr>
        <w:jc w:val="both"/>
        <w:ind w:left="160" w:right="79" w:firstLine="673"/>
        <w:spacing w:after="0" w:line="257" w:lineRule="auto"/>
        <w:tabs>
          <w:tab w:leader="none" w:pos="151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“Strike Price” means, (i) in the case of a SAR granted in tandem with an Option, the Option Price of the related Option, or (ii) in the case of a SAR granted independent of an Option, the Fair Market Value on the Date of Grant.</w:t>
      </w:r>
    </w:p>
    <w:p>
      <w:pPr>
        <w:spacing w:after="0" w:line="115" w:lineRule="exact"/>
        <w:rPr>
          <w:rFonts w:ascii="Arial" w:cs="Arial" w:eastAsia="Arial" w:hAnsi="Arial"/>
          <w:sz w:val="17"/>
          <w:szCs w:val="17"/>
          <w:color w:val="auto"/>
        </w:rPr>
      </w:pPr>
    </w:p>
    <w:p>
      <w:pPr>
        <w:ind w:left="1520" w:hanging="687"/>
        <w:spacing w:after="0"/>
        <w:tabs>
          <w:tab w:leader="none" w:pos="152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“Subsidiary” means any subsidiary of the Company, as defined in Section 424(f) of the Code.</w:t>
      </w:r>
    </w:p>
    <w:p>
      <w:pPr>
        <w:spacing w:after="0" w:line="150" w:lineRule="exact"/>
        <w:rPr>
          <w:rFonts w:ascii="Arial" w:cs="Arial" w:eastAsia="Arial" w:hAnsi="Arial"/>
          <w:sz w:val="17"/>
          <w:szCs w:val="17"/>
          <w:color w:val="auto"/>
        </w:rPr>
      </w:pPr>
    </w:p>
    <w:p>
      <w:pPr>
        <w:jc w:val="both"/>
        <w:ind w:left="160" w:right="59" w:firstLine="673"/>
        <w:spacing w:after="0" w:line="257" w:lineRule="auto"/>
        <w:tabs>
          <w:tab w:leader="none" w:pos="151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“Substitute Award” means an Award granted or issued to a Participant in assumption or substitution of outstanding awards by an entity acquired by the Company or any Affiliate or Subsidiary or with which the Company, an Affiliate or a Subsidiary combines.</w:t>
      </w:r>
    </w:p>
    <w:p>
      <w:pPr>
        <w:spacing w:after="0" w:line="115" w:lineRule="exact"/>
        <w:rPr>
          <w:rFonts w:ascii="Arial" w:cs="Arial" w:eastAsia="Arial" w:hAnsi="Arial"/>
          <w:sz w:val="17"/>
          <w:szCs w:val="17"/>
          <w:color w:val="auto"/>
        </w:rPr>
      </w:pPr>
    </w:p>
    <w:p>
      <w:pPr>
        <w:ind w:left="1520" w:hanging="687"/>
        <w:spacing w:after="0"/>
        <w:tabs>
          <w:tab w:leader="none" w:pos="152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“Vested Unit” shall have the meaning ascribed thereto in Section 9(d).</w:t>
      </w:r>
    </w:p>
    <w:p>
      <w:pPr>
        <w:spacing w:after="0" w:line="150" w:lineRule="exact"/>
        <w:rPr>
          <w:rFonts w:ascii="Arial" w:cs="Arial" w:eastAsia="Arial" w:hAnsi="Arial"/>
          <w:sz w:val="17"/>
          <w:szCs w:val="17"/>
          <w:color w:val="auto"/>
        </w:rPr>
      </w:pPr>
    </w:p>
    <w:p>
      <w:pPr>
        <w:ind w:left="160" w:right="79" w:firstLine="673"/>
        <w:spacing w:after="0" w:line="263" w:lineRule="auto"/>
        <w:tabs>
          <w:tab w:leader="none" w:pos="151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“Vice President Participant” means an employee of the Company or an Affiliate holding the office of vice president or any office senior or the office of vice president.</w:t>
      </w:r>
    </w:p>
    <w:p>
      <w:pPr>
        <w:spacing w:after="0" w:line="102" w:lineRule="exact"/>
        <w:rPr>
          <w:rFonts w:ascii="Arial" w:cs="Arial" w:eastAsia="Arial" w:hAnsi="Arial"/>
          <w:sz w:val="17"/>
          <w:szCs w:val="17"/>
          <w:color w:val="auto"/>
        </w:rPr>
      </w:pPr>
    </w:p>
    <w:p>
      <w:pPr>
        <w:ind w:left="840" w:hanging="684"/>
        <w:spacing w:after="0"/>
        <w:tabs>
          <w:tab w:leader="none" w:pos="84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Effective Date, Duration and Stockholder Approval</w:t>
      </w:r>
    </w:p>
    <w:p>
      <w:pPr>
        <w:spacing w:after="0" w:line="158" w:lineRule="exact"/>
        <w:rPr>
          <w:sz w:val="20"/>
          <w:szCs w:val="20"/>
          <w:color w:val="auto"/>
        </w:rPr>
      </w:pPr>
    </w:p>
    <w:p>
      <w:pPr>
        <w:jc w:val="both"/>
        <w:ind w:left="160" w:right="59" w:firstLine="677"/>
        <w:spacing w:after="0" w:line="254" w:lineRule="auto"/>
        <w:rPr>
          <w:sz w:val="20"/>
          <w:szCs w:val="20"/>
          <w:color w:val="auto"/>
        </w:rPr>
      </w:pPr>
      <w:r>
        <w:rPr>
          <w:rFonts w:ascii="Arial" w:cs="Arial" w:eastAsia="Arial" w:hAnsi="Arial"/>
          <w:sz w:val="17"/>
          <w:szCs w:val="17"/>
          <w:color w:val="auto"/>
        </w:rPr>
        <w:t>The Plan is effective as of the Effective Date. No Option shall be treated as an Incentive Stock Option unless the Plan has been approved by the stockholders of the Company in a manner intended to comply with the stockholder approval requirements of Section 422(b)(i) of the Code; provided, that any Option intended to be an Incentive Stock Option shall not fail to be effective solely on account of a failure to obtain such approval, but rather such Option shall be treated as a Nonqualified Stock Option unless and until such approval is obtained.</w:t>
      </w:r>
    </w:p>
    <w:p>
      <w:pPr>
        <w:spacing w:after="0" w:line="132" w:lineRule="exact"/>
        <w:rPr>
          <w:sz w:val="20"/>
          <w:szCs w:val="20"/>
          <w:color w:val="auto"/>
        </w:rPr>
      </w:pPr>
    </w:p>
    <w:p>
      <w:pPr>
        <w:jc w:val="both"/>
        <w:ind w:left="160" w:right="59" w:firstLine="677"/>
        <w:spacing w:after="0" w:line="257" w:lineRule="auto"/>
        <w:rPr>
          <w:sz w:val="20"/>
          <w:szCs w:val="20"/>
          <w:color w:val="auto"/>
        </w:rPr>
      </w:pPr>
      <w:r>
        <w:rPr>
          <w:rFonts w:ascii="Arial" w:cs="Arial" w:eastAsia="Arial" w:hAnsi="Arial"/>
          <w:sz w:val="17"/>
          <w:szCs w:val="17"/>
          <w:color w:val="auto"/>
        </w:rPr>
        <w:t>The expiration date of the Plan, on and after which no Awards may be granted hereunder, shall be the tenth anniversary of the Effective Date; provided, however, that the administration of the Plan shall continue in effect until all matters relating to Awards previously granted have been settled.</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6" w:name="page97"/>
    <w:bookmarkEnd w:id="96"/>
    <w:p>
      <w:pPr>
        <w:spacing w:after="0" w:line="38" w:lineRule="exact"/>
        <w:rPr>
          <w:sz w:val="20"/>
          <w:szCs w:val="20"/>
          <w:color w:val="auto"/>
        </w:rPr>
      </w:pPr>
    </w:p>
    <w:p>
      <w:pPr>
        <w:ind w:left="840" w:hanging="684"/>
        <w:spacing w:after="0"/>
        <w:tabs>
          <w:tab w:leader="none" w:pos="84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w:t>
      </w:r>
    </w:p>
    <w:p>
      <w:pPr>
        <w:spacing w:after="0" w:line="157" w:lineRule="exact"/>
        <w:rPr>
          <w:rFonts w:ascii="Arial" w:cs="Arial" w:eastAsia="Arial" w:hAnsi="Arial"/>
          <w:sz w:val="17"/>
          <w:szCs w:val="17"/>
          <w:b w:val="1"/>
          <w:bCs w:val="1"/>
          <w:color w:val="auto"/>
        </w:rPr>
      </w:pPr>
    </w:p>
    <w:p>
      <w:pPr>
        <w:jc w:val="both"/>
        <w:ind w:left="160" w:right="59" w:firstLine="673"/>
        <w:spacing w:after="0" w:line="257" w:lineRule="auto"/>
        <w:tabs>
          <w:tab w:leader="none" w:pos="1514"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Committee shall administer the Plan. The majority of the members of the Committee shall constitute a quorum. The acts of a majority of the members present at any meeting at which a quorum is present or acts approved in writing by a majority of the Committee shall be deemed the acts of the Committee.</w:t>
      </w:r>
    </w:p>
    <w:p>
      <w:pPr>
        <w:spacing w:after="0" w:line="128" w:lineRule="exact"/>
        <w:rPr>
          <w:rFonts w:ascii="Arial" w:cs="Arial" w:eastAsia="Arial" w:hAnsi="Arial"/>
          <w:sz w:val="17"/>
          <w:szCs w:val="17"/>
          <w:color w:val="auto"/>
        </w:rPr>
      </w:pPr>
    </w:p>
    <w:p>
      <w:pPr>
        <w:jc w:val="both"/>
        <w:ind w:left="160" w:right="59" w:firstLine="673"/>
        <w:spacing w:after="0" w:line="252" w:lineRule="auto"/>
        <w:tabs>
          <w:tab w:leader="none" w:pos="1514" w:val="left"/>
        </w:tabs>
        <w:numPr>
          <w:ilvl w:val="1"/>
          <w:numId w:val="120"/>
        </w:numPr>
        <w:rPr>
          <w:rFonts w:ascii="Arial" w:cs="Arial" w:eastAsia="Arial" w:hAnsi="Arial"/>
          <w:sz w:val="17"/>
          <w:szCs w:val="17"/>
          <w:color w:val="auto"/>
        </w:rPr>
      </w:pPr>
      <w:r>
        <w:rPr>
          <w:rFonts w:ascii="Arial" w:cs="Arial" w:eastAsia="Arial" w:hAnsi="Arial"/>
          <w:sz w:val="17"/>
          <w:szCs w:val="17"/>
          <w:color w:val="auto"/>
        </w:rPr>
        <w:t>Subject to the provisions of the Plan and applicable law, the Committee shall have the power, and in addition to other express powers and authorizations conferred on the Committee by the Plan, to: (i) designate Participants; (ii) determine the type or types of Awards to be granted to a Participant; (iii) determine the number of shares of Stock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of Stock, other securities, other Awards or other property, or canceled, forfeited, or suspended and the method or methods by which Awards may be settled, exercised, canceled, forfeited, or suspended; (vi) determine whether, to what extent, and under what circumstances the delivery of cash, Stock, other securities, other Options, other property and other amounts payable with respect to an Award shall be deferred either automatically or at the election of the holder thereof or of the Committee; (vii) accelerate the exercisability of any option or SAR and to remove any restriction on any Award; (viii) interpret, administer, reconcile any inconsistency, correct any defect and/or supply any omission in the Plan and any instrument or agreement relating to, or Award granted under, the Plan; (ix) establish, amend, suspend, or waive such rules and regulations; (x) appoint such agents as it shall deem appropriate for the proper administration of the Plan; and (xi) make any other determination and take any other action that the Committee deems necessary or desirable for the administration of the Plan.</w:t>
      </w:r>
    </w:p>
    <w:p>
      <w:pPr>
        <w:spacing w:after="0" w:line="139" w:lineRule="exact"/>
        <w:rPr>
          <w:rFonts w:ascii="Arial" w:cs="Arial" w:eastAsia="Arial" w:hAnsi="Arial"/>
          <w:sz w:val="17"/>
          <w:szCs w:val="17"/>
          <w:color w:val="auto"/>
        </w:rPr>
      </w:pPr>
    </w:p>
    <w:p>
      <w:pPr>
        <w:jc w:val="both"/>
        <w:ind w:left="160" w:right="59" w:firstLine="673"/>
        <w:spacing w:after="0" w:line="255" w:lineRule="auto"/>
        <w:tabs>
          <w:tab w:leader="none" w:pos="1514" w:val="left"/>
        </w:tabs>
        <w:numPr>
          <w:ilvl w:val="1"/>
          <w:numId w:val="120"/>
        </w:numPr>
        <w:rPr>
          <w:rFonts w:ascii="Arial" w:cs="Arial" w:eastAsia="Arial" w:hAnsi="Arial"/>
          <w:sz w:val="17"/>
          <w:szCs w:val="17"/>
          <w:color w:val="auto"/>
        </w:rPr>
      </w:pPr>
      <w:r>
        <w:rPr>
          <w:rFonts w:ascii="Arial" w:cs="Arial" w:eastAsia="Arial" w:hAnsi="Arial"/>
          <w:sz w:val="17"/>
          <w:szCs w:val="17"/>
          <w:color w:val="auto"/>
        </w:rPr>
        <w:t>Notwithstanding the foregoing, the Committee may delegate to any officer or officers of the Company or any Affiliate the authority to act on behalf of the Committee with respect to any matter, right, obligation, or election which is the responsibility of or which is allocated to the Committee herein, and which may be so delegated as a matter of law, except for grants of Awards to persons subject to Section 16 of the 1934 Act.</w:t>
      </w:r>
    </w:p>
    <w:p>
      <w:pPr>
        <w:spacing w:after="0" w:line="117" w:lineRule="exact"/>
        <w:rPr>
          <w:rFonts w:ascii="Arial" w:cs="Arial" w:eastAsia="Arial" w:hAnsi="Arial"/>
          <w:sz w:val="17"/>
          <w:szCs w:val="17"/>
          <w:color w:val="auto"/>
        </w:rPr>
      </w:pPr>
    </w:p>
    <w:p>
      <w:pPr>
        <w:jc w:val="both"/>
        <w:ind w:left="160" w:right="59" w:firstLine="673"/>
        <w:spacing w:after="0" w:line="254" w:lineRule="auto"/>
        <w:tabs>
          <w:tab w:leader="none" w:pos="1514" w:val="left"/>
        </w:tabs>
        <w:numPr>
          <w:ilvl w:val="1"/>
          <w:numId w:val="120"/>
        </w:numPr>
        <w:rPr>
          <w:rFonts w:ascii="Arial" w:cs="Arial" w:eastAsia="Arial" w:hAnsi="Arial"/>
          <w:sz w:val="17"/>
          <w:szCs w:val="17"/>
          <w:color w:val="auto"/>
        </w:rPr>
      </w:pPr>
      <w:r>
        <w:rPr>
          <w:rFonts w:ascii="Arial" w:cs="Arial" w:eastAsia="Arial" w:hAnsi="Arial"/>
          <w:sz w:val="17"/>
          <w:szCs w:val="17"/>
          <w:color w:val="auto"/>
        </w:rPr>
        <w:t>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parties, including, without limitation, the Company, any Affiliate, any Participant, any holder or beneficiary of any Award, and any stockholder.</w:t>
      </w:r>
    </w:p>
    <w:p>
      <w:pPr>
        <w:spacing w:after="0" w:line="132" w:lineRule="exact"/>
        <w:rPr>
          <w:rFonts w:ascii="Arial" w:cs="Arial" w:eastAsia="Arial" w:hAnsi="Arial"/>
          <w:sz w:val="17"/>
          <w:szCs w:val="17"/>
          <w:color w:val="auto"/>
        </w:rPr>
      </w:pPr>
    </w:p>
    <w:p>
      <w:pPr>
        <w:jc w:val="both"/>
        <w:ind w:left="160" w:right="59" w:firstLine="673"/>
        <w:spacing w:after="0" w:line="257" w:lineRule="auto"/>
        <w:tabs>
          <w:tab w:leader="none" w:pos="1514" w:val="left"/>
        </w:tabs>
        <w:numPr>
          <w:ilvl w:val="1"/>
          <w:numId w:val="120"/>
        </w:numPr>
        <w:rPr>
          <w:rFonts w:ascii="Arial" w:cs="Arial" w:eastAsia="Arial" w:hAnsi="Arial"/>
          <w:sz w:val="17"/>
          <w:szCs w:val="17"/>
          <w:color w:val="auto"/>
        </w:rPr>
      </w:pPr>
      <w:r>
        <w:rPr>
          <w:rFonts w:ascii="Arial" w:cs="Arial" w:eastAsia="Arial" w:hAnsi="Arial"/>
          <w:sz w:val="17"/>
          <w:szCs w:val="17"/>
          <w:color w:val="auto"/>
        </w:rPr>
        <w:t>No member of the Board, Committee or any officer or employee to whom authority has been delegated administrative authority shall be liable for any action or determination made in good faith with respect to the Plan or any Award hereunder.</w:t>
      </w:r>
    </w:p>
    <w:p>
      <w:pPr>
        <w:spacing w:after="0" w:line="108" w:lineRule="exact"/>
        <w:rPr>
          <w:rFonts w:ascii="Arial" w:cs="Arial" w:eastAsia="Arial" w:hAnsi="Arial"/>
          <w:sz w:val="17"/>
          <w:szCs w:val="17"/>
          <w:color w:val="auto"/>
        </w:rPr>
      </w:pPr>
    </w:p>
    <w:p>
      <w:pPr>
        <w:ind w:left="840" w:hanging="684"/>
        <w:spacing w:after="0"/>
        <w:tabs>
          <w:tab w:leader="none" w:pos="84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Grant of Awards; Shares Subject to the Plan</w:t>
      </w:r>
    </w:p>
    <w:p>
      <w:pPr>
        <w:spacing w:after="0" w:line="158" w:lineRule="exact"/>
        <w:rPr>
          <w:sz w:val="20"/>
          <w:szCs w:val="20"/>
          <w:color w:val="auto"/>
        </w:rPr>
      </w:pPr>
    </w:p>
    <w:p>
      <w:pPr>
        <w:jc w:val="both"/>
        <w:ind w:left="160" w:right="59" w:firstLine="677"/>
        <w:spacing w:after="0" w:line="257" w:lineRule="auto"/>
        <w:rPr>
          <w:sz w:val="20"/>
          <w:szCs w:val="20"/>
          <w:color w:val="auto"/>
        </w:rPr>
      </w:pPr>
      <w:r>
        <w:rPr>
          <w:rFonts w:ascii="Arial" w:cs="Arial" w:eastAsia="Arial" w:hAnsi="Arial"/>
          <w:sz w:val="17"/>
          <w:szCs w:val="17"/>
          <w:color w:val="auto"/>
        </w:rPr>
        <w:t xml:space="preserve">The Committee may, from time to time, grant Awards of Options, Stock Appreciation Rights, Restricted Stock, Restricted Stock Units, Phantom Stock Awards, Stock Bonuses and/or Cash Bonus Awards to one or more Eligible Persons;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w:t>
      </w:r>
    </w:p>
    <w:p>
      <w:pPr>
        <w:spacing w:after="0" w:line="128" w:lineRule="exact"/>
        <w:rPr>
          <w:sz w:val="20"/>
          <w:szCs w:val="20"/>
          <w:color w:val="auto"/>
        </w:rPr>
      </w:pPr>
    </w:p>
    <w:p>
      <w:pPr>
        <w:jc w:val="both"/>
        <w:ind w:left="160" w:right="59" w:firstLine="673"/>
        <w:spacing w:after="0" w:line="254" w:lineRule="auto"/>
        <w:tabs>
          <w:tab w:leader="none" w:pos="151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Subject to Section 13, the aggregate number of shares of Stock in respect of which Awards may be granted under the Plan as of the Effective Date is (i) 3,175,000 shares of Stock, minus (ii) one (1) share of Stock for every one (1) share of Stock subject to an award granted under the Prior Plan after March 15, 2018. Any shares of Stock subject to an award under the Prior Plan and that expires, is forfeited, otherwise terminates, or is settled in cash, after March 15, 2018, shall be added to the shares of Stock reserved for issuance under the Plan.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7" w:name="page98"/>
    <w:bookmarkEnd w:id="97"/>
    <w:p>
      <w:pPr>
        <w:spacing w:after="0" w:line="58" w:lineRule="exact"/>
        <w:rPr>
          <w:sz w:val="20"/>
          <w:szCs w:val="20"/>
          <w:color w:val="auto"/>
        </w:rPr>
      </w:pPr>
    </w:p>
    <w:p>
      <w:pPr>
        <w:jc w:val="both"/>
        <w:ind w:left="160" w:right="59" w:firstLine="673"/>
        <w:spacing w:after="0" w:line="252" w:lineRule="auto"/>
        <w:tabs>
          <w:tab w:leader="none" w:pos="151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Shares of Stock shall not be deemed to have been used in settlement of Awards in the event the Award is settled in cash. Shares of Stock delivered (either directly or by means of attestation) in full or partial satisfaction of applicable tax withholding obligations or withheld by the Company in full or partial satisfaction of applicable tax withholding obligations for any Award, other than an Option or a SAR, shall be deducted from the number of shares of Stock delivered to a Participant pursuant to such Award for purposes of determining the number of shares of Stock acquired pursuant to the Plan. If and to the extent an Award under the Plan expires, terminates or is canceled for any reason whatsoever without the Participant having received any benefit therefrom, the shares covered by such Award shall again become available for future Awards under the Plan. For purposes of the foregoing sentence, a Participant shall not be deemed to have received any “benefit” (i) in the case of forfeited Restricted Stock Awards by reason of having enjoyed voting rights and dividend rights prior to the date of forfeiture or (ii) in the case of an Award canceled pursuant to Section 5(e) by reason of a new Award being granted in substitution therefor. Notwithstanding any to the contrary contained herein, the following shares of Stock shall not be added to the shares of Stock authorized for grant under this Section 5(a): (A) shares of Stock tendered by the Participant or withheld by the Company in payment of the purchase price of an Option or, after March 15, 2018, an option under the Prior Plan; (B) shares of Stock tendered by the Participant or withheld by the Company to satisfy applicable tax withholding obligations with respect to Options or SARS, or after March 15, 2018, options or SARs under the Prior Plan; (C) shares of Stock subject to a SAR, or after March 15, 2018, a stock appreciation right under the Prior Plan that are not issued in connection with its stock settlement or exercise thereof; and (D) shares of Stock reacquired by the Company on the open market or otherwise using cash proceeds from the exercise of Options or, after March 15, 2018, options under the Prior Plan.</w:t>
      </w:r>
    </w:p>
    <w:p>
      <w:pPr>
        <w:spacing w:after="0" w:line="125" w:lineRule="exact"/>
        <w:rPr>
          <w:rFonts w:ascii="Arial" w:cs="Arial" w:eastAsia="Arial" w:hAnsi="Arial"/>
          <w:sz w:val="17"/>
          <w:szCs w:val="17"/>
          <w:color w:val="auto"/>
        </w:rPr>
      </w:pPr>
    </w:p>
    <w:p>
      <w:pPr>
        <w:jc w:val="both"/>
        <w:ind w:left="160" w:right="59" w:firstLine="673"/>
        <w:spacing w:after="0" w:line="257" w:lineRule="auto"/>
        <w:tabs>
          <w:tab w:leader="none" w:pos="151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Stock delivered by the Company in settlement of Awards may be authorized and unissued Stock, Stock held in the treasury of the Company, Stock purchased on the open market or by private purchase, or a combination of the foregoing.</w:t>
      </w:r>
    </w:p>
    <w:p>
      <w:pPr>
        <w:spacing w:after="0" w:line="128" w:lineRule="exact"/>
        <w:rPr>
          <w:rFonts w:ascii="Arial" w:cs="Arial" w:eastAsia="Arial" w:hAnsi="Arial"/>
          <w:sz w:val="17"/>
          <w:szCs w:val="17"/>
          <w:color w:val="auto"/>
        </w:rPr>
      </w:pPr>
    </w:p>
    <w:p>
      <w:pPr>
        <w:jc w:val="both"/>
        <w:ind w:left="160" w:right="59" w:firstLine="673"/>
        <w:spacing w:after="0" w:line="253" w:lineRule="auto"/>
        <w:tabs>
          <w:tab w:leader="none" w:pos="151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Subject to Section 13, (i) no person may be granted Options or SARs under the Plan during any calendar year with respect to more than 500,000 shares of Stock, (ii) the maximum number of time-based Restricted Stock, Restricted Stock Units, Phantom Stock Awards or Stock Bonuses that may be granted to any one Participant under the Plan in a calendar year is 500,000 shares of Stock or, in the event such Award is paid in cash, the equivalent cash value thereof on the date of vesting, and (iii) the maximum number of performance-based Restricted Stock, Restricted Stock Units, Phantom Stock Awards or Stock Bonuses that may be granted to any one Participant under the Plan in a calendar year is 500,000 shares of Stock or, in the event such Award is paid in cash, the equivalent cash value thereof on the date of vesting. The maximum amount that can be paid in any calendar year to any Participant pursuant to a Cash Bonus Award described in Section 11 shall be $10,000,000.</w:t>
      </w:r>
    </w:p>
    <w:p>
      <w:pPr>
        <w:spacing w:after="0" w:line="132" w:lineRule="exact"/>
        <w:rPr>
          <w:rFonts w:ascii="Arial" w:cs="Arial" w:eastAsia="Arial" w:hAnsi="Arial"/>
          <w:sz w:val="17"/>
          <w:szCs w:val="17"/>
          <w:color w:val="auto"/>
        </w:rPr>
      </w:pPr>
    </w:p>
    <w:p>
      <w:pPr>
        <w:jc w:val="both"/>
        <w:ind w:left="160" w:right="59" w:firstLine="673"/>
        <w:spacing w:after="0" w:line="255" w:lineRule="auto"/>
        <w:tabs>
          <w:tab w:leader="none" w:pos="151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Without limiting the generality of the preceding provisions of this Section 5, the Committee may, but solely with the Participant’s consent, agree to cancel any Award under the Plan and issue a new Award in substitution therefor upon such terms as the Committee may in its sole discretion determine, provided that the substituted Award satisfies all applicable Plan requirements as of the date such new Award is granted.</w:t>
      </w:r>
    </w:p>
    <w:p>
      <w:pPr>
        <w:spacing w:after="0" w:line="117" w:lineRule="exact"/>
        <w:rPr>
          <w:rFonts w:ascii="Arial" w:cs="Arial" w:eastAsia="Arial" w:hAnsi="Arial"/>
          <w:sz w:val="17"/>
          <w:szCs w:val="17"/>
          <w:color w:val="auto"/>
        </w:rPr>
      </w:pPr>
    </w:p>
    <w:p>
      <w:pPr>
        <w:ind w:left="1520" w:hanging="687"/>
        <w:spacing w:after="0"/>
        <w:tabs>
          <w:tab w:leader="none" w:pos="15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Substitute Awards shall not be counted against the shares of Stock available for granting Awards</w:t>
      </w:r>
    </w:p>
    <w:p>
      <w:pPr>
        <w:spacing w:after="0" w:line="9"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7"/>
          <w:szCs w:val="17"/>
          <w:color w:val="auto"/>
        </w:rPr>
        <w:t>under the Plan.</w:t>
      </w:r>
    </w:p>
    <w:p>
      <w:pPr>
        <w:spacing w:after="0" w:line="150" w:lineRule="exact"/>
        <w:rPr>
          <w:rFonts w:ascii="Arial" w:cs="Arial" w:eastAsia="Arial" w:hAnsi="Arial"/>
          <w:sz w:val="17"/>
          <w:szCs w:val="17"/>
          <w:color w:val="auto"/>
        </w:rPr>
      </w:pPr>
    </w:p>
    <w:p>
      <w:pPr>
        <w:jc w:val="both"/>
        <w:ind w:left="160" w:right="59" w:firstLine="673"/>
        <w:spacing w:after="0" w:line="255" w:lineRule="auto"/>
        <w:tabs>
          <w:tab w:leader="none" w:pos="151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 the event the Company or any Subsidiary or Affiliate acquires or combines with a company that has shares available under a pre-existing plan, such shares shall be available for grant of Awards under this Plan, subject to applicable listing exchange requirements and shall not be counted against the shares of Stock available for granting Awards under the Plan.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8" w:name="page99"/>
    <w:bookmarkEnd w:id="98"/>
    <w:p>
      <w:pPr>
        <w:spacing w:after="0" w:line="58" w:lineRule="exact"/>
        <w:rPr>
          <w:sz w:val="20"/>
          <w:szCs w:val="20"/>
          <w:color w:val="auto"/>
        </w:rPr>
      </w:pPr>
    </w:p>
    <w:p>
      <w:pPr>
        <w:jc w:val="both"/>
        <w:ind w:left="160" w:right="59" w:firstLine="673"/>
        <w:spacing w:after="0" w:line="253" w:lineRule="auto"/>
        <w:tabs>
          <w:tab w:leader="none" w:pos="1514" w:val="left"/>
        </w:tabs>
        <w:numPr>
          <w:ilvl w:val="1"/>
          <w:numId w:val="123"/>
        </w:numPr>
        <w:rPr>
          <w:rFonts w:ascii="Arial" w:cs="Arial" w:eastAsia="Arial" w:hAnsi="Arial"/>
          <w:sz w:val="17"/>
          <w:szCs w:val="17"/>
          <w:color w:val="auto"/>
        </w:rPr>
      </w:pPr>
      <w:r>
        <w:rPr>
          <w:rFonts w:ascii="Arial" w:cs="Arial" w:eastAsia="Arial" w:hAnsi="Arial"/>
          <w:sz w:val="17"/>
          <w:szCs w:val="17"/>
          <w:color w:val="auto"/>
        </w:rPr>
        <w:t>Notwithstanding any other provision in the Plan to the contrary, the maximum number of shares of Stock subject to Awards granted during a single calendar year to any Eligible Director, taken together with any cash fees paid during the calendar year to the Eligible Director in respect of the Eligible Director’s service as a member of the Board during such year (including service as a member or chair of any committees of the Board), shall not have an aggregate Fair Market Value on the Date of Grant (computed as of the Date of Grant in accordance with applicable financial accounting rules) in excess of $500,000. The independent members of the Board may make exceptions to this limit for a non-executive chair of the Board, provided that the Eligible Director receiving such additional compensation may not participate in the decision to award such compensation.</w:t>
      </w:r>
    </w:p>
    <w:p>
      <w:pPr>
        <w:spacing w:after="0" w:line="100" w:lineRule="exact"/>
        <w:rPr>
          <w:rFonts w:ascii="Arial" w:cs="Arial" w:eastAsia="Arial" w:hAnsi="Arial"/>
          <w:sz w:val="17"/>
          <w:szCs w:val="17"/>
          <w:color w:val="auto"/>
        </w:rPr>
      </w:pPr>
    </w:p>
    <w:p>
      <w:pPr>
        <w:ind w:left="840" w:hanging="684"/>
        <w:spacing w:after="0"/>
        <w:tabs>
          <w:tab w:leader="none" w:pos="84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w:t>
      </w:r>
    </w:p>
    <w:p>
      <w:pPr>
        <w:spacing w:after="0" w:line="170"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Participation shall be limited to Eligible Persons who have entered into an Award Agreement or who have</w:t>
      </w:r>
    </w:p>
    <w:p>
      <w:pPr>
        <w:spacing w:after="0" w:line="10" w:lineRule="exact"/>
        <w:rPr>
          <w:sz w:val="20"/>
          <w:szCs w:val="20"/>
          <w:color w:val="auto"/>
        </w:rPr>
      </w:pPr>
    </w:p>
    <w:p>
      <w:pPr>
        <w:ind w:left="160" w:right="79"/>
        <w:spacing w:after="0" w:line="263" w:lineRule="auto"/>
        <w:rPr>
          <w:sz w:val="20"/>
          <w:szCs w:val="20"/>
          <w:color w:val="auto"/>
        </w:rPr>
      </w:pPr>
      <w:r>
        <w:rPr>
          <w:rFonts w:ascii="Arial" w:cs="Arial" w:eastAsia="Arial" w:hAnsi="Arial"/>
          <w:sz w:val="17"/>
          <w:szCs w:val="17"/>
          <w:color w:val="auto"/>
        </w:rPr>
        <w:t>received written notification from the Committee, or from a person designated by the Committee, that they have been selected to participate in the Plan.</w:t>
      </w:r>
    </w:p>
    <w:p>
      <w:pPr>
        <w:spacing w:after="0" w:line="103" w:lineRule="exact"/>
        <w:rPr>
          <w:sz w:val="20"/>
          <w:szCs w:val="20"/>
          <w:color w:val="auto"/>
        </w:rPr>
      </w:pPr>
    </w:p>
    <w:p>
      <w:pPr>
        <w:ind w:left="840" w:hanging="684"/>
        <w:spacing w:after="0"/>
        <w:tabs>
          <w:tab w:leader="none" w:pos="84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Options</w:t>
      </w:r>
    </w:p>
    <w:p>
      <w:pPr>
        <w:spacing w:after="0" w:line="158" w:lineRule="exact"/>
        <w:rPr>
          <w:sz w:val="20"/>
          <w:szCs w:val="20"/>
          <w:color w:val="auto"/>
        </w:rPr>
      </w:pPr>
    </w:p>
    <w:p>
      <w:pPr>
        <w:jc w:val="both"/>
        <w:ind w:left="160" w:right="59" w:firstLine="677"/>
        <w:spacing w:after="0" w:line="254" w:lineRule="auto"/>
        <w:rPr>
          <w:sz w:val="20"/>
          <w:szCs w:val="20"/>
          <w:color w:val="auto"/>
        </w:rPr>
      </w:pPr>
      <w:r>
        <w:rPr>
          <w:rFonts w:ascii="Arial" w:cs="Arial" w:eastAsia="Arial" w:hAnsi="Arial"/>
          <w:sz w:val="17"/>
          <w:szCs w:val="17"/>
          <w:color w:val="auto"/>
        </w:rPr>
        <w:t xml:space="preserve">The Committee is authorized to grant one or more Incentive Stock Options or Nonqualified Stock Options to any Eligible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Incentive Stock Option shall be granted to any Eligible Person who is not an employee of the Company or a Parent or Subsidiary. Each Option so granted shall be subject to the conditions set forth in this Section 7, or to such other conditions as may be reflected in the applicable Stock Option Agreement.</w:t>
      </w:r>
    </w:p>
    <w:p>
      <w:pPr>
        <w:spacing w:after="0" w:line="112" w:lineRule="exact"/>
        <w:rPr>
          <w:sz w:val="20"/>
          <w:szCs w:val="20"/>
          <w:color w:val="auto"/>
        </w:rPr>
      </w:pPr>
    </w:p>
    <w:p>
      <w:pPr>
        <w:jc w:val="both"/>
        <w:ind w:left="160" w:right="59" w:firstLine="673"/>
        <w:spacing w:after="0" w:line="269" w:lineRule="auto"/>
        <w:tabs>
          <w:tab w:leader="none" w:pos="1514" w:val="left"/>
        </w:tabs>
        <w:numPr>
          <w:ilvl w:val="0"/>
          <w:numId w:val="126"/>
        </w:numPr>
        <w:rPr>
          <w:rFonts w:ascii="Arial" w:cs="Arial" w:eastAsia="Arial" w:hAnsi="Arial"/>
          <w:sz w:val="17"/>
          <w:szCs w:val="17"/>
          <w:color w:val="auto"/>
        </w:rPr>
      </w:pPr>
      <w:r>
        <w:rPr>
          <w:rFonts w:ascii="Arial" w:cs="Arial" w:eastAsia="Arial" w:hAnsi="Arial"/>
          <w:sz w:val="17"/>
          <w:szCs w:val="17"/>
          <w:b w:val="1"/>
          <w:bCs w:val="1"/>
          <w:color w:val="auto"/>
        </w:rPr>
        <w:t>Option Price</w:t>
      </w:r>
      <w:r>
        <w:rPr>
          <w:rFonts w:ascii="Arial" w:cs="Arial" w:eastAsia="Arial" w:hAnsi="Arial"/>
          <w:sz w:val="17"/>
          <w:szCs w:val="17"/>
          <w:color w:val="auto"/>
        </w:rPr>
        <w:t>. Except with respect to an Option that is a Substitute Award, the exercise price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Option Price</w:t>
      </w:r>
      <w:r>
        <w:rPr>
          <w:rFonts w:ascii="Arial" w:cs="Arial" w:eastAsia="Arial" w:hAnsi="Arial"/>
          <w:sz w:val="17"/>
          <w:szCs w:val="17"/>
          <w:color w:val="auto"/>
        </w:rPr>
        <w:t>”) per share of Stock for each Option shall be set by the Committee at the time of grant but shall not be less than the Fair Market Value of a share of Stock on the Date of Grant.</w:t>
      </w:r>
    </w:p>
    <w:p>
      <w:pPr>
        <w:spacing w:after="0" w:line="99" w:lineRule="exact"/>
        <w:rPr>
          <w:rFonts w:ascii="Arial" w:cs="Arial" w:eastAsia="Arial" w:hAnsi="Arial"/>
          <w:sz w:val="17"/>
          <w:szCs w:val="17"/>
          <w:color w:val="auto"/>
        </w:rPr>
      </w:pPr>
    </w:p>
    <w:p>
      <w:pPr>
        <w:jc w:val="both"/>
        <w:ind w:left="160" w:right="59" w:firstLine="673"/>
        <w:spacing w:after="0" w:line="254" w:lineRule="auto"/>
        <w:tabs>
          <w:tab w:leader="none" w:pos="1514" w:val="left"/>
        </w:tabs>
        <w:numPr>
          <w:ilvl w:val="0"/>
          <w:numId w:val="126"/>
        </w:numPr>
        <w:rPr>
          <w:rFonts w:ascii="Arial" w:cs="Arial" w:eastAsia="Arial" w:hAnsi="Arial"/>
          <w:sz w:val="17"/>
          <w:szCs w:val="17"/>
          <w:color w:val="auto"/>
        </w:rPr>
      </w:pPr>
      <w:r>
        <w:rPr>
          <w:rFonts w:ascii="Arial" w:cs="Arial" w:eastAsia="Arial" w:hAnsi="Arial"/>
          <w:sz w:val="17"/>
          <w:szCs w:val="17"/>
          <w:b w:val="1"/>
          <w:bCs w:val="1"/>
          <w:color w:val="auto"/>
        </w:rPr>
        <w:t>Manner of Exercise and Form of Payment</w:t>
      </w:r>
      <w:r>
        <w:rPr>
          <w:rFonts w:ascii="Arial" w:cs="Arial" w:eastAsia="Arial" w:hAnsi="Arial"/>
          <w:sz w:val="17"/>
          <w:szCs w:val="17"/>
          <w:color w:val="auto"/>
        </w:rPr>
        <w:t>. No shares of Stock shall be delivered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any exercise of an Option until payment in full of the Option Price therefor is received by the Company. Options which have become exercisable may be exercised by delivery of written notice of exercise to the Committee accompanied by payment of the Option Price. The Option Price shall be payable (i) in cash, check, cash equivalent and/or shares of Stock valued at the Fair Market Value at the time the Option is exercised (including by means of attestation of ownership of a sufficient number of shares of Stock in lieu of actual delivery of such shares to the Company), (ii) in the discretion of the Committee, either (A) in other property having a fair market value on the date of exercise equal to the Option Price or (B) by delivering to the Committee a copy of irrevocable instructions to a stockbroker to deliver promptly to the Company an amount of loan proceeds, or proceeds from the sale of the Stock subject to the Option, sufficient to pay the Option Price or (iii) by such other method as the Committee may allow. Notwithstanding the foregoing, in no event shall a Participant be permitted to exercise an Option in the manner described in clause (ii) or (iii) of the preceding sentence if the Committee determines that exercising an Option in such manner would violate the Sarbanes-Oxley Act of 2002, any other applicable law or the applicable rules and regulations of the Securities and Exchange Commission or the applicable rules and regulations of any securities exchange or inter dealer quotation system on which the securities of the Company or any Affiliates are listed or traded.</w:t>
      </w:r>
    </w:p>
    <w:p>
      <w:pPr>
        <w:spacing w:after="0" w:line="100" w:lineRule="exact"/>
        <w:rPr>
          <w:rFonts w:ascii="Arial" w:cs="Arial" w:eastAsia="Arial" w:hAnsi="Arial"/>
          <w:sz w:val="17"/>
          <w:szCs w:val="17"/>
          <w:color w:val="auto"/>
        </w:rPr>
      </w:pPr>
    </w:p>
    <w:p>
      <w:pPr>
        <w:jc w:val="both"/>
        <w:ind w:left="160" w:right="59" w:firstLine="673"/>
        <w:spacing w:after="0" w:line="260" w:lineRule="auto"/>
        <w:tabs>
          <w:tab w:leader="none" w:pos="1514" w:val="left"/>
        </w:tabs>
        <w:numPr>
          <w:ilvl w:val="0"/>
          <w:numId w:val="126"/>
        </w:numPr>
        <w:rPr>
          <w:rFonts w:ascii="Arial" w:cs="Arial" w:eastAsia="Arial" w:hAnsi="Arial"/>
          <w:sz w:val="17"/>
          <w:szCs w:val="17"/>
          <w:color w:val="auto"/>
        </w:rPr>
      </w:pPr>
      <w:r>
        <w:rPr>
          <w:rFonts w:ascii="Arial" w:cs="Arial" w:eastAsia="Arial" w:hAnsi="Arial"/>
          <w:sz w:val="17"/>
          <w:szCs w:val="17"/>
          <w:b w:val="1"/>
          <w:bCs w:val="1"/>
          <w:color w:val="auto"/>
        </w:rPr>
        <w:t>Vesting, Option Period and Expiration</w:t>
      </w:r>
      <w:r>
        <w:rPr>
          <w:rFonts w:ascii="Arial" w:cs="Arial" w:eastAsia="Arial" w:hAnsi="Arial"/>
          <w:sz w:val="17"/>
          <w:szCs w:val="17"/>
          <w:color w:val="auto"/>
        </w:rPr>
        <w:t>. Options shall vest and become exercisable in such</w:t>
      </w:r>
      <w:r>
        <w:rPr>
          <w:rFonts w:ascii="Arial" w:cs="Arial" w:eastAsia="Arial" w:hAnsi="Arial"/>
          <w:sz w:val="17"/>
          <w:szCs w:val="17"/>
          <w:b w:val="1"/>
          <w:bCs w:val="1"/>
          <w:color w:val="auto"/>
        </w:rPr>
        <w:t xml:space="preserve"> </w:t>
      </w:r>
      <w:r>
        <w:rPr>
          <w:rFonts w:ascii="Arial" w:cs="Arial" w:eastAsia="Arial" w:hAnsi="Arial"/>
          <w:sz w:val="17"/>
          <w:szCs w:val="17"/>
          <w:color w:val="auto"/>
        </w:rPr>
        <w:t>manner and on such date or dates determined by the Committee and shall expire after such period, not to exceed ten years, as may be determined by the Committee (the “</w:t>
      </w:r>
      <w:r>
        <w:rPr>
          <w:rFonts w:ascii="Arial" w:cs="Arial" w:eastAsia="Arial" w:hAnsi="Arial"/>
          <w:sz w:val="17"/>
          <w:szCs w:val="17"/>
          <w:u w:val="single" w:color="auto"/>
          <w:color w:val="auto"/>
        </w:rPr>
        <w:t>Option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 vesting dates set by the Committee, the Committee may, in its sole discretion, accelerate the exercisability of any Option, which</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9" w:name="page100"/>
    <w:bookmarkEnd w:id="99"/>
    <w:p>
      <w:pPr>
        <w:spacing w:after="0" w:line="58"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acceleration shall not affect the terms and conditions of such Option other than with respect to exercisability. If an Option is exercisable in installments, such installments or portions thereof which become exercisable shall remain exercisable until the Option expires.</w:t>
      </w:r>
    </w:p>
    <w:p>
      <w:pPr>
        <w:spacing w:after="0" w:line="96" w:lineRule="exact"/>
        <w:rPr>
          <w:sz w:val="20"/>
          <w:szCs w:val="20"/>
          <w:color w:val="auto"/>
        </w:rPr>
      </w:pPr>
    </w:p>
    <w:p>
      <w:pPr>
        <w:jc w:val="both"/>
        <w:ind w:left="160" w:right="59" w:firstLine="673"/>
        <w:spacing w:after="0" w:line="263" w:lineRule="auto"/>
        <w:tabs>
          <w:tab w:leader="none" w:pos="1514" w:val="left"/>
        </w:tabs>
        <w:numPr>
          <w:ilvl w:val="0"/>
          <w:numId w:val="127"/>
        </w:numPr>
        <w:rPr>
          <w:rFonts w:ascii="Arial" w:cs="Arial" w:eastAsia="Arial" w:hAnsi="Arial"/>
          <w:sz w:val="17"/>
          <w:szCs w:val="17"/>
          <w:color w:val="auto"/>
        </w:rPr>
      </w:pPr>
      <w:r>
        <w:rPr>
          <w:rFonts w:ascii="Arial" w:cs="Arial" w:eastAsia="Arial" w:hAnsi="Arial"/>
          <w:sz w:val="17"/>
          <w:szCs w:val="17"/>
          <w:b w:val="1"/>
          <w:bCs w:val="1"/>
          <w:color w:val="auto"/>
        </w:rPr>
        <w:t>Automatic Exercise</w:t>
      </w:r>
      <w:r>
        <w:rPr>
          <w:rFonts w:ascii="Arial" w:cs="Arial" w:eastAsia="Arial" w:hAnsi="Arial"/>
          <w:sz w:val="17"/>
          <w:szCs w:val="17"/>
          <w:color w:val="auto"/>
        </w:rPr>
        <w:t>. Unless otherwise provided in the Award Agreement, if on the last day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Period, the Fair Market Value exceeds the Strike Price, the Participant has not exercised the Option, and the Option has not expired, such Option shall be deemed to have been exercised by the Participant on such last day and the Company shall make the appropriate payment therefor.</w:t>
      </w:r>
    </w:p>
    <w:p>
      <w:pPr>
        <w:spacing w:after="0" w:line="104" w:lineRule="exact"/>
        <w:rPr>
          <w:rFonts w:ascii="Arial" w:cs="Arial" w:eastAsia="Arial" w:hAnsi="Arial"/>
          <w:sz w:val="17"/>
          <w:szCs w:val="17"/>
          <w:color w:val="auto"/>
        </w:rPr>
      </w:pPr>
    </w:p>
    <w:p>
      <w:pPr>
        <w:jc w:val="both"/>
        <w:ind w:left="160" w:right="79" w:firstLine="673"/>
        <w:spacing w:after="0" w:line="269" w:lineRule="auto"/>
        <w:tabs>
          <w:tab w:leader="none" w:pos="1514" w:val="left"/>
        </w:tabs>
        <w:numPr>
          <w:ilvl w:val="0"/>
          <w:numId w:val="127"/>
        </w:numPr>
        <w:rPr>
          <w:rFonts w:ascii="Arial" w:cs="Arial" w:eastAsia="Arial" w:hAnsi="Arial"/>
          <w:sz w:val="17"/>
          <w:szCs w:val="17"/>
          <w:color w:val="auto"/>
        </w:rPr>
      </w:pPr>
      <w:r>
        <w:rPr>
          <w:rFonts w:ascii="Arial" w:cs="Arial" w:eastAsia="Arial" w:hAnsi="Arial"/>
          <w:sz w:val="17"/>
          <w:szCs w:val="17"/>
          <w:b w:val="1"/>
          <w:bCs w:val="1"/>
          <w:color w:val="auto"/>
        </w:rPr>
        <w:t>Stock Option Agreement - Other Terms and Conditions</w:t>
      </w:r>
      <w:r>
        <w:rPr>
          <w:rFonts w:ascii="Arial" w:cs="Arial" w:eastAsia="Arial" w:hAnsi="Arial"/>
          <w:sz w:val="17"/>
          <w:szCs w:val="17"/>
          <w:color w:val="auto"/>
        </w:rPr>
        <w:t>. Each Option granted under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evidenced by a Stock Option Agreement. Except as specifically provided otherwise in such Stock Option Agreement, each Option granted under the Plan shall be subject to the following terms and conditions:</w:t>
      </w:r>
    </w:p>
    <w:p>
      <w:pPr>
        <w:spacing w:after="0" w:line="119" w:lineRule="exact"/>
        <w:rPr>
          <w:rFonts w:ascii="Arial" w:cs="Arial" w:eastAsia="Arial" w:hAnsi="Arial"/>
          <w:sz w:val="17"/>
          <w:szCs w:val="17"/>
          <w:color w:val="auto"/>
        </w:rPr>
      </w:pPr>
    </w:p>
    <w:p>
      <w:pPr>
        <w:ind w:left="2180" w:hanging="670"/>
        <w:spacing w:after="0"/>
        <w:tabs>
          <w:tab w:leader="none" w:pos="21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Each Option or portion thereof that is exercisable shall be exercisable for the full amount</w:t>
      </w:r>
    </w:p>
    <w:p>
      <w:pPr>
        <w:spacing w:after="0" w:line="9"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7"/>
          <w:szCs w:val="17"/>
          <w:color w:val="auto"/>
        </w:rPr>
        <w:t>or for any part thereof.</w:t>
      </w:r>
    </w:p>
    <w:p>
      <w:pPr>
        <w:spacing w:after="0" w:line="137" w:lineRule="exact"/>
        <w:rPr>
          <w:rFonts w:ascii="Arial" w:cs="Arial" w:eastAsia="Arial" w:hAnsi="Arial"/>
          <w:sz w:val="17"/>
          <w:szCs w:val="17"/>
          <w:color w:val="auto"/>
        </w:rPr>
      </w:pPr>
    </w:p>
    <w:p>
      <w:pPr>
        <w:jc w:val="both"/>
        <w:ind w:left="160" w:right="59" w:firstLine="1350"/>
        <w:spacing w:after="0" w:line="257" w:lineRule="auto"/>
        <w:tabs>
          <w:tab w:leader="none" w:pos="2191" w:val="left"/>
        </w:tabs>
        <w:numPr>
          <w:ilvl w:val="1"/>
          <w:numId w:val="127"/>
        </w:numPr>
        <w:rPr>
          <w:rFonts w:ascii="Arial" w:cs="Arial" w:eastAsia="Arial" w:hAnsi="Arial"/>
          <w:sz w:val="17"/>
          <w:szCs w:val="17"/>
          <w:color w:val="auto"/>
        </w:rPr>
      </w:pPr>
      <w:r>
        <w:rPr>
          <w:rFonts w:ascii="Arial" w:cs="Arial" w:eastAsia="Arial" w:hAnsi="Arial"/>
          <w:sz w:val="17"/>
          <w:szCs w:val="17"/>
          <w:color w:val="auto"/>
        </w:rPr>
        <w:t>Each share of Stock purchased through the exercise of an Option shall be paid for in full at the time of the exercise. Each Option shall cease to be exercisable, as to any share of Stock, when the Participant purchases the share or exercises a related SAR or when the Option expires.</w:t>
      </w:r>
    </w:p>
    <w:p>
      <w:pPr>
        <w:spacing w:after="0" w:line="128" w:lineRule="exact"/>
        <w:rPr>
          <w:rFonts w:ascii="Arial" w:cs="Arial" w:eastAsia="Arial" w:hAnsi="Arial"/>
          <w:sz w:val="17"/>
          <w:szCs w:val="17"/>
          <w:color w:val="auto"/>
        </w:rPr>
      </w:pPr>
    </w:p>
    <w:p>
      <w:pPr>
        <w:ind w:left="160" w:right="59" w:firstLine="1350"/>
        <w:spacing w:after="0" w:line="263" w:lineRule="auto"/>
        <w:tabs>
          <w:tab w:leader="none" w:pos="2191" w:val="left"/>
        </w:tabs>
        <w:numPr>
          <w:ilvl w:val="1"/>
          <w:numId w:val="127"/>
        </w:numPr>
        <w:rPr>
          <w:rFonts w:ascii="Arial" w:cs="Arial" w:eastAsia="Arial" w:hAnsi="Arial"/>
          <w:sz w:val="17"/>
          <w:szCs w:val="17"/>
          <w:color w:val="auto"/>
        </w:rPr>
      </w:pPr>
      <w:r>
        <w:rPr>
          <w:rFonts w:ascii="Arial" w:cs="Arial" w:eastAsia="Arial" w:hAnsi="Arial"/>
          <w:sz w:val="17"/>
          <w:szCs w:val="17"/>
          <w:color w:val="auto"/>
        </w:rPr>
        <w:t>Subject to Section 12(l), Options shall not be transferable by the Participant except by will or the laws of descent and distribution and shall be exercisable during the Participant’s lifetime only by him.</w:t>
      </w:r>
    </w:p>
    <w:p>
      <w:pPr>
        <w:spacing w:after="0" w:line="122" w:lineRule="exact"/>
        <w:rPr>
          <w:rFonts w:ascii="Arial" w:cs="Arial" w:eastAsia="Arial" w:hAnsi="Arial"/>
          <w:sz w:val="17"/>
          <w:szCs w:val="17"/>
          <w:color w:val="auto"/>
        </w:rPr>
      </w:pPr>
    </w:p>
    <w:p>
      <w:pPr>
        <w:ind w:left="160" w:right="59" w:firstLine="1350"/>
        <w:spacing w:after="0" w:line="263" w:lineRule="auto"/>
        <w:tabs>
          <w:tab w:leader="none" w:pos="2191" w:val="left"/>
        </w:tabs>
        <w:numPr>
          <w:ilvl w:val="1"/>
          <w:numId w:val="127"/>
        </w:numPr>
        <w:rPr>
          <w:rFonts w:ascii="Arial" w:cs="Arial" w:eastAsia="Arial" w:hAnsi="Arial"/>
          <w:sz w:val="17"/>
          <w:szCs w:val="17"/>
          <w:color w:val="auto"/>
        </w:rPr>
      </w:pPr>
      <w:r>
        <w:rPr>
          <w:rFonts w:ascii="Arial" w:cs="Arial" w:eastAsia="Arial" w:hAnsi="Arial"/>
          <w:sz w:val="17"/>
          <w:szCs w:val="17"/>
          <w:color w:val="auto"/>
        </w:rPr>
        <w:t>Each Option shall vest and become exercisable by the Participant in accordance with the vesting schedule established by the Committee and set forth in the Stock Option Agreement.</w:t>
      </w:r>
    </w:p>
    <w:p>
      <w:pPr>
        <w:spacing w:after="0" w:line="110" w:lineRule="exact"/>
        <w:rPr>
          <w:rFonts w:ascii="Arial" w:cs="Arial" w:eastAsia="Arial" w:hAnsi="Arial"/>
          <w:sz w:val="17"/>
          <w:szCs w:val="17"/>
          <w:color w:val="auto"/>
        </w:rPr>
      </w:pPr>
    </w:p>
    <w:p>
      <w:pPr>
        <w:jc w:val="both"/>
        <w:ind w:left="160" w:right="59" w:firstLine="1350"/>
        <w:spacing w:after="0" w:line="253" w:lineRule="auto"/>
        <w:tabs>
          <w:tab w:leader="none" w:pos="2191"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At the time of any exercise of an Option, the Committee may, in its sole discretion, require a Participant to deliver to the Committee a written representation that the shares of Stock to be acquired upon such exercise are to be acquired for investment and not for resale or with a view to the distribution thereof and any other representation deemed necessary by the Committee to ensure compliance with all applicable federal and state securities laws. Upon such a request by the Committee, delivery of such representation prior to the delivery of any shares issued upon exercise of an Option shall be a condition precedent to the right of the Participant or such other person to purchase any shares. In the event certificates for Stock are delivered under the Plan with respect to which such investment representation has been obtained, the Committee may cause a legend or legends to be placed on such certificates to make appropriate reference to such representation and to restrict transfer in the absence of compliance with applicable federal or state securities laws.</w:t>
      </w:r>
    </w:p>
    <w:p>
      <w:pPr>
        <w:spacing w:after="0" w:line="131" w:lineRule="exact"/>
        <w:rPr>
          <w:rFonts w:ascii="Arial" w:cs="Arial" w:eastAsia="Arial" w:hAnsi="Arial"/>
          <w:sz w:val="17"/>
          <w:szCs w:val="17"/>
          <w:color w:val="auto"/>
        </w:rPr>
      </w:pPr>
    </w:p>
    <w:p>
      <w:pPr>
        <w:jc w:val="both"/>
        <w:ind w:left="160" w:right="59" w:firstLine="1350"/>
        <w:spacing w:after="0" w:line="253" w:lineRule="auto"/>
        <w:tabs>
          <w:tab w:leader="none" w:pos="2191" w:val="left"/>
        </w:tabs>
        <w:numPr>
          <w:ilvl w:val="1"/>
          <w:numId w:val="127"/>
        </w:numPr>
        <w:rPr>
          <w:rFonts w:ascii="Arial" w:cs="Arial" w:eastAsia="Arial" w:hAnsi="Arial"/>
          <w:sz w:val="17"/>
          <w:szCs w:val="17"/>
          <w:color w:val="auto"/>
        </w:rPr>
      </w:pPr>
      <w:r>
        <w:rPr>
          <w:rFonts w:ascii="Arial" w:cs="Arial" w:eastAsia="Arial" w:hAnsi="Arial"/>
          <w:sz w:val="17"/>
          <w:szCs w:val="17"/>
          <w:color w:val="auto"/>
        </w:rPr>
        <w:t>Each Participant awarded an Incentive Stock Option under the Plan shall notify the Company in writing immediately after the date he or she makes a disqualifying disposition of any Stock acquired pursuant to the exercise of such Incentive Stock Option. A disqualifying disposition is any disposition (including any sale) of such Stock before the later of (A) two years after the Date of Grant of the Incentive Stock Option or (B) one year after the date the Participant acquired the Stock by exercising the Incentive Stock Option. The Company may, if determined by the Committee and in accordance with procedures established by it, retain possession of any Stock acquired pursuant to the exercise of an Incentive Stock Option as agent for the applicable Participant until the end of the period described in the preceding sentence, subject to complying with any instructions from such Participant as to the sale of such Stock.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00" w:name="page101"/>
    <w:bookmarkEnd w:id="100"/>
    <w:p>
      <w:pPr>
        <w:spacing w:after="0" w:line="58" w:lineRule="exact"/>
        <w:rPr>
          <w:sz w:val="20"/>
          <w:szCs w:val="20"/>
          <w:color w:val="auto"/>
        </w:rPr>
      </w:pPr>
    </w:p>
    <w:p>
      <w:pPr>
        <w:jc w:val="both"/>
        <w:ind w:left="160" w:right="59" w:firstLine="1350"/>
        <w:spacing w:after="0" w:line="253" w:lineRule="auto"/>
        <w:tabs>
          <w:tab w:leader="none" w:pos="2191" w:val="left"/>
        </w:tabs>
        <w:numPr>
          <w:ilvl w:val="2"/>
          <w:numId w:val="128"/>
        </w:numPr>
        <w:rPr>
          <w:rFonts w:ascii="Arial" w:cs="Arial" w:eastAsia="Arial" w:hAnsi="Arial"/>
          <w:sz w:val="17"/>
          <w:szCs w:val="17"/>
          <w:color w:val="auto"/>
        </w:rPr>
      </w:pPr>
      <w:r>
        <w:rPr>
          <w:rFonts w:ascii="Arial" w:cs="Arial" w:eastAsia="Arial" w:hAnsi="Arial"/>
          <w:sz w:val="17"/>
          <w:szCs w:val="17"/>
          <w:color w:val="auto"/>
        </w:rPr>
        <w:t>An Option Agreement may, but need not, include a provision whereby a Participant may elect, at any time before the termination of the Participant’s employment with the Company, to exercise the Option as to any part or all of the shares of Stock subject to the Option prior to the full vesting of the Option. Any unvested shares of Stock so purchased may be subject to a share repurchase option in favor of the Company or to any other restriction the Committee determines to be appropriate. The Company shall not exercise its repurchase option until at least six (6) months (or such longer or shorter period of time required to avoid a charge to earnings for financial accounting purposes) have elapsed following the exercise of the Option unless the Committee otherwise specifically provides in an Stock Option Agreement.</w:t>
      </w:r>
    </w:p>
    <w:p>
      <w:pPr>
        <w:spacing w:after="0" w:line="100" w:lineRule="exact"/>
        <w:rPr>
          <w:rFonts w:ascii="Arial" w:cs="Arial" w:eastAsia="Arial" w:hAnsi="Arial"/>
          <w:sz w:val="17"/>
          <w:szCs w:val="17"/>
          <w:color w:val="auto"/>
        </w:rPr>
      </w:pPr>
    </w:p>
    <w:p>
      <w:pPr>
        <w:jc w:val="both"/>
        <w:ind w:left="160" w:right="59" w:firstLine="673"/>
        <w:spacing w:after="0" w:line="260" w:lineRule="auto"/>
        <w:tabs>
          <w:tab w:leader="none" w:pos="1514" w:val="left"/>
        </w:tabs>
        <w:numPr>
          <w:ilvl w:val="1"/>
          <w:numId w:val="129"/>
        </w:numPr>
        <w:rPr>
          <w:rFonts w:ascii="Arial" w:cs="Arial" w:eastAsia="Arial" w:hAnsi="Arial"/>
          <w:sz w:val="17"/>
          <w:szCs w:val="17"/>
          <w:color w:val="auto"/>
        </w:rPr>
      </w:pPr>
      <w:r>
        <w:rPr>
          <w:rFonts w:ascii="Arial" w:cs="Arial" w:eastAsia="Arial" w:hAnsi="Arial"/>
          <w:sz w:val="17"/>
          <w:szCs w:val="17"/>
          <w:b w:val="1"/>
          <w:bCs w:val="1"/>
          <w:color w:val="auto"/>
        </w:rPr>
        <w:t>Incentive Stock Option Grants to 10% Stockholders</w:t>
      </w:r>
      <w:r>
        <w:rPr>
          <w:rFonts w:ascii="Arial" w:cs="Arial" w:eastAsia="Arial" w:hAnsi="Arial"/>
          <w:sz w:val="17"/>
          <w:szCs w:val="17"/>
          <w:color w:val="auto"/>
        </w:rPr>
        <w:t>. Notwithstanding anything to the contrary</w:t>
      </w:r>
      <w:r>
        <w:rPr>
          <w:rFonts w:ascii="Arial" w:cs="Arial" w:eastAsia="Arial" w:hAnsi="Arial"/>
          <w:sz w:val="17"/>
          <w:szCs w:val="17"/>
          <w:b w:val="1"/>
          <w:bCs w:val="1"/>
          <w:color w:val="auto"/>
        </w:rPr>
        <w:t xml:space="preserve"> </w:t>
      </w:r>
      <w:r>
        <w:rPr>
          <w:rFonts w:ascii="Arial" w:cs="Arial" w:eastAsia="Arial" w:hAnsi="Arial"/>
          <w:sz w:val="17"/>
          <w:szCs w:val="17"/>
          <w:color w:val="auto"/>
        </w:rPr>
        <w:t>in this Section 7, if an Incentive Stock Option is granted to a Participant who owns stock representing more than ten percent of the voting power of all classes of stock of the Company or of a Subsidiary or Parent, the Option Period shall not exceed five years from the Date of Grant of such Option and the Option Price shall be at least 110 percent of the Fair Market Value (on the Date of Grant) of the Stock subject to the Option.</w:t>
      </w:r>
    </w:p>
    <w:p>
      <w:pPr>
        <w:spacing w:after="0" w:line="107" w:lineRule="exact"/>
        <w:rPr>
          <w:rFonts w:ascii="Arial" w:cs="Arial" w:eastAsia="Arial" w:hAnsi="Arial"/>
          <w:sz w:val="17"/>
          <w:szCs w:val="17"/>
          <w:color w:val="auto"/>
        </w:rPr>
      </w:pPr>
    </w:p>
    <w:p>
      <w:pPr>
        <w:jc w:val="both"/>
        <w:ind w:left="160" w:right="59" w:firstLine="673"/>
        <w:spacing w:after="0" w:line="263" w:lineRule="auto"/>
        <w:tabs>
          <w:tab w:leader="none" w:pos="1514" w:val="left"/>
        </w:tabs>
        <w:numPr>
          <w:ilvl w:val="1"/>
          <w:numId w:val="129"/>
        </w:numPr>
        <w:rPr>
          <w:rFonts w:ascii="Arial" w:cs="Arial" w:eastAsia="Arial" w:hAnsi="Arial"/>
          <w:sz w:val="17"/>
          <w:szCs w:val="17"/>
          <w:color w:val="auto"/>
        </w:rPr>
      </w:pPr>
      <w:r>
        <w:rPr>
          <w:rFonts w:ascii="Arial" w:cs="Arial" w:eastAsia="Arial" w:hAnsi="Arial"/>
          <w:sz w:val="17"/>
          <w:szCs w:val="17"/>
          <w:b w:val="1"/>
          <w:bCs w:val="1"/>
          <w:color w:val="auto"/>
        </w:rPr>
        <w:t>$100,000 Per Year Limitation for Incentive Stock Options</w:t>
      </w:r>
      <w:r>
        <w:rPr>
          <w:rFonts w:ascii="Arial" w:cs="Arial" w:eastAsia="Arial" w:hAnsi="Arial"/>
          <w:sz w:val="17"/>
          <w:szCs w:val="17"/>
          <w:color w:val="auto"/>
        </w:rPr>
        <w:t>. To the extent the aggregate Fair</w:t>
      </w:r>
      <w:r>
        <w:rPr>
          <w:rFonts w:ascii="Arial" w:cs="Arial" w:eastAsia="Arial" w:hAnsi="Arial"/>
          <w:sz w:val="17"/>
          <w:szCs w:val="17"/>
          <w:b w:val="1"/>
          <w:bCs w:val="1"/>
          <w:color w:val="auto"/>
        </w:rPr>
        <w:t xml:space="preserve"> </w:t>
      </w:r>
      <w:r>
        <w:rPr>
          <w:rFonts w:ascii="Arial" w:cs="Arial" w:eastAsia="Arial" w:hAnsi="Arial"/>
          <w:sz w:val="17"/>
          <w:szCs w:val="17"/>
          <w:color w:val="auto"/>
        </w:rPr>
        <w:t>Market Value (determined as of the Date of Grant) of 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104" w:lineRule="exact"/>
        <w:rPr>
          <w:rFonts w:ascii="Arial" w:cs="Arial" w:eastAsia="Arial" w:hAnsi="Arial"/>
          <w:sz w:val="17"/>
          <w:szCs w:val="17"/>
          <w:color w:val="auto"/>
        </w:rPr>
      </w:pPr>
    </w:p>
    <w:p>
      <w:pPr>
        <w:ind w:left="840" w:hanging="684"/>
        <w:spacing w:after="0"/>
        <w:tabs>
          <w:tab w:leader="none" w:pos="84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Stock Appreciation Rights</w:t>
      </w:r>
    </w:p>
    <w:p>
      <w:pPr>
        <w:spacing w:after="0" w:line="157"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Any Option granted under the Plan may include SARs, either at the Date of Grant or, except in the case of</w:t>
      </w:r>
    </w:p>
    <w:p>
      <w:pPr>
        <w:spacing w:after="0" w:line="10" w:lineRule="exact"/>
        <w:rPr>
          <w:sz w:val="20"/>
          <w:szCs w:val="20"/>
          <w:color w:val="auto"/>
        </w:rPr>
      </w:pPr>
    </w:p>
    <w:p>
      <w:pPr>
        <w:jc w:val="both"/>
        <w:ind w:left="160" w:right="79"/>
        <w:spacing w:after="0" w:line="257" w:lineRule="auto"/>
        <w:rPr>
          <w:sz w:val="20"/>
          <w:szCs w:val="20"/>
          <w:color w:val="auto"/>
        </w:rPr>
      </w:pPr>
      <w:r>
        <w:rPr>
          <w:rFonts w:ascii="Arial" w:cs="Arial" w:eastAsia="Arial" w:hAnsi="Arial"/>
          <w:sz w:val="17"/>
          <w:szCs w:val="17"/>
          <w:color w:val="auto"/>
        </w:rPr>
        <w:t>an Incentive Stock Option, by subsequent amendment. The Committee also may award SARs to Eligible Persons independent of any Option. A SAR shall be subject to such terms and conditions not inconsistent with the Plan as the Committee shall impose, including, but not limited to, the following:</w:t>
      </w:r>
    </w:p>
    <w:p>
      <w:pPr>
        <w:spacing w:after="0" w:line="108" w:lineRule="exact"/>
        <w:rPr>
          <w:sz w:val="20"/>
          <w:szCs w:val="20"/>
          <w:color w:val="auto"/>
        </w:rPr>
      </w:pPr>
    </w:p>
    <w:p>
      <w:pPr>
        <w:jc w:val="both"/>
        <w:ind w:left="160" w:right="59" w:firstLine="673"/>
        <w:spacing w:after="0" w:line="260" w:lineRule="auto"/>
        <w:tabs>
          <w:tab w:leader="none" w:pos="1514"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Vesting, Transferability and Expiration</w:t>
      </w:r>
      <w:r>
        <w:rPr>
          <w:rFonts w:ascii="Arial" w:cs="Arial" w:eastAsia="Arial" w:hAnsi="Arial"/>
          <w:sz w:val="17"/>
          <w:szCs w:val="17"/>
          <w:color w:val="auto"/>
        </w:rPr>
        <w:t>. A SAR granted in connection with an Option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become exercisable, be transferable and shall expire according to the same vesting schedule, transferability rules and expiration provisions as the corresponding Option. A SAR granted independent of an Option shall become exercisable, be transferable and shall expire in accordance with a vesting schedule, transferability rules and expiration provisions as established by the Committee and reflected in an Award Agreement.</w:t>
      </w:r>
    </w:p>
    <w:p>
      <w:pPr>
        <w:spacing w:after="0" w:line="107" w:lineRule="exact"/>
        <w:rPr>
          <w:rFonts w:ascii="Arial" w:cs="Arial" w:eastAsia="Arial" w:hAnsi="Arial"/>
          <w:sz w:val="17"/>
          <w:szCs w:val="17"/>
          <w:color w:val="auto"/>
        </w:rPr>
      </w:pPr>
    </w:p>
    <w:p>
      <w:pPr>
        <w:jc w:val="both"/>
        <w:ind w:left="160" w:right="59" w:firstLine="673"/>
        <w:spacing w:after="0" w:line="259" w:lineRule="auto"/>
        <w:tabs>
          <w:tab w:leader="none" w:pos="1514"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Automatic Exercise</w:t>
      </w:r>
      <w:r>
        <w:rPr>
          <w:rFonts w:ascii="Arial" w:cs="Arial" w:eastAsia="Arial" w:hAnsi="Arial"/>
          <w:sz w:val="17"/>
          <w:szCs w:val="17"/>
          <w:color w:val="auto"/>
        </w:rPr>
        <w:t>. Unless otherwise provided in the Award Agreement, if on the last day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Period (or in the case of a SAR independent of an option, the period established by the Committee after which the SAR shall expire), the Fair Market Value exceeds the Strike Price, the Participant has not exercised the SAR or the corresponding Option, and neither the SAR nor the corresponding Option has expired, such SAR shall be deemed to have been exercised by the Participant on such last day and the Company shall make the appropriate payment therefor.</w:t>
      </w:r>
    </w:p>
    <w:p>
      <w:pPr>
        <w:spacing w:after="0" w:line="93" w:lineRule="exact"/>
        <w:rPr>
          <w:rFonts w:ascii="Arial" w:cs="Arial" w:eastAsia="Arial" w:hAnsi="Arial"/>
          <w:sz w:val="17"/>
          <w:szCs w:val="17"/>
          <w:color w:val="auto"/>
        </w:rPr>
      </w:pPr>
    </w:p>
    <w:p>
      <w:pPr>
        <w:jc w:val="both"/>
        <w:ind w:left="160" w:right="59" w:firstLine="673"/>
        <w:spacing w:after="0" w:line="259" w:lineRule="auto"/>
        <w:tabs>
          <w:tab w:leader="none" w:pos="1514"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Payment</w:t>
      </w:r>
      <w:r>
        <w:rPr>
          <w:rFonts w:ascii="Arial" w:cs="Arial" w:eastAsia="Arial" w:hAnsi="Arial"/>
          <w:sz w:val="17"/>
          <w:szCs w:val="17"/>
          <w:color w:val="auto"/>
        </w:rPr>
        <w:t>. Upon the exercise of a SAR, the Company shall pay to the Participant an amount equal</w:t>
      </w:r>
      <w:r>
        <w:rPr>
          <w:rFonts w:ascii="Arial" w:cs="Arial" w:eastAsia="Arial" w:hAnsi="Arial"/>
          <w:sz w:val="17"/>
          <w:szCs w:val="17"/>
          <w:b w:val="1"/>
          <w:bCs w:val="1"/>
          <w:color w:val="auto"/>
        </w:rPr>
        <w:t xml:space="preserve"> </w:t>
      </w:r>
      <w:r>
        <w:rPr>
          <w:rFonts w:ascii="Arial" w:cs="Arial" w:eastAsia="Arial" w:hAnsi="Arial"/>
          <w:sz w:val="17"/>
          <w:szCs w:val="17"/>
          <w:color w:val="auto"/>
        </w:rPr>
        <w:t>to the number of shares subject to the SAR multiplied by the excess, if any, of the Fair Market Value of one share of Stock on the exercise date over the Strike Price. The Company shall pay such excess in cash (taking into consideration any adverse tax consequences to the Participant under Section 409A of the Code), in shares of Stock valued at Fair Market Value, or any combination thereof, as determined by the Committee. Fractional shares shall be settled in cash.</w:t>
      </w:r>
    </w:p>
    <w:p>
      <w:pPr>
        <w:spacing w:after="0" w:line="106" w:lineRule="exact"/>
        <w:rPr>
          <w:rFonts w:ascii="Arial" w:cs="Arial" w:eastAsia="Arial" w:hAnsi="Arial"/>
          <w:sz w:val="17"/>
          <w:szCs w:val="17"/>
          <w:color w:val="auto"/>
        </w:rPr>
      </w:pPr>
    </w:p>
    <w:p>
      <w:pPr>
        <w:jc w:val="both"/>
        <w:ind w:left="160" w:right="59" w:firstLine="673"/>
        <w:spacing w:after="0" w:line="269" w:lineRule="auto"/>
        <w:tabs>
          <w:tab w:leader="none" w:pos="1514"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Method of Exercise</w:t>
      </w:r>
      <w:r>
        <w:rPr>
          <w:rFonts w:ascii="Arial" w:cs="Arial" w:eastAsia="Arial" w:hAnsi="Arial"/>
          <w:sz w:val="17"/>
          <w:szCs w:val="17"/>
          <w:color w:val="auto"/>
        </w:rPr>
        <w:t>. A Participant may exercise a SAR at such time or times as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Committee at the time of grant by filing an irrevocable written notice with the Committee or its designee, specifying the number of SARs to be exercised, and the date on which such SARs were awarded.</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01" w:name="page102"/>
    <w:bookmarkEnd w:id="101"/>
    <w:p>
      <w:pPr>
        <w:spacing w:after="0" w:line="38" w:lineRule="exact"/>
        <w:rPr>
          <w:sz w:val="20"/>
          <w:szCs w:val="20"/>
          <w:color w:val="auto"/>
        </w:rPr>
      </w:pPr>
    </w:p>
    <w:p>
      <w:pPr>
        <w:jc w:val="both"/>
        <w:ind w:left="160" w:right="79" w:firstLine="673"/>
        <w:spacing w:after="0" w:line="269" w:lineRule="auto"/>
        <w:tabs>
          <w:tab w:leader="none" w:pos="1514" w:val="left"/>
        </w:tabs>
        <w:numPr>
          <w:ilvl w:val="1"/>
          <w:numId w:val="132"/>
        </w:numPr>
        <w:rPr>
          <w:rFonts w:ascii="Arial" w:cs="Arial" w:eastAsia="Arial" w:hAnsi="Arial"/>
          <w:sz w:val="17"/>
          <w:szCs w:val="17"/>
          <w:color w:val="auto"/>
        </w:rPr>
      </w:pPr>
      <w:r>
        <w:rPr>
          <w:rFonts w:ascii="Arial" w:cs="Arial" w:eastAsia="Arial" w:hAnsi="Arial"/>
          <w:sz w:val="17"/>
          <w:szCs w:val="17"/>
          <w:b w:val="1"/>
          <w:bCs w:val="1"/>
          <w:color w:val="auto"/>
        </w:rPr>
        <w:t>Expiration</w:t>
      </w:r>
      <w:r>
        <w:rPr>
          <w:rFonts w:ascii="Arial" w:cs="Arial" w:eastAsia="Arial" w:hAnsi="Arial"/>
          <w:sz w:val="17"/>
          <w:szCs w:val="17"/>
          <w:color w:val="auto"/>
        </w:rPr>
        <w:t>. Except as otherwise provided in the case of SARs granted in connection with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a SAR shall expire on a date designated by the Committee which is not later than ten years after the Date of Grant of the SAR.</w:t>
      </w:r>
    </w:p>
    <w:p>
      <w:pPr>
        <w:spacing w:after="0" w:line="86" w:lineRule="exact"/>
        <w:rPr>
          <w:rFonts w:ascii="Arial" w:cs="Arial" w:eastAsia="Arial" w:hAnsi="Arial"/>
          <w:sz w:val="17"/>
          <w:szCs w:val="17"/>
          <w:color w:val="auto"/>
        </w:rPr>
      </w:pPr>
    </w:p>
    <w:p>
      <w:pPr>
        <w:ind w:left="160" w:right="59" w:firstLine="673"/>
        <w:spacing w:after="0" w:line="287" w:lineRule="auto"/>
        <w:tabs>
          <w:tab w:leader="none" w:pos="1514" w:val="left"/>
        </w:tabs>
        <w:numPr>
          <w:ilvl w:val="1"/>
          <w:numId w:val="132"/>
        </w:numPr>
        <w:rPr>
          <w:rFonts w:ascii="Arial" w:cs="Arial" w:eastAsia="Arial" w:hAnsi="Arial"/>
          <w:sz w:val="17"/>
          <w:szCs w:val="17"/>
          <w:color w:val="auto"/>
        </w:rPr>
      </w:pPr>
      <w:r>
        <w:rPr>
          <w:rFonts w:ascii="Arial" w:cs="Arial" w:eastAsia="Arial" w:hAnsi="Arial"/>
          <w:sz w:val="17"/>
          <w:szCs w:val="17"/>
          <w:b w:val="1"/>
          <w:bCs w:val="1"/>
          <w:color w:val="auto"/>
        </w:rPr>
        <w:t>Tax Considerations</w:t>
      </w:r>
      <w:r>
        <w:rPr>
          <w:rFonts w:ascii="Arial" w:cs="Arial" w:eastAsia="Arial" w:hAnsi="Arial"/>
          <w:sz w:val="17"/>
          <w:szCs w:val="17"/>
          <w:color w:val="auto"/>
        </w:rPr>
        <w:t>. The Committee shall take into account Section 409A of the Code and</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regulatory guidance thereunder before granting a SAR.</w:t>
      </w:r>
    </w:p>
    <w:p>
      <w:pPr>
        <w:spacing w:after="0" w:line="83" w:lineRule="exact"/>
        <w:rPr>
          <w:rFonts w:ascii="Arial" w:cs="Arial" w:eastAsia="Arial" w:hAnsi="Arial"/>
          <w:sz w:val="17"/>
          <w:szCs w:val="17"/>
          <w:color w:val="auto"/>
        </w:rPr>
      </w:pPr>
    </w:p>
    <w:p>
      <w:pPr>
        <w:ind w:left="840" w:hanging="684"/>
        <w:spacing w:after="0"/>
        <w:tabs>
          <w:tab w:leader="none" w:pos="84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and Restricted Stock Units</w:t>
      </w:r>
    </w:p>
    <w:p>
      <w:pPr>
        <w:spacing w:after="0" w:line="150" w:lineRule="exact"/>
        <w:rPr>
          <w:rFonts w:ascii="Arial" w:cs="Arial" w:eastAsia="Arial" w:hAnsi="Arial"/>
          <w:sz w:val="17"/>
          <w:szCs w:val="17"/>
          <w:b w:val="1"/>
          <w:bCs w:val="1"/>
          <w:color w:val="auto"/>
        </w:rPr>
      </w:pPr>
    </w:p>
    <w:p>
      <w:pPr>
        <w:ind w:left="1520" w:hanging="687"/>
        <w:spacing w:after="0"/>
        <w:tabs>
          <w:tab w:leader="none" w:pos="1520" w:val="left"/>
        </w:tabs>
        <w:numPr>
          <w:ilvl w:val="1"/>
          <w:numId w:val="133"/>
        </w:numPr>
        <w:rPr>
          <w:rFonts w:ascii="Arial" w:cs="Arial" w:eastAsia="Arial" w:hAnsi="Arial"/>
          <w:sz w:val="17"/>
          <w:szCs w:val="17"/>
          <w:color w:val="auto"/>
        </w:rPr>
      </w:pPr>
      <w:r>
        <w:rPr>
          <w:rFonts w:ascii="Arial" w:cs="Arial" w:eastAsia="Arial" w:hAnsi="Arial"/>
          <w:sz w:val="17"/>
          <w:szCs w:val="17"/>
          <w:b w:val="1"/>
          <w:bCs w:val="1"/>
          <w:color w:val="auto"/>
        </w:rPr>
        <w:t>Award of Restricted Stock and Restricted Stock Units</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jc w:val="both"/>
        <w:ind w:left="160" w:right="59" w:firstLine="1350"/>
        <w:spacing w:after="0" w:line="254" w:lineRule="auto"/>
        <w:tabs>
          <w:tab w:leader="none" w:pos="2191" w:val="left"/>
        </w:tabs>
        <w:numPr>
          <w:ilvl w:val="2"/>
          <w:numId w:val="133"/>
        </w:numPr>
        <w:rPr>
          <w:rFonts w:ascii="Arial" w:cs="Arial" w:eastAsia="Arial" w:hAnsi="Arial"/>
          <w:sz w:val="17"/>
          <w:szCs w:val="17"/>
          <w:color w:val="auto"/>
        </w:rPr>
      </w:pPr>
      <w:r>
        <w:rPr>
          <w:rFonts w:ascii="Arial" w:cs="Arial" w:eastAsia="Arial" w:hAnsi="Arial"/>
          <w:sz w:val="17"/>
          <w:szCs w:val="17"/>
          <w:color w:val="auto"/>
        </w:rPr>
        <w:t>The Committee shall have the authority (A) to grant Restricted Stock and Restricted Stock Units to Eligible Persons, (B) to issue or transfer Restricted Stock to Participants, and (C) to establish terms, conditions and restrictions applicable to such Restricted Stock and Restricted Stock Units, including the Restricted Period and any applicable Performance Goals, as applicable, which may differ with respect to each grantee, the time or times at which Restricted Stock or Restricted Stock Units shall be granted or become vested and the number of shares or units to be covered by each grant.</w:t>
      </w:r>
    </w:p>
    <w:p>
      <w:pPr>
        <w:spacing w:after="0" w:line="130" w:lineRule="exact"/>
        <w:rPr>
          <w:rFonts w:ascii="Arial" w:cs="Arial" w:eastAsia="Arial" w:hAnsi="Arial"/>
          <w:sz w:val="17"/>
          <w:szCs w:val="17"/>
          <w:color w:val="auto"/>
        </w:rPr>
      </w:pPr>
    </w:p>
    <w:p>
      <w:pPr>
        <w:jc w:val="both"/>
        <w:ind w:left="160" w:right="59" w:firstLine="1350"/>
        <w:spacing w:after="0" w:line="253" w:lineRule="auto"/>
        <w:tabs>
          <w:tab w:leader="none" w:pos="2191" w:val="left"/>
        </w:tabs>
        <w:numPr>
          <w:ilvl w:val="2"/>
          <w:numId w:val="133"/>
        </w:numPr>
        <w:rPr>
          <w:rFonts w:ascii="Arial" w:cs="Arial" w:eastAsia="Arial" w:hAnsi="Arial"/>
          <w:sz w:val="17"/>
          <w:szCs w:val="17"/>
          <w:color w:val="auto"/>
        </w:rPr>
      </w:pPr>
      <w:r>
        <w:rPr>
          <w:rFonts w:ascii="Arial" w:cs="Arial" w:eastAsia="Arial" w:hAnsi="Arial"/>
          <w:sz w:val="17"/>
          <w:szCs w:val="17"/>
          <w:color w:val="auto"/>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shall fail to execute an agreement evidencing an Award of Restricted Stock and, if applicable, an escrow agreement and stock power, the Award shall be null and void. Subject to the restrictions set forth in Section 9(b), the Participant generally shall have the rights and privileges of a stockholder as to such Restricted Stock, including the right to vote such Restricted Stock.</w:t>
      </w:r>
    </w:p>
    <w:p>
      <w:pPr>
        <w:spacing w:after="0" w:line="131" w:lineRule="exact"/>
        <w:rPr>
          <w:rFonts w:ascii="Arial" w:cs="Arial" w:eastAsia="Arial" w:hAnsi="Arial"/>
          <w:sz w:val="17"/>
          <w:szCs w:val="17"/>
          <w:color w:val="auto"/>
        </w:rPr>
      </w:pPr>
    </w:p>
    <w:p>
      <w:pPr>
        <w:jc w:val="both"/>
        <w:ind w:left="160" w:right="59" w:firstLine="1350"/>
        <w:spacing w:after="0" w:line="254" w:lineRule="auto"/>
        <w:tabs>
          <w:tab w:leader="none" w:pos="2191" w:val="left"/>
        </w:tabs>
        <w:numPr>
          <w:ilvl w:val="2"/>
          <w:numId w:val="133"/>
        </w:numPr>
        <w:rPr>
          <w:rFonts w:ascii="Arial" w:cs="Arial" w:eastAsia="Arial" w:hAnsi="Arial"/>
          <w:sz w:val="17"/>
          <w:szCs w:val="17"/>
          <w:color w:val="auto"/>
        </w:rPr>
      </w:pPr>
      <w:r>
        <w:rPr>
          <w:rFonts w:ascii="Arial" w:cs="Arial" w:eastAsia="Arial" w:hAnsi="Arial"/>
          <w:sz w:val="17"/>
          <w:szCs w:val="17"/>
          <w:color w:val="auto"/>
        </w:rPr>
        <w:t>Upon the grant of Restricted Stock, the Committee shall cause a stock certificate registered in the name of the Participant to be issued and, if it so determines, deposited together with the stock powers with an escrow agent designated by the Committee. If an escrow arrangement is used, the Committee may cause the escrow agent to issue to the Participant a receipt evidencing any stock certificate held by it, registered in the name of the Participant.</w:t>
      </w:r>
    </w:p>
    <w:p>
      <w:pPr>
        <w:spacing w:after="0" w:line="119" w:lineRule="exact"/>
        <w:rPr>
          <w:rFonts w:ascii="Arial" w:cs="Arial" w:eastAsia="Arial" w:hAnsi="Arial"/>
          <w:sz w:val="17"/>
          <w:szCs w:val="17"/>
          <w:color w:val="auto"/>
        </w:rPr>
      </w:pPr>
    </w:p>
    <w:p>
      <w:pPr>
        <w:jc w:val="both"/>
        <w:ind w:left="160" w:right="59" w:firstLine="1350"/>
        <w:spacing w:after="0" w:line="254" w:lineRule="auto"/>
        <w:tabs>
          <w:tab w:leader="none" w:pos="2191" w:val="left"/>
        </w:tabs>
        <w:numPr>
          <w:ilvl w:val="2"/>
          <w:numId w:val="133"/>
        </w:numPr>
        <w:rPr>
          <w:rFonts w:ascii="Arial" w:cs="Arial" w:eastAsia="Arial" w:hAnsi="Arial"/>
          <w:sz w:val="17"/>
          <w:szCs w:val="17"/>
          <w:color w:val="auto"/>
        </w:rPr>
      </w:pPr>
      <w:r>
        <w:rPr>
          <w:rFonts w:ascii="Arial" w:cs="Arial" w:eastAsia="Arial" w:hAnsi="Arial"/>
          <w:sz w:val="17"/>
          <w:szCs w:val="17"/>
          <w:color w:val="auto"/>
        </w:rPr>
        <w:t>The terms and conditions of a grant of Restricted Stock Units shall be reflected in a written Award Agreement. No shares of Stock shall be issued at the time a Restricted Stock Unit is granted, and the Company will not be required to set aside a fund for the payment of any such Award. At the discretion of the Committee and subject to Section 12(b), each Restricted Stock Unit (representing one share of Stock) may be credited with cash and stock dividends paid by the Company in respect of one share of Stock (“</w:t>
      </w:r>
      <w:r>
        <w:rPr>
          <w:rFonts w:ascii="Arial" w:cs="Arial" w:eastAsia="Arial" w:hAnsi="Arial"/>
          <w:sz w:val="17"/>
          <w:szCs w:val="17"/>
          <w:u w:val="single" w:color="auto"/>
          <w:color w:val="auto"/>
        </w:rPr>
        <w:t>dividend</w:t>
      </w:r>
      <w:r>
        <w:rPr>
          <w:rFonts w:ascii="Arial" w:cs="Arial" w:eastAsia="Arial" w:hAnsi="Arial"/>
          <w:sz w:val="17"/>
          <w:szCs w:val="17"/>
          <w:color w:val="auto"/>
        </w:rPr>
        <w:t xml:space="preserve"> </w:t>
      </w:r>
      <w:r>
        <w:rPr>
          <w:rFonts w:ascii="Arial" w:cs="Arial" w:eastAsia="Arial" w:hAnsi="Arial"/>
          <w:sz w:val="17"/>
          <w:szCs w:val="17"/>
          <w:u w:val="single" w:color="auto"/>
          <w:color w:val="auto"/>
        </w:rPr>
        <w:t>equivalents</w:t>
      </w:r>
      <w:r>
        <w:rPr>
          <w:rFonts w:ascii="Arial" w:cs="Arial" w:eastAsia="Arial" w:hAnsi="Arial"/>
          <w:sz w:val="17"/>
          <w:szCs w:val="17"/>
          <w:color w:val="auto"/>
        </w:rPr>
        <w:t>”).</w:t>
      </w:r>
    </w:p>
    <w:p>
      <w:pPr>
        <w:spacing w:after="0" w:line="110" w:lineRule="exact"/>
        <w:rPr>
          <w:rFonts w:ascii="Arial" w:cs="Arial" w:eastAsia="Arial" w:hAnsi="Arial"/>
          <w:sz w:val="17"/>
          <w:szCs w:val="17"/>
          <w:color w:val="auto"/>
        </w:rPr>
      </w:pPr>
    </w:p>
    <w:p>
      <w:pPr>
        <w:ind w:left="1520" w:hanging="687"/>
        <w:spacing w:after="0"/>
        <w:tabs>
          <w:tab w:leader="none" w:pos="1520" w:val="left"/>
        </w:tabs>
        <w:numPr>
          <w:ilvl w:val="1"/>
          <w:numId w:val="133"/>
        </w:numPr>
        <w:rPr>
          <w:rFonts w:ascii="Arial" w:cs="Arial" w:eastAsia="Arial" w:hAnsi="Arial"/>
          <w:sz w:val="17"/>
          <w:szCs w:val="17"/>
          <w:color w:val="auto"/>
        </w:rPr>
      </w:pPr>
      <w:r>
        <w:rPr>
          <w:rFonts w:ascii="Arial" w:cs="Arial" w:eastAsia="Arial" w:hAnsi="Arial"/>
          <w:sz w:val="17"/>
          <w:szCs w:val="17"/>
          <w:b w:val="1"/>
          <w:bCs w:val="1"/>
          <w:color w:val="auto"/>
        </w:rPr>
        <w:t>Restrictions</w:t>
      </w:r>
      <w:r>
        <w:rPr>
          <w:rFonts w:ascii="Arial" w:cs="Arial" w:eastAsia="Arial" w:hAnsi="Arial"/>
          <w:sz w:val="17"/>
          <w:szCs w:val="17"/>
          <w:color w:val="auto"/>
        </w:rPr>
        <w:t>.</w:t>
      </w:r>
    </w:p>
    <w:p>
      <w:pPr>
        <w:spacing w:after="0" w:line="170" w:lineRule="exact"/>
        <w:rPr>
          <w:rFonts w:ascii="Arial" w:cs="Arial" w:eastAsia="Arial" w:hAnsi="Arial"/>
          <w:sz w:val="17"/>
          <w:szCs w:val="17"/>
          <w:color w:val="auto"/>
        </w:rPr>
      </w:pPr>
    </w:p>
    <w:p>
      <w:pPr>
        <w:jc w:val="both"/>
        <w:ind w:left="160" w:right="59" w:firstLine="1350"/>
        <w:spacing w:after="0" w:line="251" w:lineRule="auto"/>
        <w:tabs>
          <w:tab w:leader="none" w:pos="2191" w:val="left"/>
        </w:tabs>
        <w:numPr>
          <w:ilvl w:val="2"/>
          <w:numId w:val="133"/>
        </w:numPr>
        <w:rPr>
          <w:rFonts w:ascii="Arial" w:cs="Arial" w:eastAsia="Arial" w:hAnsi="Arial"/>
          <w:sz w:val="17"/>
          <w:szCs w:val="17"/>
          <w:color w:val="auto"/>
        </w:rPr>
      </w:pPr>
      <w:r>
        <w:rPr>
          <w:rFonts w:ascii="Arial" w:cs="Arial" w:eastAsia="Arial" w:hAnsi="Arial"/>
          <w:sz w:val="17"/>
          <w:szCs w:val="17"/>
          <w:color w:val="auto"/>
        </w:rPr>
        <w:t>Restricted Stock awarded to a Participant shall be subject to the following restrictions until the expiration of the Restricted Period, and to such other terms and conditions, including and without limitation, the satisfaction of any applicable Performance Goals during such period, as may be set forth in the applicable Award Agreement: (A) if an escrow arrangement is used, the Participant shall not be entitled to delivery of the stock certificate; (B) the shares shall be subject to the restrictions on transferability set forth in the Award Agreement;</w:t>
      </w:r>
    </w:p>
    <w:p>
      <w:pPr>
        <w:spacing w:after="0" w:line="3" w:lineRule="exact"/>
        <w:rPr>
          <w:rFonts w:ascii="Arial" w:cs="Arial" w:eastAsia="Arial" w:hAnsi="Arial"/>
          <w:sz w:val="17"/>
          <w:szCs w:val="17"/>
          <w:color w:val="auto"/>
        </w:rPr>
      </w:pPr>
    </w:p>
    <w:p>
      <w:pPr>
        <w:jc w:val="both"/>
        <w:ind w:left="160" w:right="59"/>
        <w:spacing w:after="0" w:line="255" w:lineRule="auto"/>
        <w:rPr>
          <w:rFonts w:ascii="Arial" w:cs="Arial" w:eastAsia="Arial" w:hAnsi="Arial"/>
          <w:sz w:val="17"/>
          <w:szCs w:val="17"/>
          <w:color w:val="auto"/>
        </w:rPr>
      </w:pPr>
      <w:r>
        <w:rPr>
          <w:rFonts w:ascii="Arial" w:cs="Arial" w:eastAsia="Arial" w:hAnsi="Arial"/>
          <w:sz w:val="17"/>
          <w:szCs w:val="17"/>
          <w:color w:val="auto"/>
        </w:rPr>
        <w:t>(C) the shares shall be subject to forfeiture to the extent provided in Section 9(c) and the applicable Award Agreement; and (D) to the extent such shares are forfeited, the stock certificates shall be returned to the Company, and all rights of the Participant to such shares and as a stockholder with respect to such shares shall terminate without further obligation on the part of the Company.</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02" w:name="page103"/>
    <w:bookmarkEnd w:id="102"/>
    <w:p>
      <w:pPr>
        <w:spacing w:after="0" w:line="58" w:lineRule="exact"/>
        <w:rPr>
          <w:sz w:val="20"/>
          <w:szCs w:val="20"/>
          <w:color w:val="auto"/>
        </w:rPr>
      </w:pPr>
    </w:p>
    <w:p>
      <w:pPr>
        <w:jc w:val="both"/>
        <w:ind w:left="160" w:right="59" w:firstLine="1350"/>
        <w:spacing w:after="0" w:line="254" w:lineRule="auto"/>
        <w:tabs>
          <w:tab w:leader="none" w:pos="2191" w:val="left"/>
        </w:tabs>
        <w:numPr>
          <w:ilvl w:val="1"/>
          <w:numId w:val="134"/>
        </w:numPr>
        <w:rPr>
          <w:rFonts w:ascii="Arial" w:cs="Arial" w:eastAsia="Arial" w:hAnsi="Arial"/>
          <w:sz w:val="17"/>
          <w:szCs w:val="17"/>
          <w:color w:val="auto"/>
        </w:rPr>
      </w:pPr>
      <w:r>
        <w:rPr>
          <w:rFonts w:ascii="Arial" w:cs="Arial" w:eastAsia="Arial" w:hAnsi="Arial"/>
          <w:sz w:val="17"/>
          <w:szCs w:val="17"/>
          <w:color w:val="auto"/>
        </w:rPr>
        <w:t>Restricted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are forfeited, all rights of the Participant to such Restricted Stock Units shall terminate without further obligation on the part of the Company and (B) such other terms and conditions as may be set forth in the applicable Award Agreement.</w:t>
      </w:r>
    </w:p>
    <w:p>
      <w:pPr>
        <w:spacing w:after="0" w:line="119" w:lineRule="exact"/>
        <w:rPr>
          <w:rFonts w:ascii="Arial" w:cs="Arial" w:eastAsia="Arial" w:hAnsi="Arial"/>
          <w:sz w:val="17"/>
          <w:szCs w:val="17"/>
          <w:color w:val="auto"/>
        </w:rPr>
      </w:pPr>
    </w:p>
    <w:p>
      <w:pPr>
        <w:jc w:val="both"/>
        <w:ind w:left="160" w:right="59" w:firstLine="1350"/>
        <w:spacing w:after="0" w:line="255" w:lineRule="auto"/>
        <w:tabs>
          <w:tab w:leader="none" w:pos="2191"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The Committee shall have the authority to remove any or all of the restrictions on the Restricted Stock and Restricted Stock Units whenever it may determine that, by reason of changes in applicable laws or other changes in circumstances arising after the date of the Restricted Stock or Restricted Stock Units are granted, such action is appropriate.</w:t>
      </w:r>
    </w:p>
    <w:p>
      <w:pPr>
        <w:spacing w:after="0" w:line="110" w:lineRule="exact"/>
        <w:rPr>
          <w:rFonts w:ascii="Arial" w:cs="Arial" w:eastAsia="Arial" w:hAnsi="Arial"/>
          <w:sz w:val="17"/>
          <w:szCs w:val="17"/>
          <w:color w:val="auto"/>
        </w:rPr>
      </w:pPr>
    </w:p>
    <w:p>
      <w:pPr>
        <w:jc w:val="both"/>
        <w:ind w:left="160" w:right="59" w:firstLine="673"/>
        <w:spacing w:after="0" w:line="269" w:lineRule="auto"/>
        <w:tabs>
          <w:tab w:leader="none" w:pos="1514" w:val="left"/>
        </w:tabs>
        <w:numPr>
          <w:ilvl w:val="0"/>
          <w:numId w:val="135"/>
        </w:numPr>
        <w:rPr>
          <w:rFonts w:ascii="Arial" w:cs="Arial" w:eastAsia="Arial" w:hAnsi="Arial"/>
          <w:sz w:val="17"/>
          <w:szCs w:val="17"/>
          <w:color w:val="auto"/>
        </w:rPr>
      </w:pPr>
      <w:r>
        <w:rPr>
          <w:rFonts w:ascii="Arial" w:cs="Arial" w:eastAsia="Arial" w:hAnsi="Arial"/>
          <w:sz w:val="17"/>
          <w:szCs w:val="17"/>
          <w:b w:val="1"/>
          <w:bCs w:val="1"/>
          <w:color w:val="auto"/>
        </w:rPr>
        <w:t>Restricted Period</w:t>
      </w:r>
      <w:r>
        <w:rPr>
          <w:rFonts w:ascii="Arial" w:cs="Arial" w:eastAsia="Arial" w:hAnsi="Arial"/>
          <w:sz w:val="17"/>
          <w:szCs w:val="17"/>
          <w:color w:val="auto"/>
        </w:rPr>
        <w:t>. With respect to Restricted Stock and Restricted Stock Units, the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Period shall commence on the Date of Grant and end at the time or times set forth on a schedule established by the Committee in the applicable Award Agreement.</w:t>
      </w:r>
    </w:p>
    <w:p>
      <w:pPr>
        <w:spacing w:after="0" w:line="99" w:lineRule="exact"/>
        <w:rPr>
          <w:rFonts w:ascii="Arial" w:cs="Arial" w:eastAsia="Arial" w:hAnsi="Arial"/>
          <w:sz w:val="17"/>
          <w:szCs w:val="17"/>
          <w:color w:val="auto"/>
        </w:rPr>
      </w:pPr>
    </w:p>
    <w:p>
      <w:pPr>
        <w:jc w:val="both"/>
        <w:ind w:left="160" w:right="59" w:firstLine="673"/>
        <w:spacing w:after="0" w:line="256" w:lineRule="auto"/>
        <w:tabs>
          <w:tab w:leader="none" w:pos="1514" w:val="left"/>
        </w:tabs>
        <w:numPr>
          <w:ilvl w:val="0"/>
          <w:numId w:val="135"/>
        </w:numPr>
        <w:rPr>
          <w:rFonts w:ascii="Arial" w:cs="Arial" w:eastAsia="Arial" w:hAnsi="Arial"/>
          <w:sz w:val="17"/>
          <w:szCs w:val="17"/>
          <w:color w:val="auto"/>
        </w:rPr>
      </w:pPr>
      <w:r>
        <w:rPr>
          <w:rFonts w:ascii="Arial" w:cs="Arial" w:eastAsia="Arial" w:hAnsi="Arial"/>
          <w:sz w:val="17"/>
          <w:szCs w:val="17"/>
          <w:b w:val="1"/>
          <w:bCs w:val="1"/>
          <w:color w:val="auto"/>
        </w:rPr>
        <w:t>Delivery of Restricted Stock and Settlement of Restricted Stock Units</w:t>
      </w:r>
      <w:r>
        <w:rPr>
          <w:rFonts w:ascii="Arial" w:cs="Arial" w:eastAsia="Arial" w:hAnsi="Arial"/>
          <w:sz w:val="17"/>
          <w:szCs w:val="17"/>
          <w:color w:val="auto"/>
        </w:rPr>
        <w:t>. Upon the expiration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Restricted Period with respect to any shares of Restricted Stock, the restrictions set forth in Section 9(b) and the applicable Award Agreement shall be of no further force or effect with respect to such shares, except as set forth in the applicable Award Agreement. If an escrow arrangement is used, upon such expiration, the Company shall deliver to the Participant, or his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w:t>
      </w:r>
    </w:p>
    <w:p>
      <w:pPr>
        <w:spacing w:after="0" w:line="121" w:lineRule="exact"/>
        <w:rPr>
          <w:sz w:val="20"/>
          <w:szCs w:val="20"/>
          <w:color w:val="auto"/>
        </w:rPr>
      </w:pPr>
    </w:p>
    <w:p>
      <w:pPr>
        <w:jc w:val="both"/>
        <w:ind w:left="160" w:right="59" w:firstLine="677"/>
        <w:spacing w:after="0" w:line="252" w:lineRule="auto"/>
        <w:rPr>
          <w:sz w:val="20"/>
          <w:szCs w:val="20"/>
          <w:color w:val="auto"/>
        </w:rPr>
      </w:pPr>
      <w:r>
        <w:rPr>
          <w:rFonts w:ascii="Arial" w:cs="Arial" w:eastAsia="Arial" w:hAnsi="Arial"/>
          <w:sz w:val="17"/>
          <w:szCs w:val="17"/>
          <w:color w:val="auto"/>
        </w:rPr>
        <w:t>Subject to the applicable Award Agreement, upon the expiration of the Restricted Period with respect to any outstanding Restricted Stock Units, the Company shall deliver to the Participant, or his beneficiary, without charge, one share of Stock for each such outstanding Restricted Stock Unit (“</w:t>
      </w:r>
      <w:r>
        <w:rPr>
          <w:rFonts w:ascii="Arial" w:cs="Arial" w:eastAsia="Arial" w:hAnsi="Arial"/>
          <w:sz w:val="17"/>
          <w:szCs w:val="17"/>
          <w:u w:val="single" w:color="auto"/>
          <w:color w:val="auto"/>
        </w:rPr>
        <w:t>Vested Unit</w:t>
      </w:r>
      <w:r>
        <w:rPr>
          <w:rFonts w:ascii="Arial" w:cs="Arial" w:eastAsia="Arial" w:hAnsi="Arial"/>
          <w:sz w:val="17"/>
          <w:szCs w:val="17"/>
          <w:color w:val="auto"/>
        </w:rPr>
        <w:t>”) and cash equal to any dividend equivalents credited with respect to each such Vested Unit in accordance with Section 9(a)(iv) hereof and the interest thereon or, at the discretion of the Committee, in shares of Stock having a Fair Market Value equal to such dividend equivalents and interest thereon, if any; provided, however, that, the Committee may, in its sole discretion, elect to (i) pay cash or part cash and part Stock in lieu of delivering only shares of Stock for Vested Units or (ii) delay the delivery of Stock (or cash or part Stock and part cash, as the case may be) beyond the expiration of the Restricted Period. If a cash payment is made in lieu of delivering shares of Stock, the amount of such payment shall be equal to the Fair Market Value of the Stock as of the date on which the Restricted Period lapsed with respect to such Vested Unit.</w:t>
      </w:r>
    </w:p>
    <w:p>
      <w:pPr>
        <w:spacing w:after="0" w:line="120" w:lineRule="exact"/>
        <w:rPr>
          <w:sz w:val="20"/>
          <w:szCs w:val="20"/>
          <w:color w:val="auto"/>
        </w:rPr>
      </w:pPr>
    </w:p>
    <w:p>
      <w:pPr>
        <w:jc w:val="both"/>
        <w:ind w:left="160" w:right="59" w:firstLine="673"/>
        <w:spacing w:after="0" w:line="269" w:lineRule="auto"/>
        <w:tabs>
          <w:tab w:leader="none" w:pos="1514"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Stock Restrictions</w:t>
      </w:r>
      <w:r>
        <w:rPr>
          <w:rFonts w:ascii="Arial" w:cs="Arial" w:eastAsia="Arial" w:hAnsi="Arial"/>
          <w:sz w:val="17"/>
          <w:szCs w:val="17"/>
          <w:color w:val="auto"/>
        </w:rPr>
        <w:t>. Each certificate representing Restricted Stock awarded under the Plan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bear a legend substantially in the form of the following until the lapse of all restrictions with respect to such Stock as well as any other information the Company deems appropriate:</w:t>
      </w:r>
    </w:p>
    <w:p>
      <w:pPr>
        <w:spacing w:after="0" w:line="119" w:lineRule="exact"/>
        <w:rPr>
          <w:sz w:val="20"/>
          <w:szCs w:val="20"/>
          <w:color w:val="auto"/>
        </w:rPr>
      </w:pPr>
    </w:p>
    <w:p>
      <w:pPr>
        <w:jc w:val="both"/>
        <w:ind w:left="1520" w:right="1419" w:firstLine="677"/>
        <w:spacing w:after="0" w:line="251" w:lineRule="auto"/>
        <w:rPr>
          <w:sz w:val="20"/>
          <w:szCs w:val="20"/>
          <w:color w:val="auto"/>
        </w:rPr>
      </w:pPr>
      <w:r>
        <w:rPr>
          <w:rFonts w:ascii="Arial" w:cs="Arial" w:eastAsia="Arial" w:hAnsi="Arial"/>
          <w:sz w:val="17"/>
          <w:szCs w:val="17"/>
          <w:color w:val="auto"/>
        </w:rPr>
        <w:t>Transfer of this certificate and the shares represented hereby is restricted pursuant to the terms of the ExlService Holdings, Inc. 2018 Omnibus Incentive Plan and a Restricted Stock Award Agreement, dated as of</w:t>
      </w:r>
    </w:p>
    <w:p>
      <w:pPr>
        <w:spacing w:after="0" w:line="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_____________, between ExlService Holdings, Inc. and __________________.</w:t>
      </w:r>
    </w:p>
    <w:p>
      <w:pPr>
        <w:spacing w:after="0" w:line="10" w:lineRule="exact"/>
        <w:rPr>
          <w:sz w:val="20"/>
          <w:szCs w:val="20"/>
          <w:color w:val="auto"/>
        </w:rPr>
      </w:pPr>
    </w:p>
    <w:p>
      <w:pPr>
        <w:jc w:val="both"/>
        <w:ind w:left="1520" w:right="1419"/>
        <w:spacing w:after="0" w:line="263" w:lineRule="auto"/>
        <w:rPr>
          <w:sz w:val="20"/>
          <w:szCs w:val="20"/>
          <w:color w:val="auto"/>
        </w:rPr>
      </w:pPr>
      <w:r>
        <w:rPr>
          <w:rFonts w:ascii="Arial" w:cs="Arial" w:eastAsia="Arial" w:hAnsi="Arial"/>
          <w:sz w:val="17"/>
          <w:szCs w:val="17"/>
          <w:color w:val="auto"/>
        </w:rPr>
        <w:t>A copy of such Plan and Agreement is on file at the offices of ExlService Holdings, Inc.</w:t>
      </w:r>
    </w:p>
    <w:p>
      <w:pPr>
        <w:spacing w:after="0" w:line="110" w:lineRule="exact"/>
        <w:rPr>
          <w:sz w:val="20"/>
          <w:szCs w:val="20"/>
          <w:color w:val="auto"/>
        </w:rPr>
      </w:pPr>
    </w:p>
    <w:p>
      <w:pPr>
        <w:ind w:left="160" w:right="59"/>
        <w:spacing w:after="0" w:line="263" w:lineRule="auto"/>
        <w:rPr>
          <w:sz w:val="20"/>
          <w:szCs w:val="20"/>
          <w:color w:val="auto"/>
        </w:rPr>
      </w:pPr>
      <w:r>
        <w:rPr>
          <w:rFonts w:ascii="Arial" w:cs="Arial" w:eastAsia="Arial" w:hAnsi="Arial"/>
          <w:sz w:val="17"/>
          <w:szCs w:val="17"/>
          <w:color w:val="auto"/>
        </w:rPr>
        <w:t>Stop transfer orders shall be entered with the Company’s transfer agent and registrar against the transfer of legended securities.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551815</wp:posOffset>
            </wp:positionV>
            <wp:extent cx="7310755" cy="241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03" w:name="page104"/>
    <w:bookmarkEnd w:id="103"/>
    <w:p>
      <w:pPr>
        <w:spacing w:after="0" w:line="38" w:lineRule="exact"/>
        <w:rPr>
          <w:sz w:val="20"/>
          <w:szCs w:val="20"/>
          <w:color w:val="auto"/>
        </w:rPr>
      </w:pPr>
    </w:p>
    <w:p>
      <w:pPr>
        <w:ind w:left="840" w:hanging="684"/>
        <w:spacing w:after="0"/>
        <w:tabs>
          <w:tab w:leader="none" w:pos="84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Stock Bonus Awards</w:t>
      </w:r>
    </w:p>
    <w:p>
      <w:pPr>
        <w:spacing w:after="0" w:line="158" w:lineRule="exact"/>
        <w:rPr>
          <w:sz w:val="20"/>
          <w:szCs w:val="20"/>
          <w:color w:val="auto"/>
        </w:rPr>
      </w:pPr>
    </w:p>
    <w:p>
      <w:pPr>
        <w:jc w:val="both"/>
        <w:ind w:left="160" w:right="59" w:firstLine="677"/>
        <w:spacing w:after="0" w:line="254" w:lineRule="auto"/>
        <w:rPr>
          <w:sz w:val="20"/>
          <w:szCs w:val="20"/>
          <w:color w:val="auto"/>
        </w:rPr>
      </w:pPr>
      <w:r>
        <w:rPr>
          <w:rFonts w:ascii="Arial" w:cs="Arial" w:eastAsia="Arial" w:hAnsi="Arial"/>
          <w:sz w:val="17"/>
          <w:szCs w:val="17"/>
          <w:color w:val="auto"/>
        </w:rPr>
        <w:t>The Committee may issue unrestricted Stock, or other Awards denominated in Stock, including and without limitation, fully-vested deferred stock units, under the Plan to Eligible Persons, alone or in tandem with other Awards, in such amounts and subject to such terms and conditions as the Committee shall from time to time in its sole discretion determine. A Stock Bonus Award under the Plan shall be granted as, or in payment of, a bonus, or to provide incentives or recognize special achievements or contributions.</w:t>
      </w:r>
    </w:p>
    <w:p>
      <w:pPr>
        <w:spacing w:after="0" w:line="112" w:lineRule="exact"/>
        <w:rPr>
          <w:sz w:val="20"/>
          <w:szCs w:val="20"/>
          <w:color w:val="auto"/>
        </w:rPr>
      </w:pPr>
    </w:p>
    <w:p>
      <w:pPr>
        <w:ind w:left="840" w:hanging="684"/>
        <w:spacing w:after="0"/>
        <w:tabs>
          <w:tab w:leader="none" w:pos="84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Cash Bonus Awards and Certain Limitations</w:t>
      </w:r>
    </w:p>
    <w:p>
      <w:pPr>
        <w:spacing w:after="0" w:line="171" w:lineRule="exact"/>
        <w:rPr>
          <w:sz w:val="20"/>
          <w:szCs w:val="20"/>
          <w:color w:val="auto"/>
        </w:rPr>
      </w:pPr>
    </w:p>
    <w:p>
      <w:pPr>
        <w:jc w:val="both"/>
        <w:ind w:left="160" w:right="59" w:firstLine="677"/>
        <w:spacing w:after="0" w:line="257" w:lineRule="auto"/>
        <w:rPr>
          <w:sz w:val="20"/>
          <w:szCs w:val="20"/>
          <w:color w:val="auto"/>
        </w:rPr>
      </w:pPr>
      <w:r>
        <w:rPr>
          <w:rFonts w:ascii="Arial" w:cs="Arial" w:eastAsia="Arial" w:hAnsi="Arial"/>
          <w:sz w:val="17"/>
          <w:szCs w:val="17"/>
          <w:color w:val="auto"/>
        </w:rPr>
        <w:t>The Committee shall have the authority to make an Award of a cash bonus to any Participant. Any such Award may be subject to a Performance Period, Performance Goals or such other terms and conditions as the Committee may designate in the applicable Award Agreement.</w:t>
      </w:r>
    </w:p>
    <w:p>
      <w:pPr>
        <w:spacing w:after="0" w:line="96" w:lineRule="exact"/>
        <w:rPr>
          <w:sz w:val="20"/>
          <w:szCs w:val="20"/>
          <w:color w:val="auto"/>
        </w:rPr>
      </w:pPr>
    </w:p>
    <w:p>
      <w:pPr>
        <w:ind w:left="840" w:hanging="684"/>
        <w:spacing w:after="0"/>
        <w:tabs>
          <w:tab w:leader="none" w:pos="84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General</w:t>
      </w:r>
    </w:p>
    <w:p>
      <w:pPr>
        <w:spacing w:after="0" w:line="150" w:lineRule="exact"/>
        <w:rPr>
          <w:rFonts w:ascii="Arial" w:cs="Arial" w:eastAsia="Arial" w:hAnsi="Arial"/>
          <w:sz w:val="17"/>
          <w:szCs w:val="17"/>
          <w:b w:val="1"/>
          <w:bCs w:val="1"/>
          <w:color w:val="auto"/>
        </w:rPr>
      </w:pPr>
    </w:p>
    <w:p>
      <w:pPr>
        <w:jc w:val="both"/>
        <w:ind w:left="160" w:right="59" w:firstLine="673"/>
        <w:spacing w:after="0" w:line="254" w:lineRule="auto"/>
        <w:tabs>
          <w:tab w:leader="none" w:pos="1514" w:val="left"/>
        </w:tabs>
        <w:numPr>
          <w:ilvl w:val="1"/>
          <w:numId w:val="139"/>
        </w:numPr>
        <w:rPr>
          <w:rFonts w:ascii="Arial" w:cs="Arial" w:eastAsia="Arial" w:hAnsi="Arial"/>
          <w:sz w:val="17"/>
          <w:szCs w:val="17"/>
          <w:color w:val="auto"/>
        </w:rPr>
      </w:pPr>
      <w:r>
        <w:rPr>
          <w:rFonts w:ascii="Arial" w:cs="Arial" w:eastAsia="Arial" w:hAnsi="Arial"/>
          <w:sz w:val="17"/>
          <w:szCs w:val="17"/>
          <w:b w:val="1"/>
          <w:bCs w:val="1"/>
          <w:color w:val="auto"/>
        </w:rPr>
        <w:t>Additional Provisions of an Award</w:t>
      </w:r>
      <w:r>
        <w:rPr>
          <w:rFonts w:ascii="Arial" w:cs="Arial" w:eastAsia="Arial" w:hAnsi="Arial"/>
          <w:sz w:val="17"/>
          <w:szCs w:val="17"/>
          <w:color w:val="auto"/>
        </w:rPr>
        <w:t>. Awards to a Participant under the Plan also may be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such other provisions (whether or not applicable to Awards granted to any other Participant) as the Committee determines appropriate, including, without limitation, provisions to assist the Participant in financing the purchase of Stock upon the exercise of Options (provided, that the Committee determines that providing such financing does not violate the Sarbanes-Oxley Act of 2002), adding dividend equivalent rights or other protections to Participants in respect of dividends paid on Stock underlying any Award (in addition to and subject to those provisions of Section 9, including the prohibition on currently paying dividends or dividend equivalents prior to the release of restrictions or settlement of the corresponding Restricted Stock or Restricted Stock Units), provisions for the forfeiture of or restrictions on resale or other disposition of shares of Stock acquired under any Award, provisions giving the Company the right to repurchase shares of Stock acquired under any Award in the event the Participant elects to dispose of such shares, provisions allowing the Participant to elect to defer the receipt of payment in respect of Awards for a specified period or until a specified event, and provisions to comply with Federal and state securities laws and Federal and state tax withholding requirements;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deferral does not result in acceleration of taxability of an Award prior to receipt, or tax penalties, under Section 409A of the Code. Any such provisions shall be reflected in the applicable Award Agreement.</w:t>
      </w:r>
    </w:p>
    <w:p>
      <w:pPr>
        <w:spacing w:after="0" w:line="114" w:lineRule="exact"/>
        <w:rPr>
          <w:rFonts w:ascii="Arial" w:cs="Arial" w:eastAsia="Arial" w:hAnsi="Arial"/>
          <w:sz w:val="17"/>
          <w:szCs w:val="17"/>
          <w:color w:val="auto"/>
        </w:rPr>
      </w:pPr>
    </w:p>
    <w:p>
      <w:pPr>
        <w:jc w:val="both"/>
        <w:ind w:left="160" w:right="59" w:firstLine="673"/>
        <w:spacing w:after="0" w:line="256" w:lineRule="auto"/>
        <w:tabs>
          <w:tab w:leader="none" w:pos="1514" w:val="left"/>
        </w:tabs>
        <w:numPr>
          <w:ilvl w:val="1"/>
          <w:numId w:val="139"/>
        </w:numPr>
        <w:rPr>
          <w:rFonts w:ascii="Arial" w:cs="Arial" w:eastAsia="Arial" w:hAnsi="Arial"/>
          <w:sz w:val="17"/>
          <w:szCs w:val="17"/>
          <w:color w:val="auto"/>
        </w:rPr>
      </w:pPr>
      <w:r>
        <w:rPr>
          <w:rFonts w:ascii="Arial" w:cs="Arial" w:eastAsia="Arial" w:hAnsi="Arial"/>
          <w:sz w:val="17"/>
          <w:szCs w:val="17"/>
          <w:b w:val="1"/>
          <w:bCs w:val="1"/>
          <w:color w:val="auto"/>
        </w:rPr>
        <w:t>Treatment of Dividends and Dividend Equivalents on Unvested Awards</w:t>
      </w:r>
      <w:r>
        <w:rPr>
          <w:rFonts w:ascii="Arial" w:cs="Arial" w:eastAsia="Arial" w:hAnsi="Arial"/>
          <w:sz w:val="17"/>
          <w:szCs w:val="17"/>
          <w:color w:val="auto"/>
        </w:rPr>
        <w:t>. In no event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or dividend equivalents (whether paid in cash or shares of Stock) be paid with respect to Options or Stock Appreciation Rights. Notwithstanding any other provision of the Plan to the contrary, with respect to any Award that provides for or includes a right to dividends or dividend equivalents, if dividends are declared during the period that an Award is outstanding, such dividends (or dividend equivalents) shall either (i) not be paid or credited with respect to such Award or (ii) be accumulated but remain subject to vesting requirement(s) to the same extent as the applicable Award and shall only be paid at the time or times such vesting requirement(s) are satisfied and the Award is settled (as applicable).</w:t>
      </w:r>
    </w:p>
    <w:p>
      <w:pPr>
        <w:spacing w:after="0" w:line="101" w:lineRule="exact"/>
        <w:rPr>
          <w:rFonts w:ascii="Arial" w:cs="Arial" w:eastAsia="Arial" w:hAnsi="Arial"/>
          <w:sz w:val="17"/>
          <w:szCs w:val="17"/>
          <w:color w:val="auto"/>
        </w:rPr>
      </w:pPr>
    </w:p>
    <w:p>
      <w:pPr>
        <w:jc w:val="both"/>
        <w:ind w:left="160" w:right="79" w:firstLine="673"/>
        <w:spacing w:after="0" w:line="269" w:lineRule="auto"/>
        <w:tabs>
          <w:tab w:leader="none" w:pos="1514" w:val="left"/>
        </w:tabs>
        <w:numPr>
          <w:ilvl w:val="1"/>
          <w:numId w:val="139"/>
        </w:numPr>
        <w:rPr>
          <w:rFonts w:ascii="Arial" w:cs="Arial" w:eastAsia="Arial" w:hAnsi="Arial"/>
          <w:sz w:val="17"/>
          <w:szCs w:val="17"/>
          <w:color w:val="auto"/>
        </w:rPr>
      </w:pPr>
      <w:r>
        <w:rPr>
          <w:rFonts w:ascii="Arial" w:cs="Arial" w:eastAsia="Arial" w:hAnsi="Arial"/>
          <w:sz w:val="17"/>
          <w:szCs w:val="17"/>
          <w:b w:val="1"/>
          <w:bCs w:val="1"/>
          <w:color w:val="auto"/>
        </w:rPr>
        <w:t>Privileges of Stock Ownership</w:t>
      </w:r>
      <w:r>
        <w:rPr>
          <w:rFonts w:ascii="Arial" w:cs="Arial" w:eastAsia="Arial" w:hAnsi="Arial"/>
          <w:sz w:val="17"/>
          <w:szCs w:val="17"/>
          <w:color w:val="auto"/>
        </w:rPr>
        <w:t>. Except as otherwise specifically provided in the Plan, no person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entitled to the privileges of ownership in respect of shares of Stock which are subject to Awards hereunder until such shares have been issued to that person.</w:t>
      </w:r>
    </w:p>
    <w:p>
      <w:pPr>
        <w:spacing w:after="0" w:line="99" w:lineRule="exact"/>
        <w:rPr>
          <w:rFonts w:ascii="Arial" w:cs="Arial" w:eastAsia="Arial" w:hAnsi="Arial"/>
          <w:sz w:val="17"/>
          <w:szCs w:val="17"/>
          <w:color w:val="auto"/>
        </w:rPr>
      </w:pPr>
    </w:p>
    <w:p>
      <w:pPr>
        <w:jc w:val="both"/>
        <w:ind w:left="160" w:right="59" w:firstLine="673"/>
        <w:spacing w:after="0" w:line="259" w:lineRule="auto"/>
        <w:tabs>
          <w:tab w:leader="none" w:pos="1514" w:val="left"/>
        </w:tabs>
        <w:numPr>
          <w:ilvl w:val="1"/>
          <w:numId w:val="139"/>
        </w:numPr>
        <w:rPr>
          <w:rFonts w:ascii="Arial" w:cs="Arial" w:eastAsia="Arial" w:hAnsi="Arial"/>
          <w:sz w:val="17"/>
          <w:szCs w:val="17"/>
          <w:color w:val="auto"/>
        </w:rPr>
      </w:pPr>
      <w:r>
        <w:rPr>
          <w:rFonts w:ascii="Arial" w:cs="Arial" w:eastAsia="Arial" w:hAnsi="Arial"/>
          <w:sz w:val="17"/>
          <w:szCs w:val="17"/>
          <w:b w:val="1"/>
          <w:bCs w:val="1"/>
          <w:color w:val="auto"/>
        </w:rPr>
        <w:t>Government and Other Regulations</w:t>
      </w:r>
      <w:r>
        <w:rPr>
          <w:rFonts w:ascii="Arial" w:cs="Arial" w:eastAsia="Arial" w:hAnsi="Arial"/>
          <w:sz w:val="17"/>
          <w:szCs w:val="17"/>
          <w:color w:val="auto"/>
        </w:rPr>
        <w:t>. The obligation of the Company to settle Awards in Stock</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Stock pursuant to an Award unless such shares have been properly registered for sale pursuant to the Securities Act with the Securities and Exchange Commission or unless the Company has received an opinion of counsel, satisfactory to</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559435</wp:posOffset>
            </wp:positionV>
            <wp:extent cx="7310755" cy="241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04" w:name="page105"/>
    <w:bookmarkEnd w:id="104"/>
    <w:p>
      <w:pPr>
        <w:spacing w:after="0" w:line="58" w:lineRule="exact"/>
        <w:rPr>
          <w:sz w:val="20"/>
          <w:szCs w:val="20"/>
          <w:color w:val="auto"/>
        </w:rPr>
      </w:pPr>
    </w:p>
    <w:p>
      <w:pPr>
        <w:jc w:val="both"/>
        <w:ind w:left="160" w:right="59"/>
        <w:spacing w:after="0" w:line="253" w:lineRule="auto"/>
        <w:rPr>
          <w:sz w:val="20"/>
          <w:szCs w:val="20"/>
          <w:color w:val="auto"/>
        </w:rPr>
      </w:pPr>
      <w:r>
        <w:rPr>
          <w:rFonts w:ascii="Arial" w:cs="Arial" w:eastAsia="Arial" w:hAnsi="Arial"/>
          <w:sz w:val="17"/>
          <w:szCs w:val="17"/>
          <w:color w:val="auto"/>
        </w:rPr>
        <w:t>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Stock to be offered or sold under the Plan. If the shares of Stock offered for sale or sold under the Plan are offered or sold pursuant to an exemption from registration under the Securities Act, the Company may restrict the transfer of such shares and may legend the Stock certificates representing such shares in such manner as it deems advisable to ensure the availability of any such exemption.</w:t>
      </w:r>
    </w:p>
    <w:p>
      <w:pPr>
        <w:spacing w:after="0" w:line="102" w:lineRule="exact"/>
        <w:rPr>
          <w:sz w:val="20"/>
          <w:szCs w:val="20"/>
          <w:color w:val="auto"/>
        </w:rPr>
      </w:pPr>
    </w:p>
    <w:p>
      <w:pPr>
        <w:ind w:left="1520" w:hanging="687"/>
        <w:spacing w:after="0"/>
        <w:tabs>
          <w:tab w:leader="none" w:pos="1520" w:val="left"/>
        </w:tabs>
        <w:numPr>
          <w:ilvl w:val="0"/>
          <w:numId w:val="140"/>
        </w:numPr>
        <w:rPr>
          <w:rFonts w:ascii="Arial" w:cs="Arial" w:eastAsia="Arial" w:hAnsi="Arial"/>
          <w:sz w:val="17"/>
          <w:szCs w:val="17"/>
          <w:color w:val="auto"/>
        </w:rPr>
      </w:pPr>
      <w:r>
        <w:rPr>
          <w:rFonts w:ascii="Arial" w:cs="Arial" w:eastAsia="Arial" w:hAnsi="Arial"/>
          <w:sz w:val="17"/>
          <w:szCs w:val="17"/>
          <w:b w:val="1"/>
          <w:bCs w:val="1"/>
          <w:color w:val="auto"/>
        </w:rPr>
        <w:t>Tax Withholding</w:t>
      </w:r>
      <w:r>
        <w:rPr>
          <w:rFonts w:ascii="Arial" w:cs="Arial" w:eastAsia="Arial" w:hAnsi="Arial"/>
          <w:sz w:val="17"/>
          <w:szCs w:val="17"/>
          <w:color w:val="auto"/>
        </w:rPr>
        <w:t>.</w:t>
      </w:r>
    </w:p>
    <w:p>
      <w:pPr>
        <w:spacing w:after="0" w:line="170" w:lineRule="exact"/>
        <w:rPr>
          <w:rFonts w:ascii="Arial" w:cs="Arial" w:eastAsia="Arial" w:hAnsi="Arial"/>
          <w:sz w:val="17"/>
          <w:szCs w:val="17"/>
          <w:color w:val="auto"/>
        </w:rPr>
      </w:pPr>
    </w:p>
    <w:p>
      <w:pPr>
        <w:jc w:val="both"/>
        <w:ind w:left="160" w:right="59" w:firstLine="1350"/>
        <w:spacing w:after="0" w:line="254" w:lineRule="auto"/>
        <w:tabs>
          <w:tab w:leader="none" w:pos="2191" w:val="left"/>
        </w:tabs>
        <w:numPr>
          <w:ilvl w:val="1"/>
          <w:numId w:val="140"/>
        </w:numPr>
        <w:rPr>
          <w:rFonts w:ascii="Arial" w:cs="Arial" w:eastAsia="Arial" w:hAnsi="Arial"/>
          <w:sz w:val="17"/>
          <w:szCs w:val="17"/>
          <w:color w:val="auto"/>
        </w:rPr>
      </w:pPr>
      <w:r>
        <w:rPr>
          <w:rFonts w:ascii="Arial" w:cs="Arial" w:eastAsia="Arial" w:hAnsi="Arial"/>
          <w:sz w:val="17"/>
          <w:szCs w:val="17"/>
          <w:color w:val="auto"/>
        </w:rPr>
        <w:t>A Participant may be required to pay to the Company or any Affiliate, and the Company or any Affiliate shall have the right and is hereby authorized to withhold from any shares of Stock or other property deliverable under any Award or from any compensation or other amounts owing to a Participant, the amount (in cash, Stock or other property) of any required income tax withholding and payroll taxes in respect of an Award, its exercise, or any payment or transfer under an Award or under the Plan and to take such other action as may be necessary in the opinion of the Company to satisfy all obligations for the payment of such withholding and taxes.</w:t>
      </w:r>
    </w:p>
    <w:p>
      <w:pPr>
        <w:spacing w:after="0" w:line="130" w:lineRule="exact"/>
        <w:rPr>
          <w:rFonts w:ascii="Arial" w:cs="Arial" w:eastAsia="Arial" w:hAnsi="Arial"/>
          <w:sz w:val="17"/>
          <w:szCs w:val="17"/>
          <w:color w:val="auto"/>
        </w:rPr>
      </w:pPr>
    </w:p>
    <w:p>
      <w:pPr>
        <w:jc w:val="both"/>
        <w:ind w:left="160" w:right="59" w:firstLine="1350"/>
        <w:spacing w:after="0" w:line="254" w:lineRule="auto"/>
        <w:tabs>
          <w:tab w:leader="none" w:pos="2191" w:val="left"/>
        </w:tabs>
        <w:numPr>
          <w:ilvl w:val="1"/>
          <w:numId w:val="140"/>
        </w:numPr>
        <w:rPr>
          <w:rFonts w:ascii="Arial" w:cs="Arial" w:eastAsia="Arial" w:hAnsi="Arial"/>
          <w:sz w:val="17"/>
          <w:szCs w:val="17"/>
          <w:color w:val="auto"/>
        </w:rPr>
      </w:pPr>
      <w:r>
        <w:rPr>
          <w:rFonts w:ascii="Arial" w:cs="Arial" w:eastAsia="Arial" w:hAnsi="Arial"/>
          <w:sz w:val="17"/>
          <w:szCs w:val="17"/>
          <w:color w:val="auto"/>
        </w:rPr>
        <w:t>Without limiting the generality of clause (i) above, the Committee may, in its sole discretion, permit a Participant to satisfy, in whole or in part, the foregoing withholding (at a tax withholding rate that will not result in adverse accounting implications for the Company) by (A) the delivery of shares of Stock owned by the Participant having a Fair Market Value equal to such withholding liability or (B) having the Company withhold from the number of shares of Stock otherwise issuable pursuant to the exercise or settlement of the Award a number of shares with a Fair Market Value equal to such withholding liability.</w:t>
      </w:r>
    </w:p>
    <w:p>
      <w:pPr>
        <w:spacing w:after="0" w:line="97" w:lineRule="exact"/>
        <w:rPr>
          <w:rFonts w:ascii="Arial" w:cs="Arial" w:eastAsia="Arial" w:hAnsi="Arial"/>
          <w:sz w:val="17"/>
          <w:szCs w:val="17"/>
          <w:color w:val="auto"/>
        </w:rPr>
      </w:pPr>
    </w:p>
    <w:p>
      <w:pPr>
        <w:jc w:val="both"/>
        <w:ind w:left="160" w:right="59" w:firstLine="673"/>
        <w:spacing w:after="0" w:line="263" w:lineRule="auto"/>
        <w:tabs>
          <w:tab w:leader="none" w:pos="1514" w:val="left"/>
        </w:tabs>
        <w:numPr>
          <w:ilvl w:val="0"/>
          <w:numId w:val="140"/>
        </w:numPr>
        <w:rPr>
          <w:rFonts w:ascii="Arial" w:cs="Arial" w:eastAsia="Arial" w:hAnsi="Arial"/>
          <w:sz w:val="17"/>
          <w:szCs w:val="17"/>
          <w:color w:val="auto"/>
        </w:rPr>
      </w:pPr>
      <w:r>
        <w:rPr>
          <w:rFonts w:ascii="Arial" w:cs="Arial" w:eastAsia="Arial" w:hAnsi="Arial"/>
          <w:sz w:val="17"/>
          <w:szCs w:val="17"/>
          <w:b w:val="1"/>
          <w:bCs w:val="1"/>
          <w:color w:val="auto"/>
        </w:rPr>
        <w:t>Claim to Awards and Employment Rights</w:t>
      </w:r>
      <w:r>
        <w:rPr>
          <w:rFonts w:ascii="Arial" w:cs="Arial" w:eastAsia="Arial" w:hAnsi="Arial"/>
          <w:sz w:val="17"/>
          <w:szCs w:val="17"/>
          <w:color w:val="auto"/>
        </w:rPr>
        <w:t>. No employee of the Company or an Affiliate,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person, shall have any claim or right to be granted an Award under the Plan or, having been selected for the grant of an Award, to be selected for a grant of any other Award. Neither the Plan nor any action taken hereunder shall be construed as giving any Participant any right to be retained in the employ or service of the Company or an Affiliate.</w:t>
      </w:r>
    </w:p>
    <w:p>
      <w:pPr>
        <w:spacing w:after="0" w:line="104" w:lineRule="exact"/>
        <w:rPr>
          <w:rFonts w:ascii="Arial" w:cs="Arial" w:eastAsia="Arial" w:hAnsi="Arial"/>
          <w:sz w:val="17"/>
          <w:szCs w:val="17"/>
          <w:color w:val="auto"/>
        </w:rPr>
      </w:pPr>
    </w:p>
    <w:p>
      <w:pPr>
        <w:jc w:val="both"/>
        <w:ind w:left="160" w:right="59" w:firstLine="673"/>
        <w:spacing w:after="0" w:line="256" w:lineRule="auto"/>
        <w:tabs>
          <w:tab w:leader="none" w:pos="1514" w:val="left"/>
        </w:tabs>
        <w:numPr>
          <w:ilvl w:val="0"/>
          <w:numId w:val="140"/>
        </w:numPr>
        <w:rPr>
          <w:rFonts w:ascii="Arial" w:cs="Arial" w:eastAsia="Arial" w:hAnsi="Arial"/>
          <w:sz w:val="17"/>
          <w:szCs w:val="17"/>
          <w:color w:val="auto"/>
        </w:rPr>
      </w:pPr>
      <w:r>
        <w:rPr>
          <w:rFonts w:ascii="Arial" w:cs="Arial" w:eastAsia="Arial" w:hAnsi="Arial"/>
          <w:sz w:val="17"/>
          <w:szCs w:val="17"/>
          <w:b w:val="1"/>
          <w:bCs w:val="1"/>
          <w:color w:val="auto"/>
        </w:rPr>
        <w:t>Designation and Change of Beneficiary</w:t>
      </w:r>
      <w:r>
        <w:rPr>
          <w:rFonts w:ascii="Arial" w:cs="Arial" w:eastAsia="Arial" w:hAnsi="Arial"/>
          <w:sz w:val="17"/>
          <w:szCs w:val="17"/>
          <w:color w:val="auto"/>
        </w:rPr>
        <w:t>. Each Participant may file with the Committee a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designation of one or more persons as the beneficiary who shall be entitled to receive the amounts payable with respect to an Award, if any, due under the Plan upon his death. A Participant may, from time to time, revoke or change his beneficiary designation without the consent of any prior beneficiary by filing a new designation with the Committee. The last such designation received by the Committee shall be controlling;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w:t>
      </w:r>
    </w:p>
    <w:p>
      <w:pPr>
        <w:spacing w:after="0" w:line="110" w:lineRule="exact"/>
        <w:rPr>
          <w:rFonts w:ascii="Arial" w:cs="Arial" w:eastAsia="Arial" w:hAnsi="Arial"/>
          <w:sz w:val="17"/>
          <w:szCs w:val="17"/>
          <w:color w:val="auto"/>
        </w:rPr>
      </w:pPr>
    </w:p>
    <w:p>
      <w:pPr>
        <w:jc w:val="both"/>
        <w:ind w:left="160" w:right="59" w:firstLine="673"/>
        <w:spacing w:after="0" w:line="257" w:lineRule="auto"/>
        <w:tabs>
          <w:tab w:leader="none" w:pos="1514" w:val="left"/>
        </w:tabs>
        <w:numPr>
          <w:ilvl w:val="0"/>
          <w:numId w:val="140"/>
        </w:numPr>
        <w:rPr>
          <w:rFonts w:ascii="Arial" w:cs="Arial" w:eastAsia="Arial" w:hAnsi="Arial"/>
          <w:sz w:val="17"/>
          <w:szCs w:val="17"/>
          <w:color w:val="auto"/>
        </w:rPr>
      </w:pPr>
      <w:r>
        <w:rPr>
          <w:rFonts w:ascii="Arial" w:cs="Arial" w:eastAsia="Arial" w:hAnsi="Arial"/>
          <w:sz w:val="17"/>
          <w:szCs w:val="17"/>
          <w:b w:val="1"/>
          <w:bCs w:val="1"/>
          <w:color w:val="auto"/>
        </w:rPr>
        <w:t>Payments to Persons Other Than Participants</w:t>
      </w:r>
      <w:r>
        <w:rPr>
          <w:rFonts w:ascii="Arial" w:cs="Arial" w:eastAsia="Arial" w:hAnsi="Arial"/>
          <w:sz w:val="17"/>
          <w:szCs w:val="17"/>
          <w:color w:val="auto"/>
        </w:rPr>
        <w:t>. If the Committee shall find that any person to</w:t>
      </w:r>
      <w:r>
        <w:rPr>
          <w:rFonts w:ascii="Arial" w:cs="Arial" w:eastAsia="Arial" w:hAnsi="Arial"/>
          <w:sz w:val="17"/>
          <w:szCs w:val="17"/>
          <w:b w:val="1"/>
          <w:bCs w:val="1"/>
          <w:color w:val="auto"/>
        </w:rPr>
        <w:t xml:space="preserve"> </w:t>
      </w:r>
      <w:r>
        <w:rPr>
          <w:rFonts w:ascii="Arial" w:cs="Arial" w:eastAsia="Arial" w:hAnsi="Arial"/>
          <w:sz w:val="17"/>
          <w:szCs w:val="17"/>
          <w:color w:val="auto"/>
        </w:rPr>
        <w:t>whom any amount is payable under the Plan is 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559435</wp:posOffset>
            </wp:positionV>
            <wp:extent cx="7310755" cy="241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05" w:name="page106"/>
    <w:bookmarkEnd w:id="105"/>
    <w:p>
      <w:pPr>
        <w:spacing w:after="0" w:line="38" w:lineRule="exact"/>
        <w:rPr>
          <w:sz w:val="20"/>
          <w:szCs w:val="20"/>
          <w:color w:val="auto"/>
        </w:rPr>
      </w:pPr>
    </w:p>
    <w:p>
      <w:pPr>
        <w:jc w:val="both"/>
        <w:ind w:left="160" w:right="59" w:firstLine="673"/>
        <w:spacing w:after="0" w:line="255" w:lineRule="auto"/>
        <w:tabs>
          <w:tab w:leader="none" w:pos="1514"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No Liability of Committee Members</w:t>
      </w:r>
      <w:r>
        <w:rPr>
          <w:rFonts w:ascii="Arial" w:cs="Arial" w:eastAsia="Arial" w:hAnsi="Arial"/>
          <w:sz w:val="17"/>
          <w:szCs w:val="17"/>
          <w:color w:val="auto"/>
        </w:rPr>
        <w:t>. No member of the Committee shall be personally liable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reason of any contract or other instrument executed by such member or on his behalf in his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99" w:lineRule="exact"/>
        <w:rPr>
          <w:rFonts w:ascii="Arial" w:cs="Arial" w:eastAsia="Arial" w:hAnsi="Arial"/>
          <w:sz w:val="17"/>
          <w:szCs w:val="17"/>
          <w:color w:val="auto"/>
        </w:rPr>
      </w:pPr>
    </w:p>
    <w:p>
      <w:pPr>
        <w:ind w:left="160" w:right="59" w:firstLine="673"/>
        <w:spacing w:after="0" w:line="287" w:lineRule="auto"/>
        <w:tabs>
          <w:tab w:leader="none" w:pos="1514"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The Plan shall be governed by and construed in accordance with the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laws of the State of Delaware applicable to contracts made and performed wholly within the State of Delaware.</w:t>
      </w:r>
    </w:p>
    <w:p>
      <w:pPr>
        <w:spacing w:after="0" w:line="83" w:lineRule="exact"/>
        <w:rPr>
          <w:rFonts w:ascii="Arial" w:cs="Arial" w:eastAsia="Arial" w:hAnsi="Arial"/>
          <w:sz w:val="17"/>
          <w:szCs w:val="17"/>
          <w:color w:val="auto"/>
        </w:rPr>
      </w:pPr>
    </w:p>
    <w:p>
      <w:pPr>
        <w:jc w:val="both"/>
        <w:ind w:left="160" w:right="59" w:firstLine="673"/>
        <w:spacing w:after="0" w:line="257" w:lineRule="auto"/>
        <w:tabs>
          <w:tab w:leader="none" w:pos="1514"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Funding</w:t>
      </w:r>
      <w:r>
        <w:rPr>
          <w:rFonts w:ascii="Arial" w:cs="Arial" w:eastAsia="Arial" w:hAnsi="Arial"/>
          <w:sz w:val="17"/>
          <w:szCs w:val="17"/>
          <w:color w:val="auto"/>
        </w:rPr>
        <w:t>. No provision of the Plan shall require the Company, for the purpose of satisfying any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under general law.</w:t>
      </w:r>
    </w:p>
    <w:p>
      <w:pPr>
        <w:spacing w:after="0" w:line="111" w:lineRule="exact"/>
        <w:rPr>
          <w:rFonts w:ascii="Arial" w:cs="Arial" w:eastAsia="Arial" w:hAnsi="Arial"/>
          <w:sz w:val="17"/>
          <w:szCs w:val="17"/>
          <w:color w:val="auto"/>
        </w:rPr>
      </w:pPr>
    </w:p>
    <w:p>
      <w:pPr>
        <w:ind w:left="1520" w:hanging="687"/>
        <w:spacing w:after="0"/>
        <w:tabs>
          <w:tab w:leader="none" w:pos="1520"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Nontransferability</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jc w:val="both"/>
        <w:ind w:left="160" w:right="59" w:firstLine="1350"/>
        <w:spacing w:after="0" w:line="253" w:lineRule="auto"/>
        <w:tabs>
          <w:tab w:leader="none" w:pos="2191" w:val="left"/>
        </w:tabs>
        <w:numPr>
          <w:ilvl w:val="1"/>
          <w:numId w:val="141"/>
        </w:numPr>
        <w:rPr>
          <w:rFonts w:ascii="Arial" w:cs="Arial" w:eastAsia="Arial" w:hAnsi="Arial"/>
          <w:sz w:val="17"/>
          <w:szCs w:val="17"/>
          <w:color w:val="auto"/>
        </w:rPr>
      </w:pPr>
      <w:r>
        <w:rPr>
          <w:rFonts w:ascii="Arial" w:cs="Arial" w:eastAsia="Arial" w:hAnsi="Arial"/>
          <w:sz w:val="17"/>
          <w:szCs w:val="17"/>
          <w:color w:val="auto"/>
        </w:rPr>
        <w:t>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134" w:lineRule="exact"/>
        <w:rPr>
          <w:rFonts w:ascii="Arial" w:cs="Arial" w:eastAsia="Arial" w:hAnsi="Arial"/>
          <w:sz w:val="17"/>
          <w:szCs w:val="17"/>
          <w:color w:val="auto"/>
        </w:rPr>
      </w:pPr>
    </w:p>
    <w:p>
      <w:pPr>
        <w:jc w:val="both"/>
        <w:ind w:left="160" w:right="59" w:firstLine="1350"/>
        <w:spacing w:after="0" w:line="257" w:lineRule="auto"/>
        <w:tabs>
          <w:tab w:leader="none" w:pos="2191" w:val="left"/>
        </w:tabs>
        <w:numPr>
          <w:ilvl w:val="1"/>
          <w:numId w:val="141"/>
        </w:numPr>
        <w:rPr>
          <w:rFonts w:ascii="Arial" w:cs="Arial" w:eastAsia="Arial" w:hAnsi="Arial"/>
          <w:sz w:val="17"/>
          <w:szCs w:val="17"/>
          <w:color w:val="auto"/>
        </w:rPr>
      </w:pPr>
      <w:r>
        <w:rPr>
          <w:rFonts w:ascii="Arial" w:cs="Arial" w:eastAsia="Arial" w:hAnsi="Arial"/>
          <w:sz w:val="17"/>
          <w:szCs w:val="17"/>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w:t>
      </w:r>
    </w:p>
    <w:p>
      <w:pPr>
        <w:spacing w:after="0" w:line="128" w:lineRule="exact"/>
        <w:rPr>
          <w:rFonts w:ascii="Arial" w:cs="Arial" w:eastAsia="Arial" w:hAnsi="Arial"/>
          <w:sz w:val="17"/>
          <w:szCs w:val="17"/>
          <w:color w:val="auto"/>
        </w:rPr>
      </w:pPr>
    </w:p>
    <w:p>
      <w:pPr>
        <w:ind w:left="160" w:right="59" w:firstLine="2027"/>
        <w:spacing w:after="0" w:line="263" w:lineRule="auto"/>
        <w:tabs>
          <w:tab w:leader="none" w:pos="2867" w:val="left"/>
        </w:tabs>
        <w:numPr>
          <w:ilvl w:val="2"/>
          <w:numId w:val="141"/>
        </w:numPr>
        <w:rPr>
          <w:rFonts w:ascii="Arial" w:cs="Arial" w:eastAsia="Arial" w:hAnsi="Arial"/>
          <w:sz w:val="17"/>
          <w:szCs w:val="17"/>
          <w:color w:val="auto"/>
        </w:rPr>
      </w:pPr>
      <w:r>
        <w:rPr>
          <w:rFonts w:ascii="Arial" w:cs="Arial" w:eastAsia="Arial" w:hAnsi="Arial"/>
          <w:sz w:val="17"/>
          <w:szCs w:val="17"/>
          <w:color w:val="auto"/>
        </w:rPr>
        <w:t>any person who is a “family member” of the Participant, as such term is used in the instructions to Form S-8 (collectively, the “</w:t>
      </w:r>
      <w:r>
        <w:rPr>
          <w:rFonts w:ascii="Arial" w:cs="Arial" w:eastAsia="Arial" w:hAnsi="Arial"/>
          <w:sz w:val="17"/>
          <w:szCs w:val="17"/>
          <w:u w:val="single" w:color="auto"/>
          <w:color w:val="auto"/>
        </w:rPr>
        <w:t>Immediate Family Members</w:t>
      </w:r>
      <w:r>
        <w:rPr>
          <w:rFonts w:ascii="Arial" w:cs="Arial" w:eastAsia="Arial" w:hAnsi="Arial"/>
          <w:sz w:val="17"/>
          <w:szCs w:val="17"/>
          <w:color w:val="auto"/>
        </w:rPr>
        <w:t>”);</w:t>
      </w:r>
    </w:p>
    <w:p>
      <w:pPr>
        <w:spacing w:after="0" w:line="110" w:lineRule="exact"/>
        <w:rPr>
          <w:rFonts w:ascii="Arial" w:cs="Arial" w:eastAsia="Arial" w:hAnsi="Arial"/>
          <w:sz w:val="17"/>
          <w:szCs w:val="17"/>
          <w:color w:val="auto"/>
        </w:rPr>
      </w:pPr>
    </w:p>
    <w:p>
      <w:pPr>
        <w:ind w:left="2860" w:hanging="673"/>
        <w:spacing w:after="0"/>
        <w:tabs>
          <w:tab w:leader="none" w:pos="2860" w:val="left"/>
        </w:tabs>
        <w:numPr>
          <w:ilvl w:val="2"/>
          <w:numId w:val="141"/>
        </w:numPr>
        <w:rPr>
          <w:rFonts w:ascii="Arial" w:cs="Arial" w:eastAsia="Arial" w:hAnsi="Arial"/>
          <w:sz w:val="17"/>
          <w:szCs w:val="17"/>
          <w:color w:val="auto"/>
        </w:rPr>
      </w:pPr>
      <w:r>
        <w:rPr>
          <w:rFonts w:ascii="Arial" w:cs="Arial" w:eastAsia="Arial" w:hAnsi="Arial"/>
          <w:sz w:val="17"/>
          <w:szCs w:val="17"/>
          <w:color w:val="auto"/>
        </w:rPr>
        <w:t>a trust solely for the benefit of the Participant and his or her Immediate Family</w:t>
      </w:r>
    </w:p>
    <w:p>
      <w:pPr>
        <w:spacing w:after="0" w:line="9"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7"/>
          <w:szCs w:val="17"/>
          <w:color w:val="auto"/>
        </w:rPr>
        <w:t>Members;</w:t>
      </w:r>
    </w:p>
    <w:p>
      <w:pPr>
        <w:spacing w:after="0" w:line="150" w:lineRule="exact"/>
        <w:rPr>
          <w:rFonts w:ascii="Arial" w:cs="Arial" w:eastAsia="Arial" w:hAnsi="Arial"/>
          <w:sz w:val="17"/>
          <w:szCs w:val="17"/>
          <w:color w:val="auto"/>
        </w:rPr>
      </w:pPr>
    </w:p>
    <w:p>
      <w:pPr>
        <w:ind w:left="160" w:right="59" w:firstLine="2027"/>
        <w:spacing w:after="0" w:line="263" w:lineRule="auto"/>
        <w:tabs>
          <w:tab w:leader="none" w:pos="2867" w:val="left"/>
        </w:tabs>
        <w:numPr>
          <w:ilvl w:val="2"/>
          <w:numId w:val="141"/>
        </w:numPr>
        <w:rPr>
          <w:rFonts w:ascii="Arial" w:cs="Arial" w:eastAsia="Arial" w:hAnsi="Arial"/>
          <w:sz w:val="17"/>
          <w:szCs w:val="17"/>
          <w:color w:val="auto"/>
        </w:rPr>
      </w:pPr>
      <w:r>
        <w:rPr>
          <w:rFonts w:ascii="Arial" w:cs="Arial" w:eastAsia="Arial" w:hAnsi="Arial"/>
          <w:sz w:val="17"/>
          <w:szCs w:val="17"/>
          <w:color w:val="auto"/>
        </w:rPr>
        <w:t>a partnership or limited liability company whose only partners or stockholders are the Participant and his or her Immediate Family Members; or</w:t>
      </w:r>
    </w:p>
    <w:p>
      <w:pPr>
        <w:spacing w:after="0" w:line="122" w:lineRule="exact"/>
        <w:rPr>
          <w:rFonts w:ascii="Arial" w:cs="Arial" w:eastAsia="Arial" w:hAnsi="Arial"/>
          <w:sz w:val="17"/>
          <w:szCs w:val="17"/>
          <w:color w:val="auto"/>
        </w:rPr>
      </w:pPr>
    </w:p>
    <w:p>
      <w:pPr>
        <w:ind w:left="160" w:right="59" w:firstLine="2027"/>
        <w:spacing w:after="0" w:line="263" w:lineRule="auto"/>
        <w:tabs>
          <w:tab w:leader="none" w:pos="2867" w:val="left"/>
        </w:tabs>
        <w:numPr>
          <w:ilvl w:val="2"/>
          <w:numId w:val="141"/>
        </w:numPr>
        <w:rPr>
          <w:rFonts w:ascii="Arial" w:cs="Arial" w:eastAsia="Arial" w:hAnsi="Arial"/>
          <w:sz w:val="17"/>
          <w:szCs w:val="17"/>
          <w:color w:val="auto"/>
        </w:rPr>
      </w:pPr>
      <w:r>
        <w:rPr>
          <w:rFonts w:ascii="Arial" w:cs="Arial" w:eastAsia="Arial" w:hAnsi="Arial"/>
          <w:sz w:val="17"/>
          <w:szCs w:val="17"/>
          <w:color w:val="auto"/>
        </w:rPr>
        <w:t>other transferee as may be approved either (a) by the Board or the Committee in its sole discretion, or (b) as provided in the applicable Award Agreement;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559435</wp:posOffset>
            </wp:positionV>
            <wp:extent cx="7310755" cy="241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06" w:name="page107"/>
    <w:bookmarkEnd w:id="106"/>
    <w:p>
      <w:pPr>
        <w:spacing w:after="0" w:line="58" w:lineRule="exact"/>
        <w:rPr>
          <w:sz w:val="20"/>
          <w:szCs w:val="20"/>
          <w:color w:val="auto"/>
        </w:rPr>
      </w:pPr>
    </w:p>
    <w:p>
      <w:pPr>
        <w:jc w:val="both"/>
        <w:ind w:left="160" w:right="59"/>
        <w:spacing w:after="0" w:line="255" w:lineRule="auto"/>
        <w:rPr>
          <w:sz w:val="20"/>
          <w:szCs w:val="20"/>
          <w:color w:val="auto"/>
        </w:rPr>
      </w:pPr>
      <w:r>
        <w:rPr>
          <w:rFonts w:ascii="Arial" w:cs="Arial" w:eastAsia="Arial" w:hAnsi="Arial"/>
          <w:sz w:val="17"/>
          <w:szCs w:val="17"/>
          <w:color w:val="auto"/>
        </w:rPr>
        <w:t>(each transferee described in clauses (A), (B), (C) and (D) above is hereinafter referred to as a “Permitted Transferee”); provided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18" w:lineRule="exact"/>
        <w:rPr>
          <w:sz w:val="20"/>
          <w:szCs w:val="20"/>
          <w:color w:val="auto"/>
        </w:rPr>
      </w:pPr>
    </w:p>
    <w:p>
      <w:pPr>
        <w:jc w:val="both"/>
        <w:ind w:left="160" w:right="59" w:firstLine="1350"/>
        <w:spacing w:after="0" w:line="252" w:lineRule="auto"/>
        <w:tabs>
          <w:tab w:leader="none" w:pos="2191" w:val="left"/>
        </w:tabs>
        <w:numPr>
          <w:ilvl w:val="1"/>
          <w:numId w:val="142"/>
        </w:numPr>
        <w:rPr>
          <w:rFonts w:ascii="Arial" w:cs="Arial" w:eastAsia="Arial" w:hAnsi="Arial"/>
          <w:sz w:val="17"/>
          <w:szCs w:val="17"/>
          <w:color w:val="auto"/>
        </w:rPr>
      </w:pPr>
      <w:r>
        <w:rPr>
          <w:rFonts w:ascii="Arial" w:cs="Arial" w:eastAsia="Arial" w:hAnsi="Arial"/>
          <w:sz w:val="17"/>
          <w:szCs w:val="17"/>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19" w:lineRule="exact"/>
        <w:rPr>
          <w:rFonts w:ascii="Arial" w:cs="Arial" w:eastAsia="Arial" w:hAnsi="Arial"/>
          <w:sz w:val="17"/>
          <w:szCs w:val="17"/>
          <w:color w:val="auto"/>
        </w:rPr>
      </w:pPr>
    </w:p>
    <w:p>
      <w:pPr>
        <w:jc w:val="both"/>
        <w:ind w:left="160" w:right="59" w:firstLine="673"/>
        <w:spacing w:after="0" w:line="260" w:lineRule="auto"/>
        <w:tabs>
          <w:tab w:leader="none" w:pos="1514"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Reliance on Reports</w:t>
      </w:r>
      <w:r>
        <w:rPr>
          <w:rFonts w:ascii="Arial" w:cs="Arial" w:eastAsia="Arial" w:hAnsi="Arial"/>
          <w:sz w:val="17"/>
          <w:szCs w:val="17"/>
          <w:color w:val="auto"/>
        </w:rPr>
        <w:t>. Each member of the Committee and each member of the Board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fully justified in acting or failing to act, as the case may be, and shall not be liable for having so acted or failed to act in good faith, in reliance upon any report made by the independent public accountant of the Company and its Affiliates and/or any other information furnished in connection with the Plan by any person or persons other than himself.</w:t>
      </w:r>
    </w:p>
    <w:p>
      <w:pPr>
        <w:spacing w:after="0" w:line="107" w:lineRule="exact"/>
        <w:rPr>
          <w:rFonts w:ascii="Arial" w:cs="Arial" w:eastAsia="Arial" w:hAnsi="Arial"/>
          <w:sz w:val="17"/>
          <w:szCs w:val="17"/>
          <w:color w:val="auto"/>
        </w:rPr>
      </w:pPr>
    </w:p>
    <w:p>
      <w:pPr>
        <w:jc w:val="both"/>
        <w:ind w:left="160" w:right="79" w:firstLine="673"/>
        <w:spacing w:after="0" w:line="269" w:lineRule="auto"/>
        <w:tabs>
          <w:tab w:leader="none" w:pos="1514"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Relationship to Other Benefits</w:t>
      </w:r>
      <w:r>
        <w:rPr>
          <w:rFonts w:ascii="Arial" w:cs="Arial" w:eastAsia="Arial" w:hAnsi="Arial"/>
          <w:sz w:val="17"/>
          <w:szCs w:val="17"/>
          <w:color w:val="auto"/>
        </w:rPr>
        <w:t>. No payment under the Plan shall be taken into account in</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determining any benefits under any pension, retirement, profit sharing, group insurance or other benefit plan of the Company except as otherwise specifically provided in such other plan.</w:t>
      </w:r>
    </w:p>
    <w:p>
      <w:pPr>
        <w:spacing w:after="0" w:line="86" w:lineRule="exact"/>
        <w:rPr>
          <w:rFonts w:ascii="Arial" w:cs="Arial" w:eastAsia="Arial" w:hAnsi="Arial"/>
          <w:sz w:val="17"/>
          <w:szCs w:val="17"/>
          <w:color w:val="auto"/>
        </w:rPr>
      </w:pPr>
    </w:p>
    <w:p>
      <w:pPr>
        <w:ind w:left="1520" w:hanging="687"/>
        <w:spacing w:after="0"/>
        <w:tabs>
          <w:tab w:leader="none" w:pos="1520"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The expenses of administering the Plan shall be borne by the Company and Affiliates.</w:t>
      </w:r>
    </w:p>
    <w:p>
      <w:pPr>
        <w:spacing w:after="0" w:line="150" w:lineRule="exact"/>
        <w:rPr>
          <w:rFonts w:ascii="Arial" w:cs="Arial" w:eastAsia="Arial" w:hAnsi="Arial"/>
          <w:sz w:val="17"/>
          <w:szCs w:val="17"/>
          <w:color w:val="auto"/>
        </w:rPr>
      </w:pPr>
    </w:p>
    <w:p>
      <w:pPr>
        <w:ind w:left="1520" w:hanging="687"/>
        <w:spacing w:after="0"/>
        <w:tabs>
          <w:tab w:leader="none" w:pos="1520"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Pronouns</w:t>
      </w:r>
      <w:r>
        <w:rPr>
          <w:rFonts w:ascii="Arial" w:cs="Arial" w:eastAsia="Arial" w:hAnsi="Arial"/>
          <w:sz w:val="17"/>
          <w:szCs w:val="17"/>
          <w:color w:val="auto"/>
        </w:rPr>
        <w:t>. Masculine pronouns and other words of masculine gender shall refer to both men and</w:t>
      </w:r>
    </w:p>
    <w:p>
      <w:pPr>
        <w:spacing w:after="0" w:line="29"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7"/>
          <w:szCs w:val="17"/>
          <w:color w:val="auto"/>
        </w:rPr>
        <w:t>women.</w:t>
      </w:r>
    </w:p>
    <w:p>
      <w:pPr>
        <w:spacing w:after="0" w:line="130" w:lineRule="exact"/>
        <w:rPr>
          <w:rFonts w:ascii="Arial" w:cs="Arial" w:eastAsia="Arial" w:hAnsi="Arial"/>
          <w:sz w:val="17"/>
          <w:szCs w:val="17"/>
          <w:color w:val="auto"/>
        </w:rPr>
      </w:pPr>
    </w:p>
    <w:p>
      <w:pPr>
        <w:ind w:left="160" w:right="59" w:firstLine="673"/>
        <w:spacing w:after="0" w:line="287" w:lineRule="auto"/>
        <w:tabs>
          <w:tab w:leader="none" w:pos="1514"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Titles and Headings</w:t>
      </w:r>
      <w:r>
        <w:rPr>
          <w:rFonts w:ascii="Arial" w:cs="Arial" w:eastAsia="Arial" w:hAnsi="Arial"/>
          <w:sz w:val="17"/>
          <w:szCs w:val="17"/>
          <w:color w:val="auto"/>
        </w:rPr>
        <w:t>. The titles and headings of the sections in the Plan are for convenience of</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only, and in the event of any conflict, the text of the Plan, rather than such titles or headings shall control.</w:t>
      </w:r>
    </w:p>
    <w:p>
      <w:pPr>
        <w:spacing w:after="0" w:line="70" w:lineRule="exact"/>
        <w:rPr>
          <w:rFonts w:ascii="Arial" w:cs="Arial" w:eastAsia="Arial" w:hAnsi="Arial"/>
          <w:sz w:val="17"/>
          <w:szCs w:val="17"/>
          <w:color w:val="auto"/>
        </w:rPr>
      </w:pPr>
    </w:p>
    <w:p>
      <w:pPr>
        <w:jc w:val="both"/>
        <w:ind w:left="160" w:right="59" w:firstLine="673"/>
        <w:spacing w:after="0" w:line="263" w:lineRule="auto"/>
        <w:tabs>
          <w:tab w:leader="none" w:pos="1514"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Termination of Employment</w:t>
      </w:r>
      <w:r>
        <w:rPr>
          <w:rFonts w:ascii="Arial" w:cs="Arial" w:eastAsia="Arial" w:hAnsi="Arial"/>
          <w:sz w:val="17"/>
          <w:szCs w:val="17"/>
          <w:color w:val="auto"/>
        </w:rPr>
        <w:t>. Unless an applicable Award Agreement provides otherwise, for</w:t>
      </w:r>
      <w:r>
        <w:rPr>
          <w:rFonts w:ascii="Arial" w:cs="Arial" w:eastAsia="Arial" w:hAnsi="Arial"/>
          <w:sz w:val="17"/>
          <w:szCs w:val="17"/>
          <w:b w:val="1"/>
          <w:bCs w:val="1"/>
          <w:color w:val="auto"/>
        </w:rPr>
        <w:t xml:space="preserve"> </w:t>
      </w:r>
      <w:r>
        <w:rPr>
          <w:rFonts w:ascii="Arial" w:cs="Arial" w:eastAsia="Arial" w:hAnsi="Arial"/>
          <w:sz w:val="17"/>
          <w:szCs w:val="17"/>
          <w:color w:val="auto"/>
        </w:rPr>
        <w:t>purposes of the Plan, a person who transfers from employment or service with the Company to employment or service with an Affiliate or vice versa shall not be deemed to have terminated employment or service with the Company or an Affiliate.</w:t>
      </w:r>
    </w:p>
    <w:p>
      <w:pPr>
        <w:spacing w:after="0" w:line="104" w:lineRule="exact"/>
        <w:rPr>
          <w:rFonts w:ascii="Arial" w:cs="Arial" w:eastAsia="Arial" w:hAnsi="Arial"/>
          <w:sz w:val="17"/>
          <w:szCs w:val="17"/>
          <w:color w:val="auto"/>
        </w:rPr>
      </w:pPr>
    </w:p>
    <w:p>
      <w:pPr>
        <w:jc w:val="both"/>
        <w:ind w:left="160" w:right="59" w:firstLine="673"/>
        <w:spacing w:after="0" w:line="257" w:lineRule="auto"/>
        <w:tabs>
          <w:tab w:leader="none" w:pos="1514"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of the Plan or any Award Agreement is or becomes or is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559435</wp:posOffset>
            </wp:positionV>
            <wp:extent cx="7310755" cy="241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07" w:name="page108"/>
    <w:bookmarkEnd w:id="107"/>
    <w:p>
      <w:pPr>
        <w:spacing w:after="0" w:line="38" w:lineRule="exact"/>
        <w:rPr>
          <w:sz w:val="20"/>
          <w:szCs w:val="20"/>
          <w:color w:val="auto"/>
        </w:rPr>
      </w:pPr>
    </w:p>
    <w:p>
      <w:pPr>
        <w:jc w:val="both"/>
        <w:ind w:left="160" w:right="59" w:firstLine="673"/>
        <w:spacing w:after="0" w:line="263" w:lineRule="auto"/>
        <w:tabs>
          <w:tab w:leader="none" w:pos="1514" w:val="left"/>
        </w:tabs>
        <w:numPr>
          <w:ilvl w:val="1"/>
          <w:numId w:val="144"/>
        </w:numPr>
        <w:rPr>
          <w:rFonts w:ascii="Arial" w:cs="Arial" w:eastAsia="Arial" w:hAnsi="Arial"/>
          <w:sz w:val="17"/>
          <w:szCs w:val="17"/>
          <w:color w:val="auto"/>
        </w:rPr>
      </w:pPr>
      <w:r>
        <w:rPr>
          <w:rFonts w:ascii="Arial" w:cs="Arial" w:eastAsia="Arial" w:hAnsi="Arial"/>
          <w:sz w:val="17"/>
          <w:szCs w:val="17"/>
          <w:b w:val="1"/>
          <w:bCs w:val="1"/>
          <w:color w:val="auto"/>
        </w:rPr>
        <w:t>Compliance with Applicable Law</w:t>
      </w:r>
      <w:r>
        <w:rPr>
          <w:rFonts w:ascii="Arial" w:cs="Arial" w:eastAsia="Arial" w:hAnsi="Arial"/>
          <w:sz w:val="17"/>
          <w:szCs w:val="17"/>
          <w:color w:val="auto"/>
        </w:rPr>
        <w:t>. Notwithstanding any provision in the Plan to the contrary,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91" w:lineRule="exact"/>
        <w:rPr>
          <w:rFonts w:ascii="Arial" w:cs="Arial" w:eastAsia="Arial" w:hAnsi="Arial"/>
          <w:sz w:val="17"/>
          <w:szCs w:val="17"/>
          <w:color w:val="auto"/>
        </w:rPr>
      </w:pPr>
    </w:p>
    <w:p>
      <w:pPr>
        <w:ind w:left="840" w:hanging="684"/>
        <w:spacing w:after="0"/>
        <w:tabs>
          <w:tab w:leader="none" w:pos="840"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Changes in Capital Structure</w:t>
      </w:r>
    </w:p>
    <w:p>
      <w:pPr>
        <w:spacing w:after="0" w:line="170"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Awards granted under the Plan and any agreements evidencing such Awards, the maximum number of</w:t>
      </w:r>
    </w:p>
    <w:p>
      <w:pPr>
        <w:spacing w:after="0" w:line="10" w:lineRule="exact"/>
        <w:rPr>
          <w:sz w:val="20"/>
          <w:szCs w:val="20"/>
          <w:color w:val="auto"/>
        </w:rPr>
      </w:pPr>
    </w:p>
    <w:p>
      <w:pPr>
        <w:jc w:val="both"/>
        <w:ind w:left="160" w:right="59"/>
        <w:spacing w:after="0" w:line="252" w:lineRule="auto"/>
        <w:rPr>
          <w:sz w:val="20"/>
          <w:szCs w:val="20"/>
          <w:color w:val="auto"/>
        </w:rPr>
      </w:pPr>
      <w:r>
        <w:rPr>
          <w:rFonts w:ascii="Arial" w:cs="Arial" w:eastAsia="Arial" w:hAnsi="Arial"/>
          <w:sz w:val="17"/>
          <w:szCs w:val="17"/>
          <w:color w:val="auto"/>
        </w:rPr>
        <w:t>shares of Stock subject to all Awards stated in Section 5(a) and the maximum number of shares of Stock with respect to which any one person may be granted Awards during any period stated in Sections 5(d) or 11(b) shall be subject to adjustment or substitution, as determined by the Committee in its sole discretion, as to the number, price or kind of a share of Stock or other consideration subject to such Awards or as otherwise determined by the Committee to be equitable (i) in the event of changes in the outstanding Stock or in the capital structure of the Company by reason of stock or extraordinary cash dividends, stock splits, reverse stock splits, recapitalization, reorganizations, mergers, consolidations, combinations, exchanges, or other relevant changes in capitalization occurring after the Date of Grant of any such Award or (ii) in the event of any change in applicable laws or any change in circumstances which results in or would result in any substantial dilution or enlargement of the rights granted to, or available for, Participants, or which otherwise warrants equitable adjustment because it interferes with the intended operation of the Plan. Any adjustment in Incentive Stock Options under this Section 13 shall be made only to the extent not constituting a “modification” within the meaning of Section 424(h)(3) of the Code, and any adjustments under this Section 13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139" w:lineRule="exact"/>
        <w:rPr>
          <w:sz w:val="20"/>
          <w:szCs w:val="20"/>
          <w:color w:val="auto"/>
        </w:rPr>
      </w:pPr>
    </w:p>
    <w:p>
      <w:pPr>
        <w:jc w:val="both"/>
        <w:ind w:left="160" w:right="59" w:firstLine="677"/>
        <w:spacing w:after="0" w:line="254" w:lineRule="auto"/>
        <w:rPr>
          <w:sz w:val="20"/>
          <w:szCs w:val="20"/>
          <w:color w:val="auto"/>
        </w:rPr>
      </w:pPr>
      <w:r>
        <w:rPr>
          <w:rFonts w:ascii="Arial" w:cs="Arial" w:eastAsia="Arial" w:hAnsi="Arial"/>
          <w:sz w:val="17"/>
          <w:szCs w:val="17"/>
          <w:color w:val="auto"/>
        </w:rPr>
        <w:t>Notwithstanding the above, if the Company is merged or consolidated with another corporation or entity and, in connection therewith, consideration is received by stockholders of the Company in a form other than stock or other equity interests of the surviving entity then the Committee may, in its discretion and upon at least 10 days advance notice to the affected persons, cancel any outstanding Awards and cause the holders thereof to be paid, in cash or stock, or any combination thereof, the value of such Awards based upon the price per share of Stock received or to be received by other stockholders of the Company in the event.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terms of this Section 13 may be varied by the Committee in any particular Award Agreement.</w:t>
      </w:r>
    </w:p>
    <w:p>
      <w:pPr>
        <w:spacing w:after="0" w:line="131" w:lineRule="exact"/>
        <w:rPr>
          <w:sz w:val="20"/>
          <w:szCs w:val="20"/>
          <w:color w:val="auto"/>
        </w:rPr>
      </w:pPr>
    </w:p>
    <w:p>
      <w:pPr>
        <w:ind w:left="840" w:hanging="684"/>
        <w:spacing w:after="0"/>
        <w:tabs>
          <w:tab w:leader="none" w:pos="840"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Effect of Change in Control</w:t>
      </w:r>
    </w:p>
    <w:p>
      <w:pPr>
        <w:spacing w:after="0" w:line="170" w:lineRule="exact"/>
        <w:rPr>
          <w:rFonts w:ascii="Arial" w:cs="Arial" w:eastAsia="Arial" w:hAnsi="Arial"/>
          <w:sz w:val="17"/>
          <w:szCs w:val="17"/>
          <w:b w:val="1"/>
          <w:bCs w:val="1"/>
          <w:color w:val="auto"/>
        </w:rPr>
      </w:pPr>
    </w:p>
    <w:p>
      <w:pPr>
        <w:ind w:left="1520" w:hanging="687"/>
        <w:spacing w:after="0"/>
        <w:tabs>
          <w:tab w:leader="none" w:pos="152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Committee may, but is not required to, provide in any particular Award Agreement:</w:t>
      </w:r>
    </w:p>
    <w:p>
      <w:pPr>
        <w:spacing w:after="0" w:line="137" w:lineRule="exact"/>
        <w:rPr>
          <w:rFonts w:ascii="Arial" w:cs="Arial" w:eastAsia="Arial" w:hAnsi="Arial"/>
          <w:sz w:val="17"/>
          <w:szCs w:val="17"/>
          <w:color w:val="auto"/>
        </w:rPr>
      </w:pPr>
    </w:p>
    <w:p>
      <w:pPr>
        <w:jc w:val="both"/>
        <w:ind w:left="160" w:right="59" w:firstLine="1350"/>
        <w:spacing w:after="0" w:line="253" w:lineRule="auto"/>
        <w:tabs>
          <w:tab w:leader="none" w:pos="2191" w:val="left"/>
        </w:tabs>
        <w:numPr>
          <w:ilvl w:val="2"/>
          <w:numId w:val="146"/>
        </w:numPr>
        <w:rPr>
          <w:rFonts w:ascii="Arial" w:cs="Arial" w:eastAsia="Arial" w:hAnsi="Arial"/>
          <w:sz w:val="17"/>
          <w:szCs w:val="17"/>
          <w:color w:val="auto"/>
        </w:rPr>
      </w:pPr>
      <w:r>
        <w:rPr>
          <w:rFonts w:ascii="Arial" w:cs="Arial" w:eastAsia="Arial" w:hAnsi="Arial"/>
          <w:sz w:val="17"/>
          <w:szCs w:val="17"/>
          <w:color w:val="auto"/>
        </w:rPr>
        <w:t>In the event of a Change in Control, notwithstanding any provision of the Plan or any applicable Award Agreement to the contrary, and either in or not in combination with another event such as a termination of the applicable Participant by the Company without Cause, all Options and SARs subject to such Award shall become immediately exercisable with respect to 100 percent of the shares subject to such Option or SAR, and/or that the Restricted Period shall expire immediately with respect to 100 percent of such shares of Restricted Stock or Restricted Stock Units subject to such Award (including a waiver of any applicable Performance Goals) and, to the extent practicable, such acceleration of exercisability and expiration of the Restricted Period (as applicable) shall occur in a manner and at a time which allows affected Participants the ability to participate in the Change in Control transaction with respect to the Stock subject to their Awards.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559435</wp:posOffset>
            </wp:positionV>
            <wp:extent cx="7310755" cy="241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08" w:name="page109"/>
    <w:bookmarkEnd w:id="108"/>
    <w:p>
      <w:pPr>
        <w:spacing w:after="0" w:line="58" w:lineRule="exact"/>
        <w:rPr>
          <w:sz w:val="20"/>
          <w:szCs w:val="20"/>
          <w:color w:val="auto"/>
        </w:rPr>
      </w:pPr>
    </w:p>
    <w:p>
      <w:pPr>
        <w:jc w:val="both"/>
        <w:ind w:left="160" w:right="59" w:firstLine="1350"/>
        <w:spacing w:after="0" w:line="253" w:lineRule="auto"/>
        <w:tabs>
          <w:tab w:leader="none" w:pos="2191" w:val="left"/>
        </w:tabs>
        <w:numPr>
          <w:ilvl w:val="2"/>
          <w:numId w:val="147"/>
        </w:numPr>
        <w:rPr>
          <w:rFonts w:ascii="Arial" w:cs="Arial" w:eastAsia="Arial" w:hAnsi="Arial"/>
          <w:sz w:val="17"/>
          <w:szCs w:val="17"/>
          <w:color w:val="auto"/>
        </w:rPr>
      </w:pPr>
      <w:r>
        <w:rPr>
          <w:rFonts w:ascii="Arial" w:cs="Arial" w:eastAsia="Arial" w:hAnsi="Arial"/>
          <w:sz w:val="17"/>
          <w:szCs w:val="17"/>
          <w:color w:val="auto"/>
        </w:rPr>
        <w:t>In the event of a Change in Control, all incomplete Performance Periods in respect of such Award in effect on the date the Change in Control occurs shall end on the date of such change, and the Committee shall (A) determine the extent to which Performance Goals with respect to each such Award Period have been met based upon such audited or unaudited financial information then available as it deems relevant, (B) cause to be paid to the applicable Participant partial or full Awards with respect to Performance Goals for each such Award Period based upon the Committee’s determination of the degree of attainment of Performance Goals, and (C) cause the Award, if previously deferred, to be settled in full as soon as possible.</w:t>
      </w:r>
    </w:p>
    <w:p>
      <w:pPr>
        <w:spacing w:after="0" w:line="121" w:lineRule="exact"/>
        <w:rPr>
          <w:rFonts w:ascii="Arial" w:cs="Arial" w:eastAsia="Arial" w:hAnsi="Arial"/>
          <w:sz w:val="17"/>
          <w:szCs w:val="17"/>
          <w:color w:val="auto"/>
        </w:rPr>
      </w:pPr>
    </w:p>
    <w:p>
      <w:pPr>
        <w:jc w:val="both"/>
        <w:ind w:left="160" w:right="59" w:firstLine="673"/>
        <w:spacing w:after="0" w:line="255" w:lineRule="auto"/>
        <w:tabs>
          <w:tab w:leader="none" w:pos="1514" w:val="left"/>
        </w:tabs>
        <w:numPr>
          <w:ilvl w:val="1"/>
          <w:numId w:val="148"/>
        </w:numPr>
        <w:rPr>
          <w:rFonts w:ascii="Arial" w:cs="Arial" w:eastAsia="Arial" w:hAnsi="Arial"/>
          <w:sz w:val="17"/>
          <w:szCs w:val="17"/>
          <w:color w:val="auto"/>
        </w:rPr>
      </w:pPr>
      <w:r>
        <w:rPr>
          <w:rFonts w:ascii="Arial" w:cs="Arial" w:eastAsia="Arial" w:hAnsi="Arial"/>
          <w:sz w:val="17"/>
          <w:szCs w:val="17"/>
          <w:color w:val="auto"/>
        </w:rPr>
        <w:t>In addition, in the event of a Change in Control, the Committee may in its discretion and upon at least 10 days’ advance notice to the affected persons, cancel any outstanding Awards and pay to the holders thereof, in cash or stock, or any combination thereof, the value of such Awards based upon the price per share of Stock received or to be received by other stockholders of the Company in the event.</w:t>
      </w:r>
    </w:p>
    <w:p>
      <w:pPr>
        <w:spacing w:after="0" w:line="130" w:lineRule="exact"/>
        <w:rPr>
          <w:rFonts w:ascii="Arial" w:cs="Arial" w:eastAsia="Arial" w:hAnsi="Arial"/>
          <w:sz w:val="17"/>
          <w:szCs w:val="17"/>
          <w:color w:val="auto"/>
        </w:rPr>
      </w:pPr>
    </w:p>
    <w:p>
      <w:pPr>
        <w:jc w:val="both"/>
        <w:ind w:left="160" w:right="59" w:firstLine="673"/>
        <w:spacing w:after="0" w:line="254" w:lineRule="auto"/>
        <w:tabs>
          <w:tab w:leader="none" w:pos="1514"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Participants’ rights under the Plan in any agreement or plan which it may enter into or adopt to effect any such merger, consolidation, reorganization or transfer of assets.</w:t>
      </w:r>
    </w:p>
    <w:p>
      <w:pPr>
        <w:spacing w:after="0" w:line="130" w:lineRule="exact"/>
        <w:rPr>
          <w:rFonts w:ascii="Arial" w:cs="Arial" w:eastAsia="Arial" w:hAnsi="Arial"/>
          <w:sz w:val="17"/>
          <w:szCs w:val="17"/>
          <w:color w:val="auto"/>
        </w:rPr>
      </w:pPr>
    </w:p>
    <w:p>
      <w:pPr>
        <w:jc w:val="both"/>
        <w:ind w:left="160" w:right="59" w:firstLine="673"/>
        <w:spacing w:after="0" w:line="255" w:lineRule="auto"/>
        <w:tabs>
          <w:tab w:leader="none" w:pos="1514" w:val="left"/>
        </w:tabs>
        <w:numPr>
          <w:ilvl w:val="1"/>
          <w:numId w:val="148"/>
        </w:numPr>
        <w:rPr>
          <w:rFonts w:ascii="Arial" w:cs="Arial" w:eastAsia="Arial" w:hAnsi="Arial"/>
          <w:sz w:val="17"/>
          <w:szCs w:val="17"/>
          <w:color w:val="auto"/>
        </w:rPr>
      </w:pPr>
      <w:r>
        <w:rPr>
          <w:rFonts w:ascii="Arial" w:cs="Arial" w:eastAsia="Arial" w:hAnsi="Arial"/>
          <w:sz w:val="17"/>
          <w:szCs w:val="17"/>
          <w:color w:val="auto"/>
        </w:rPr>
        <w:t>If (i) within 12 months following a Change in Control or (ii) in contemplation of a Change in Control, a Senior Participant’s employment with the Company or any Affiliate is terminated by the Company or an Affiliate without Cause, all Awards held by such Senior Participant, irrespective of the vesting schedule, shall become fully vested and immediately exercisable and, if applicable, the Restricted Period shall end at the time of such termination.</w:t>
      </w:r>
    </w:p>
    <w:p>
      <w:pPr>
        <w:spacing w:after="0" w:line="323" w:lineRule="exact"/>
        <w:rPr>
          <w:rFonts w:ascii="Arial" w:cs="Arial" w:eastAsia="Arial" w:hAnsi="Arial"/>
          <w:sz w:val="17"/>
          <w:szCs w:val="17"/>
          <w:color w:val="auto"/>
        </w:rPr>
      </w:pPr>
    </w:p>
    <w:p>
      <w:pPr>
        <w:jc w:val="both"/>
        <w:ind w:left="160" w:right="59" w:firstLine="673"/>
        <w:spacing w:after="0" w:line="255" w:lineRule="auto"/>
        <w:tabs>
          <w:tab w:leader="none" w:pos="1514" w:val="left"/>
        </w:tabs>
        <w:numPr>
          <w:ilvl w:val="1"/>
          <w:numId w:val="148"/>
        </w:numPr>
        <w:rPr>
          <w:rFonts w:ascii="Arial" w:cs="Arial" w:eastAsia="Arial" w:hAnsi="Arial"/>
          <w:sz w:val="17"/>
          <w:szCs w:val="17"/>
          <w:color w:val="auto"/>
        </w:rPr>
      </w:pPr>
      <w:r>
        <w:rPr>
          <w:rFonts w:ascii="Arial" w:cs="Arial" w:eastAsia="Arial" w:hAnsi="Arial"/>
          <w:sz w:val="17"/>
          <w:szCs w:val="17"/>
          <w:color w:val="auto"/>
        </w:rPr>
        <w:t>Upon a Change in Control the vesting and exercisability of all Awards outstanding under the Plan held by Vice President Participants shall be such that any Award that would have vested in the one calendar year period following the Change in Control shall automatically become fully vested and exercisable and, if applicable, the Restricted Period shall end immediately prior to the Change in Control.</w:t>
      </w:r>
    </w:p>
    <w:p>
      <w:pPr>
        <w:spacing w:after="0" w:line="110" w:lineRule="exact"/>
        <w:rPr>
          <w:rFonts w:ascii="Arial" w:cs="Arial" w:eastAsia="Arial" w:hAnsi="Arial"/>
          <w:sz w:val="17"/>
          <w:szCs w:val="17"/>
          <w:color w:val="auto"/>
        </w:rPr>
      </w:pPr>
    </w:p>
    <w:p>
      <w:pPr>
        <w:ind w:left="840" w:hanging="684"/>
        <w:spacing w:after="0"/>
        <w:tabs>
          <w:tab w:leader="none" w:pos="840"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Nonexclusivity of the Plan</w:t>
      </w:r>
    </w:p>
    <w:p>
      <w:pPr>
        <w:spacing w:after="0" w:line="170"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Neither the adoption of this Plan by the Board nor the submission of this Plan to the stockholders of the</w:t>
      </w:r>
    </w:p>
    <w:p>
      <w:pPr>
        <w:spacing w:after="0" w:line="10" w:lineRule="exact"/>
        <w:rPr>
          <w:sz w:val="20"/>
          <w:szCs w:val="20"/>
          <w:color w:val="auto"/>
        </w:rPr>
      </w:pPr>
    </w:p>
    <w:p>
      <w:pPr>
        <w:jc w:val="both"/>
        <w:ind w:left="160" w:right="59"/>
        <w:spacing w:after="0" w:line="257" w:lineRule="auto"/>
        <w:rPr>
          <w:sz w:val="20"/>
          <w:szCs w:val="20"/>
          <w:color w:val="auto"/>
        </w:rPr>
      </w:pPr>
      <w:r>
        <w:rPr>
          <w:rFonts w:ascii="Arial" w:cs="Arial" w:eastAsia="Arial" w:hAnsi="Arial"/>
          <w:sz w:val="17"/>
          <w:szCs w:val="17"/>
          <w:color w:val="auto"/>
        </w:rPr>
        <w:t>Company for approval shall be construed as creating any limitations on the power of the Board to adopt such other incentive arrangements as it may deem desirable, including, without limitation, the granting of stock options otherwise than under this Plan, and such arrangements may be either applicable generally or only in specific cases.</w:t>
      </w:r>
    </w:p>
    <w:p>
      <w:pPr>
        <w:spacing w:after="0" w:line="96" w:lineRule="exact"/>
        <w:rPr>
          <w:sz w:val="20"/>
          <w:szCs w:val="20"/>
          <w:color w:val="auto"/>
        </w:rPr>
      </w:pPr>
    </w:p>
    <w:p>
      <w:pPr>
        <w:ind w:left="840" w:hanging="684"/>
        <w:spacing w:after="0"/>
        <w:tabs>
          <w:tab w:leader="none" w:pos="840"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 and Termination</w:t>
      </w:r>
    </w:p>
    <w:p>
      <w:pPr>
        <w:spacing w:after="0" w:line="150" w:lineRule="exact"/>
        <w:rPr>
          <w:rFonts w:ascii="Arial" w:cs="Arial" w:eastAsia="Arial" w:hAnsi="Arial"/>
          <w:sz w:val="17"/>
          <w:szCs w:val="17"/>
          <w:b w:val="1"/>
          <w:bCs w:val="1"/>
          <w:color w:val="auto"/>
        </w:rPr>
      </w:pPr>
    </w:p>
    <w:p>
      <w:pPr>
        <w:jc w:val="both"/>
        <w:ind w:left="160" w:right="59" w:firstLine="673"/>
        <w:spacing w:after="0" w:line="255" w:lineRule="auto"/>
        <w:tabs>
          <w:tab w:leader="none" w:pos="1514" w:val="left"/>
        </w:tabs>
        <w:numPr>
          <w:ilvl w:val="1"/>
          <w:numId w:val="150"/>
        </w:numPr>
        <w:rPr>
          <w:rFonts w:ascii="Arial" w:cs="Arial" w:eastAsia="Arial" w:hAnsi="Arial"/>
          <w:sz w:val="17"/>
          <w:szCs w:val="17"/>
          <w:color w:val="auto"/>
        </w:rPr>
      </w:pPr>
      <w:r>
        <w:rPr>
          <w:rFonts w:ascii="Arial" w:cs="Arial" w:eastAsia="Arial" w:hAnsi="Arial"/>
          <w:sz w:val="17"/>
          <w:szCs w:val="17"/>
          <w:b w:val="1"/>
          <w:bCs w:val="1"/>
          <w:color w:val="auto"/>
        </w:rPr>
        <w:t>Amendment and Termination of the Plan</w:t>
      </w:r>
      <w:r>
        <w:rPr>
          <w:rFonts w:ascii="Arial" w:cs="Arial" w:eastAsia="Arial" w:hAnsi="Arial"/>
          <w:sz w:val="17"/>
          <w:szCs w:val="17"/>
          <w:color w:val="auto"/>
        </w:rPr>
        <w:t>. The Board may amend, alter, suspend, discontinue,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terminate the Plan or any portion thereof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alteration, suspension, discontinuation or termination shall be made without stockholder approval if such approval is necessary to comply with any tax or regulatory requirement applicable to the Plan (including as necessary to comply with any applicable stock exchange listing requirement);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such amendment, alteration, suspension, discontinuance or termination that would impair the rights of any Participant or any holder or beneficiary of any Award theretofore granted shall not to that extent be effective without the consent of the affected Participant, holder or beneficiary. The termination date of the Plan, following which no Awards may be granted hereunder, the tenth anniversary of the Effective Date; provided, that such termination shall not affect Awards then outstanding, and the terms and conditions of the Plan shall continue to apply to such Awards.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559435</wp:posOffset>
            </wp:positionV>
            <wp:extent cx="7310755" cy="241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09" w:name="page110"/>
    <w:bookmarkEnd w:id="109"/>
    <w:p>
      <w:pPr>
        <w:spacing w:after="0" w:line="38" w:lineRule="exact"/>
        <w:rPr>
          <w:sz w:val="20"/>
          <w:szCs w:val="20"/>
          <w:color w:val="auto"/>
        </w:rPr>
      </w:pPr>
    </w:p>
    <w:p>
      <w:pPr>
        <w:jc w:val="both"/>
        <w:ind w:left="160" w:right="59" w:firstLine="673"/>
        <w:spacing w:after="0" w:line="254" w:lineRule="auto"/>
        <w:tabs>
          <w:tab w:leader="none" w:pos="1514" w:val="left"/>
        </w:tabs>
        <w:numPr>
          <w:ilvl w:val="1"/>
          <w:numId w:val="151"/>
        </w:numPr>
        <w:rPr>
          <w:rFonts w:ascii="Arial" w:cs="Arial" w:eastAsia="Arial" w:hAnsi="Arial"/>
          <w:sz w:val="17"/>
          <w:szCs w:val="17"/>
          <w:color w:val="auto"/>
        </w:rPr>
      </w:pPr>
      <w:r>
        <w:rPr>
          <w:rFonts w:ascii="Arial" w:cs="Arial" w:eastAsia="Arial" w:hAnsi="Arial"/>
          <w:sz w:val="17"/>
          <w:szCs w:val="17"/>
          <w:b w:val="1"/>
          <w:bCs w:val="1"/>
          <w:color w:val="auto"/>
        </w:rPr>
        <w:t>Amendment of Award Agreements</w:t>
      </w:r>
      <w:r>
        <w:rPr>
          <w:rFonts w:ascii="Arial" w:cs="Arial" w:eastAsia="Arial" w:hAnsi="Arial"/>
          <w:sz w:val="17"/>
          <w:szCs w:val="17"/>
          <w:color w:val="auto"/>
        </w:rPr>
        <w:t>. The Committee may, to the extent consistent with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impair the rights of any Participant or any holder or beneficiary of any Award theretofore granted shall not to that extent be effective without the consent of the affected Participant, holder or beneficiary; and provided further that, other than in connection with an equitable adjustment under Section 13 or a Change in Control, without stockholder approval, (i) no amendment or modification may reduce the Option Price of any Option or the Strike Price of any SAR, (ii) the Committee may not cancel any outstanding Option or SAR and replace it with a new Option or SAR (with a lower Option Price or Strike Price, as the case may be) in a manner which would either</w:t>
      </w:r>
    </w:p>
    <w:p>
      <w:pPr>
        <w:spacing w:after="0" w:line="2" w:lineRule="exact"/>
        <w:rPr>
          <w:rFonts w:ascii="Arial" w:cs="Arial" w:eastAsia="Arial" w:hAnsi="Arial"/>
          <w:sz w:val="17"/>
          <w:szCs w:val="17"/>
          <w:color w:val="auto"/>
        </w:rPr>
      </w:pPr>
    </w:p>
    <w:p>
      <w:pPr>
        <w:jc w:val="both"/>
        <w:ind w:left="160" w:right="59" w:hanging="4"/>
        <w:spacing w:after="0" w:line="253" w:lineRule="auto"/>
        <w:tabs>
          <w:tab w:leader="none" w:pos="45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(if the Company is subject to the reporting requirement of the Exchange Act) be reportable on the Company’s proxy statement as Options which have been “repriced” (as such term is used in Item 402 of Regulation S-K promulgated under the Exchange Act), or (B) result in any Option being accounted for under the “variable” method for financial statement reporting purposes and (iii) the Committee may not take any other action which is considered a “repricing” for purposes of the stockholder approval rules of the applicable stock exchange on which the Stock is listed, if any. In no event may the Company buyout for cash any Option or SAR whose Option Price or Strike Price (as applicable) on the date of purchase exceeds the Fair Market Value of the Company’s Stock.</w:t>
      </w:r>
    </w:p>
    <w:p>
      <w:pPr>
        <w:spacing w:after="0" w:line="102" w:lineRule="exact"/>
        <w:rPr>
          <w:sz w:val="20"/>
          <w:szCs w:val="20"/>
          <w:color w:val="auto"/>
        </w:rPr>
      </w:pPr>
    </w:p>
    <w:p>
      <w:pPr>
        <w:ind w:left="840" w:hanging="684"/>
        <w:spacing w:after="0"/>
        <w:tabs>
          <w:tab w:leader="none" w:pos="840"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Section 409A.</w:t>
      </w:r>
    </w:p>
    <w:p>
      <w:pPr>
        <w:spacing w:after="0" w:line="170" w:lineRule="exact"/>
        <w:rPr>
          <w:rFonts w:ascii="Arial" w:cs="Arial" w:eastAsia="Arial" w:hAnsi="Arial"/>
          <w:sz w:val="17"/>
          <w:szCs w:val="17"/>
          <w:b w:val="1"/>
          <w:bCs w:val="1"/>
          <w:color w:val="auto"/>
        </w:rPr>
      </w:pPr>
    </w:p>
    <w:p>
      <w:pPr>
        <w:jc w:val="both"/>
        <w:ind w:left="160" w:right="59" w:firstLine="673"/>
        <w:spacing w:after="0" w:line="253" w:lineRule="auto"/>
        <w:tabs>
          <w:tab w:leader="none" w:pos="151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It is intended that any amounts payable under this Plan shall either be exempt from or comply with Section 409A of the Code (including the Treasury regulations and other published guidance relating thereto) so as not to subject a Participant to payment of any interest or additional tax imposed under Section 409A of the Code. To the extent that any amount payable under this Agreement would trigger the additional tax, penalty or interest imposed by Section 409A of the Code, this Plan shall be modified to avoid such additional tax, penalty or interest yet preserve (to the nearest extent reasonably possible) the intended benefit payable to the Participant. In no event shall the Company, any member of the Board of Directors, or any employee, agent or other service provider have any liability to any Participant for any tax, fine or penalty associated with any failure to comply with the requirements of Section 409A of the Code.</w:t>
      </w:r>
    </w:p>
    <w:p>
      <w:pPr>
        <w:spacing w:after="0" w:line="132" w:lineRule="exact"/>
        <w:rPr>
          <w:rFonts w:ascii="Arial" w:cs="Arial" w:eastAsia="Arial" w:hAnsi="Arial"/>
          <w:sz w:val="17"/>
          <w:szCs w:val="17"/>
          <w:color w:val="auto"/>
        </w:rPr>
      </w:pPr>
    </w:p>
    <w:p>
      <w:pPr>
        <w:jc w:val="both"/>
        <w:ind w:left="160" w:right="59" w:firstLine="673"/>
        <w:spacing w:after="0" w:line="252" w:lineRule="auto"/>
        <w:tabs>
          <w:tab w:leader="none" w:pos="151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extent a payment or benefit is nonqualified deferred compensation subject to Section 409A of the Code, a termination of employment shall not be deemed to have occurred for purposes of any provision of this Plan or any Award Agreement providing for the payment of any amounts upon or following a termination of employment unless such termination is also a “separation from service” within the meaning of Section 409A of the Code and, for purposes of any such provision of this Plan and any Award Agreement, references to a “termination,” “termination of employment” or like terms shall mean “separation from service.” If a Participant is deemed on the date of a separation from service (within the meaning of Section 409A of the Code) to be a “specified employee” (within the meaning of that term under Section 409A(a)(2)(B) of the Code and determined using any identification methodology and procedure selected by the Company from time to time, or, if none, the default methodology and procedure specified under Section 409A of the Code), then with regard to any payment or the provision of any benefit that is “nonqualified deferred compensation” within the meaning of Code Section 409A and which is paid as a result of the Participant’s “separation from service,” such payment or benefit shall not be made or provided prior to the date which is the earlier of (A) the expiration of the six-month period measured from the date of such “separation from service” of the Executive, and (B) the date of the Executive’s death (the “Delay Period”). Upon the expiration of the Delay Period, all payments and benefits delayed pursuant to this clause (whether they would have otherwise been payable in a single sum or in installments in the absence of such delay) shall be paid or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559435</wp:posOffset>
            </wp:positionV>
            <wp:extent cx="7310755" cy="241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10" w:name="page111"/>
    <w:bookmarkEnd w:id="110"/>
    <w:p>
      <w:pPr>
        <w:spacing w:after="0" w:line="58" w:lineRule="exact"/>
        <w:rPr>
          <w:sz w:val="20"/>
          <w:szCs w:val="20"/>
          <w:color w:val="auto"/>
        </w:rPr>
      </w:pPr>
    </w:p>
    <w:p>
      <w:pPr>
        <w:ind w:left="160" w:right="59"/>
        <w:spacing w:after="0" w:line="263" w:lineRule="auto"/>
        <w:rPr>
          <w:sz w:val="20"/>
          <w:szCs w:val="20"/>
          <w:color w:val="auto"/>
        </w:rPr>
      </w:pPr>
      <w:r>
        <w:rPr>
          <w:rFonts w:ascii="Arial" w:cs="Arial" w:eastAsia="Arial" w:hAnsi="Arial"/>
          <w:sz w:val="17"/>
          <w:szCs w:val="17"/>
          <w:color w:val="auto"/>
        </w:rPr>
        <w:t>reimbursed to the Participant in a lump sum, and any remaining payments and benefits due under this Agreement shall be paid or provided in accordance with the normal payment dates specified for them herein.</w:t>
      </w:r>
    </w:p>
    <w:p>
      <w:pPr>
        <w:spacing w:after="0" w:line="110" w:lineRule="exact"/>
        <w:rPr>
          <w:sz w:val="20"/>
          <w:szCs w:val="20"/>
          <w:color w:val="auto"/>
        </w:rPr>
      </w:pPr>
    </w:p>
    <w:p>
      <w:pPr>
        <w:jc w:val="both"/>
        <w:ind w:left="160" w:right="59" w:firstLine="673"/>
        <w:spacing w:after="0" w:line="254" w:lineRule="auto"/>
        <w:tabs>
          <w:tab w:leader="none" w:pos="1514" w:val="left"/>
        </w:tabs>
        <w:numPr>
          <w:ilvl w:val="1"/>
          <w:numId w:val="154"/>
        </w:numPr>
        <w:rPr>
          <w:rFonts w:ascii="Arial" w:cs="Arial" w:eastAsia="Arial" w:hAnsi="Arial"/>
          <w:sz w:val="17"/>
          <w:szCs w:val="17"/>
          <w:color w:val="auto"/>
        </w:rPr>
      </w:pPr>
      <w:r>
        <w:rPr>
          <w:rFonts w:ascii="Arial" w:cs="Arial" w:eastAsia="Arial" w:hAnsi="Arial"/>
          <w:sz w:val="17"/>
          <w:szCs w:val="17"/>
          <w:color w:val="auto"/>
        </w:rPr>
        <w:t>For purposes of Section 409A of the Code, the Participant’s right to receive any installment payments pursuant to this Plan or any Award Agreement shall be treated as a right to receive a series of separate and distinct payments. Whenever a payment under the Plan or any Award Agreement specifies a payment period with reference to a number of days (e.g., “payment shall be made within thirty days following the date of termination”), the actual date of payment within the specified period shall be within the sole discretion of the Company.</w:t>
      </w:r>
    </w:p>
    <w:p>
      <w:pPr>
        <w:spacing w:after="0" w:line="130" w:lineRule="exact"/>
        <w:rPr>
          <w:rFonts w:ascii="Arial" w:cs="Arial" w:eastAsia="Arial" w:hAnsi="Arial"/>
          <w:sz w:val="17"/>
          <w:szCs w:val="17"/>
          <w:color w:val="auto"/>
        </w:rPr>
      </w:pPr>
    </w:p>
    <w:p>
      <w:pPr>
        <w:jc w:val="both"/>
        <w:ind w:left="160" w:right="59" w:firstLine="673"/>
        <w:spacing w:after="0" w:line="253" w:lineRule="auto"/>
        <w:tabs>
          <w:tab w:leader="none" w:pos="1514" w:val="left"/>
        </w:tabs>
        <w:numPr>
          <w:ilvl w:val="1"/>
          <w:numId w:val="154"/>
        </w:numPr>
        <w:rPr>
          <w:rFonts w:ascii="Arial" w:cs="Arial" w:eastAsia="Arial" w:hAnsi="Arial"/>
          <w:sz w:val="17"/>
          <w:szCs w:val="17"/>
          <w:color w:val="auto"/>
        </w:rPr>
      </w:pPr>
      <w:r>
        <w:rPr>
          <w:rFonts w:ascii="Arial" w:cs="Arial" w:eastAsia="Arial" w:hAnsi="Arial"/>
          <w:sz w:val="17"/>
          <w:szCs w:val="17"/>
          <w:color w:val="auto"/>
        </w:rPr>
        <w:t>With regard to any provision herein that provides for reimbursement of costs and expenses or in-kind benefits, except as permitted by Section 409A of the Code,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provided, that the foregoing clause (ii) shall not be violated with regard to expenses reimbursed under any arrangement covered by Section 105(b) of the Code solely because such expenses are subject to a limit related to the period the arrangement is in effect; and (iii) such payments shall be made on or before the last day of the Participant’s taxable year following the taxable year in which the expense was incurred.</w:t>
      </w:r>
    </w:p>
    <w:p>
      <w:pPr>
        <w:spacing w:after="0" w:line="112" w:lineRule="exact"/>
        <w:rPr>
          <w:rFonts w:ascii="Arial" w:cs="Arial" w:eastAsia="Arial" w:hAnsi="Arial"/>
          <w:sz w:val="17"/>
          <w:szCs w:val="17"/>
          <w:color w:val="auto"/>
        </w:rPr>
      </w:pPr>
    </w:p>
    <w:p>
      <w:pPr>
        <w:ind w:left="840" w:hanging="684"/>
        <w:spacing w:after="0"/>
        <w:tabs>
          <w:tab w:leader="none" w:pos="840"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Forfeiture and Recoupment.</w:t>
      </w:r>
    </w:p>
    <w:p>
      <w:pPr>
        <w:spacing w:after="0" w:line="157"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Without limiting in any way the generality of the Committee’s power to specify any terms and conditions of</w:t>
      </w:r>
    </w:p>
    <w:p>
      <w:pPr>
        <w:spacing w:after="0" w:line="10" w:lineRule="exact"/>
        <w:rPr>
          <w:sz w:val="20"/>
          <w:szCs w:val="20"/>
          <w:color w:val="auto"/>
        </w:rPr>
      </w:pPr>
    </w:p>
    <w:p>
      <w:pPr>
        <w:jc w:val="both"/>
        <w:ind w:left="160" w:right="59"/>
        <w:spacing w:after="0" w:line="252" w:lineRule="auto"/>
        <w:rPr>
          <w:sz w:val="20"/>
          <w:szCs w:val="20"/>
          <w:color w:val="auto"/>
        </w:rPr>
      </w:pPr>
      <w:r>
        <w:rPr>
          <w:rFonts w:ascii="Arial" w:cs="Arial" w:eastAsia="Arial" w:hAnsi="Arial"/>
          <w:sz w:val="17"/>
          <w:szCs w:val="17"/>
          <w:color w:val="auto"/>
        </w:rPr>
        <w:t>an Award consistent with law, and for greater clarity, the Committee may specify in an Award Agreement that the Participant’s rights, payments and benefits with respect to an Award, including any payment of Shares received upon exercise or in satisfaction of an Award under the Plan shall be subject to reduction, cancellation, forfeiture or recoupment upon the occurrence of certain specified events, in addition to any otherwise applicable vesting or performance conditions, without limit as to time. Such events shall include, but not be limited to, failure to accept the terms of the Award Agreement, termination of service under certain or all circumstances, violation of material Company policies, misstatement of financial or other material information about the Company, fraud, misconduct, breach of noncompetition, confidentiality, nonsolicitation, noninterference, corporate property protection, or other agreements that may apply to the Participant, or other conduct by the Participant that the Committee determines is detrimental to the business or reputation of the Company and its Affiliates, including facts and circumstances discovered after termination of service. Awards granted under the Plan shall be subject to any compensation recovery policy or minimum stock holding period requirement as may be adopted or amended by the Company from time to time.</w:t>
      </w:r>
    </w:p>
    <w:p>
      <w:pPr>
        <w:spacing w:after="0" w:line="119" w:lineRule="exact"/>
        <w:rPr>
          <w:sz w:val="20"/>
          <w:szCs w:val="20"/>
          <w:color w:val="auto"/>
        </w:rPr>
      </w:pPr>
    </w:p>
    <w:p>
      <w:pPr>
        <w:ind w:left="840" w:hanging="684"/>
        <w:spacing w:after="0"/>
        <w:tabs>
          <w:tab w:leader="none" w:pos="840"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Whistleblower Provisions.</w:t>
      </w:r>
    </w:p>
    <w:p>
      <w:pPr>
        <w:spacing w:after="0" w:line="171" w:lineRule="exact"/>
        <w:rPr>
          <w:sz w:val="20"/>
          <w:szCs w:val="20"/>
          <w:color w:val="auto"/>
        </w:rPr>
      </w:pPr>
    </w:p>
    <w:p>
      <w:pPr>
        <w:jc w:val="both"/>
        <w:ind w:left="160" w:right="59" w:firstLine="677"/>
        <w:spacing w:after="0" w:line="254" w:lineRule="auto"/>
        <w:rPr>
          <w:sz w:val="20"/>
          <w:szCs w:val="20"/>
          <w:color w:val="auto"/>
        </w:rPr>
      </w:pPr>
      <w:r>
        <w:rPr>
          <w:rFonts w:ascii="Arial" w:cs="Arial" w:eastAsia="Arial" w:hAnsi="Arial"/>
          <w:sz w:val="17"/>
          <w:szCs w:val="17"/>
          <w:color w:val="auto"/>
        </w:rPr>
        <w:t>Nothing contained herein prohibits the Participant from: (1) reporting possible violations of federal law or regulations, including any possible securities laws violations, to any governmental agency or entity; (2) making any other disclosures that are protected under the whistleblower provisions of federal law or regulations; or (3) otherwise fully participating in any federal whistleblower programs, including but not limited to any such programs managed by the U.S. Securities and Exchange.</w:t>
      </w:r>
    </w:p>
    <w:p>
      <w:pPr>
        <w:spacing w:after="0" w:line="119" w:lineRule="exact"/>
        <w:rPr>
          <w:sz w:val="20"/>
          <w:szCs w:val="20"/>
          <w:color w:val="auto"/>
        </w:rPr>
      </w:pPr>
    </w:p>
    <w:p>
      <w:pPr>
        <w:ind w:left="160"/>
        <w:spacing w:after="0"/>
        <w:tabs>
          <w:tab w:leader="none" w:pos="440" w:val="left"/>
          <w:tab w:leader="none" w:pos="740" w:val="left"/>
        </w:tabs>
        <w:rPr>
          <w:sz w:val="20"/>
          <w:szCs w:val="20"/>
          <w:color w:val="auto"/>
        </w:rPr>
      </w:pPr>
      <w:r>
        <w:rPr>
          <w:rFonts w:ascii="Arial" w:cs="Arial" w:eastAsia="Arial" w:hAnsi="Arial"/>
          <w:sz w:val="17"/>
          <w:szCs w:val="17"/>
          <w:color w:val="auto"/>
        </w:rPr>
        <w:t>*</w:t>
        <w:tab/>
        <w:t>*</w:t>
        <w:tab/>
        <w:t>*</w:t>
      </w: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adopted by the Board of Directors of</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ExlService Holdings, Inc. as of April 12, 2018.</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559435</wp:posOffset>
            </wp:positionV>
            <wp:extent cx="7310755" cy="241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11" w:name="page112"/>
    <w:bookmarkEnd w:id="111"/>
    <w:p>
      <w:pPr>
        <w:spacing w:after="0" w:line="200" w:lineRule="exact"/>
        <w:rPr>
          <w:sz w:val="20"/>
          <w:szCs w:val="20"/>
          <w:color w:val="auto"/>
        </w:rPr>
      </w:pPr>
    </w:p>
    <w:p>
      <w:pPr>
        <w:spacing w:after="0" w:line="291" w:lineRule="exact"/>
        <w:rPr>
          <w:sz w:val="20"/>
          <w:szCs w:val="20"/>
          <w:color w:val="auto"/>
        </w:rPr>
      </w:pPr>
    </w:p>
    <w:p>
      <w:pPr>
        <w:ind w:left="480" w:right="1480"/>
        <w:spacing w:after="0" w:line="254" w:lineRule="auto"/>
        <w:rPr>
          <w:sz w:val="20"/>
          <w:szCs w:val="20"/>
          <w:color w:val="auto"/>
        </w:rPr>
      </w:pPr>
      <w:r>
        <w:rPr>
          <w:rFonts w:ascii="Arial" w:cs="Arial" w:eastAsia="Arial" w:hAnsi="Arial"/>
          <w:sz w:val="17"/>
          <w:szCs w:val="17"/>
          <w:b w:val="1"/>
          <w:bCs w:val="1"/>
          <w:i w:val="1"/>
          <w:iCs w:val="1"/>
          <w:color w:val="auto"/>
        </w:rPr>
        <w:t>EXLSERVICE HOLDINGS, INC. 280 PARK AVENUE, 38TH FLOOR NEW YORK, NY 10017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9" w:lineRule="exact"/>
        <w:rPr>
          <w:sz w:val="20"/>
          <w:szCs w:val="20"/>
          <w:color w:val="auto"/>
        </w:rPr>
      </w:pPr>
    </w:p>
    <w:p>
      <w:pPr>
        <w:jc w:val="both"/>
        <w:ind w:right="600"/>
        <w:spacing w:after="0" w:line="233"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June 14, 2018. Have your proxy card in hand when you access the web site and follow the instructions to obtain your records and to create an electronic voting instruction form.</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9" w:lineRule="exact"/>
        <w:rPr>
          <w:sz w:val="20"/>
          <w:szCs w:val="20"/>
          <w:color w:val="auto"/>
        </w:rPr>
      </w:pPr>
    </w:p>
    <w:p>
      <w:pPr>
        <w:jc w:val="both"/>
        <w:ind w:right="600"/>
        <w:spacing w:after="0" w:line="234" w:lineRule="auto"/>
        <w:rPr>
          <w:sz w:val="20"/>
          <w:szCs w:val="20"/>
          <w:color w:val="auto"/>
        </w:rPr>
      </w:pPr>
      <w:r>
        <w:rPr>
          <w:rFonts w:ascii="Arial" w:cs="Arial" w:eastAsia="Arial" w:hAnsi="Arial"/>
          <w:sz w:val="14"/>
          <w:szCs w:val="14"/>
          <w:color w:val="auto"/>
        </w:rPr>
        <w:t>Use any touch-tone telephone to transmit your voting instructions up until 11:59 P.M. Eastern Time on June 14, 2018. Have your proxy card in hand when you call and then follow the instructions.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9" w:lineRule="exact"/>
        <w:rPr>
          <w:sz w:val="20"/>
          <w:szCs w:val="20"/>
          <w:color w:val="auto"/>
        </w:rPr>
      </w:pPr>
    </w:p>
    <w:p>
      <w:pPr>
        <w:jc w:val="both"/>
        <w:ind w:right="600"/>
        <w:spacing w:after="0" w:line="234"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660" w:space="720"/>
            <w:col w:w="6160"/>
          </w:cols>
          <w:pgMar w:left="220" w:top="474"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5020" w:type="dxa"/>
            <w:vAlign w:val="bottom"/>
            <w:gridSpan w:val="5"/>
          </w:tcPr>
          <w:p>
            <w:pPr>
              <w:ind w:left="20"/>
              <w:spacing w:after="0"/>
              <w:rPr>
                <w:sz w:val="20"/>
                <w:szCs w:val="20"/>
                <w:color w:val="auto"/>
              </w:rPr>
            </w:pPr>
            <w:r>
              <w:rPr>
                <w:rFonts w:ascii="Arial" w:cs="Arial" w:eastAsia="Arial" w:hAnsi="Arial"/>
                <w:sz w:val="14"/>
                <w:szCs w:val="14"/>
                <w:color w:val="auto"/>
              </w:rPr>
              <w:t>TO VOTE, MARK BLOCKS BELOW IN BLUE OR BLACK INK AS FOLLOWS:</w:t>
            </w:r>
          </w:p>
        </w:tc>
        <w:tc>
          <w:tcPr>
            <w:tcW w:w="3340" w:type="dxa"/>
            <w:vAlign w:val="bottom"/>
            <w:vMerge w:val="restart"/>
          </w:tcPr>
          <w:p>
            <w:pPr>
              <w:ind w:left="1800"/>
              <w:spacing w:after="0"/>
              <w:rPr>
                <w:sz w:val="20"/>
                <w:szCs w:val="20"/>
                <w:color w:val="auto"/>
              </w:rPr>
            </w:pPr>
            <w:r>
              <w:rPr>
                <w:rFonts w:ascii="Arial" w:cs="Arial" w:eastAsia="Arial" w:hAnsi="Arial"/>
                <w:sz w:val="14"/>
                <w:szCs w:val="14"/>
                <w:color w:val="auto"/>
              </w:rPr>
              <w:t>E45468-P02573</w:t>
            </w:r>
          </w:p>
        </w:tc>
        <w:tc>
          <w:tcPr>
            <w:tcW w:w="3180" w:type="dxa"/>
            <w:vAlign w:val="bottom"/>
            <w:gridSpan w:val="4"/>
            <w:vMerge w:val="restart"/>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54"/>
        </w:trPr>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31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5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180" w:type="dxa"/>
            <w:vAlign w:val="bottom"/>
            <w:gridSpan w:val="4"/>
          </w:tcPr>
          <w:p>
            <w:pPr>
              <w:jc w:val="right"/>
              <w:ind w:right="2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77"/>
        </w:trPr>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454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820" w:type="dxa"/>
            <w:vAlign w:val="bottom"/>
            <w:tcBorders>
              <w:bottom w:val="single" w:sz="8" w:color="auto"/>
            </w:tcBorders>
            <w:gridSpan w:val="3"/>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820" w:type="dxa"/>
            <w:vAlign w:val="bottom"/>
            <w:tcBorders>
              <w:left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EXLSERVICE HOLDINGS, INC.</w:t>
            </w: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3820" w:type="dxa"/>
            <w:vAlign w:val="bottom"/>
            <w:tcBorders>
              <w:left w:val="single" w:sz="8" w:color="auto"/>
            </w:tcBorders>
            <w:gridSpan w:val="3"/>
          </w:tcPr>
          <w:p>
            <w:pPr>
              <w:ind w:left="260"/>
              <w:spacing w:after="0" w:line="117" w:lineRule="exact"/>
              <w:rPr>
                <w:sz w:val="20"/>
                <w:szCs w:val="20"/>
                <w:color w:val="auto"/>
              </w:rPr>
            </w:pPr>
            <w:r>
              <w:rPr>
                <w:rFonts w:ascii="Arial" w:cs="Arial" w:eastAsia="Arial" w:hAnsi="Arial"/>
                <w:sz w:val="13"/>
                <w:szCs w:val="13"/>
                <w:b w:val="1"/>
                <w:bCs w:val="1"/>
                <w:color w:val="auto"/>
              </w:rPr>
              <w:t>The Board of Directors recommends you vote FOR</w:t>
            </w: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820" w:type="dxa"/>
            <w:vAlign w:val="bottom"/>
            <w:tcBorders>
              <w:left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the following:</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80" w:type="dxa"/>
            <w:vAlign w:val="bottom"/>
            <w:tcBorders>
              <w:left w:val="single" w:sz="8" w:color="auto"/>
            </w:tcBorders>
          </w:tcPr>
          <w:p>
            <w:pPr>
              <w:jc w:val="right"/>
              <w:ind w:right="112"/>
              <w:spacing w:after="0" w:line="138" w:lineRule="exact"/>
              <w:rPr>
                <w:sz w:val="20"/>
                <w:szCs w:val="20"/>
                <w:color w:val="auto"/>
              </w:rPr>
            </w:pPr>
            <w:r>
              <w:rPr>
                <w:rFonts w:ascii="Arial" w:cs="Arial" w:eastAsia="Arial" w:hAnsi="Arial"/>
                <w:sz w:val="14"/>
                <w:szCs w:val="14"/>
                <w:color w:val="auto"/>
              </w:rPr>
              <w:t>1.</w:t>
            </w:r>
          </w:p>
        </w:tc>
        <w:tc>
          <w:tcPr>
            <w:tcW w:w="3240" w:type="dxa"/>
            <w:vAlign w:val="bottom"/>
            <w:gridSpan w:val="2"/>
          </w:tcPr>
          <w:p>
            <w:pPr>
              <w:ind w:left="140"/>
              <w:spacing w:after="0" w:line="138" w:lineRule="exact"/>
              <w:rPr>
                <w:sz w:val="20"/>
                <w:szCs w:val="20"/>
                <w:color w:val="auto"/>
              </w:rPr>
            </w:pPr>
            <w:r>
              <w:rPr>
                <w:rFonts w:ascii="Arial" w:cs="Arial" w:eastAsia="Arial" w:hAnsi="Arial"/>
                <w:sz w:val="14"/>
                <w:szCs w:val="14"/>
                <w:color w:val="auto"/>
              </w:rPr>
              <w:t>Election of Directors</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80" w:type="dxa"/>
            <w:vAlign w:val="bottom"/>
            <w:tcBorders>
              <w:left w:val="single" w:sz="8" w:color="auto"/>
            </w:tcBorders>
          </w:tcPr>
          <w:p>
            <w:pPr>
              <w:spacing w:after="0"/>
              <w:rPr>
                <w:sz w:val="15"/>
                <w:szCs w:val="15"/>
                <w:color w:val="auto"/>
              </w:rPr>
            </w:pPr>
          </w:p>
        </w:tc>
        <w:tc>
          <w:tcPr>
            <w:tcW w:w="3240" w:type="dxa"/>
            <w:vAlign w:val="bottom"/>
            <w:gridSpan w:val="2"/>
          </w:tcPr>
          <w:p>
            <w:pPr>
              <w:ind w:left="140"/>
              <w:spacing w:after="0"/>
              <w:rPr>
                <w:sz w:val="20"/>
                <w:szCs w:val="20"/>
                <w:color w:val="auto"/>
              </w:rPr>
            </w:pPr>
            <w:r>
              <w:rPr>
                <w:rFonts w:ascii="Arial" w:cs="Arial" w:eastAsia="Arial" w:hAnsi="Arial"/>
                <w:sz w:val="14"/>
                <w:szCs w:val="14"/>
                <w:b w:val="1"/>
                <w:bCs w:val="1"/>
                <w:color w:val="auto"/>
              </w:rPr>
              <w:t>Nominees: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For</w:t>
            </w:r>
          </w:p>
        </w:tc>
        <w:tc>
          <w:tcPr>
            <w:tcW w:w="4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Against Abstain</w:t>
            </w:r>
          </w:p>
        </w:tc>
        <w:tc>
          <w:tcPr>
            <w:tcW w:w="1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480" w:type="dxa"/>
            <w:vAlign w:val="bottom"/>
            <w:vMerge w:val="restart"/>
          </w:tcPr>
          <w:p>
            <w:pPr>
              <w:ind w:left="140"/>
              <w:spacing w:after="0"/>
              <w:rPr>
                <w:sz w:val="20"/>
                <w:szCs w:val="20"/>
                <w:color w:val="auto"/>
              </w:rPr>
            </w:pPr>
            <w:r>
              <w:rPr>
                <w:rFonts w:ascii="Arial" w:cs="Arial" w:eastAsia="Arial" w:hAnsi="Arial"/>
                <w:sz w:val="14"/>
                <w:szCs w:val="14"/>
                <w:color w:val="auto"/>
              </w:rPr>
              <w:t>1a.</w:t>
            </w:r>
          </w:p>
        </w:tc>
        <w:tc>
          <w:tcPr>
            <w:tcW w:w="2760" w:type="dxa"/>
            <w:vAlign w:val="bottom"/>
            <w:vMerge w:val="restart"/>
          </w:tcPr>
          <w:p>
            <w:pPr>
              <w:ind w:left="40"/>
              <w:spacing w:after="0"/>
              <w:rPr>
                <w:sz w:val="20"/>
                <w:szCs w:val="20"/>
                <w:color w:val="auto"/>
              </w:rPr>
            </w:pPr>
            <w:r>
              <w:rPr>
                <w:rFonts w:ascii="Arial" w:cs="Arial" w:eastAsia="Arial" w:hAnsi="Arial"/>
                <w:sz w:val="14"/>
                <w:szCs w:val="14"/>
                <w:color w:val="auto"/>
              </w:rPr>
              <w:t>Deborah Kerr</w:t>
            </w:r>
          </w:p>
        </w:tc>
        <w:tc>
          <w:tcPr>
            <w:tcW w:w="400" w:type="dxa"/>
            <w:vAlign w:val="bottom"/>
            <w:vMerge w:val="restart"/>
          </w:tcPr>
          <w:p>
            <w:pPr>
              <w:ind w:left="10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vMerge w:val="restart"/>
          </w:tcPr>
          <w:p>
            <w:pPr>
              <w:ind w:left="280"/>
              <w:spacing w:after="0" w:line="171" w:lineRule="exact"/>
              <w:rPr>
                <w:sz w:val="20"/>
                <w:szCs w:val="20"/>
                <w:color w:val="auto"/>
              </w:rPr>
            </w:pPr>
            <w:r>
              <w:rPr>
                <w:rFonts w:ascii="MS PGothic" w:cs="MS PGothic" w:eastAsia="MS PGothic" w:hAnsi="MS PGothic"/>
                <w:sz w:val="17"/>
                <w:szCs w:val="17"/>
                <w:color w:val="auto"/>
              </w:rPr>
              <w:t>☐</w:t>
            </w:r>
          </w:p>
        </w:tc>
        <w:tc>
          <w:tcPr>
            <w:tcW w:w="3340" w:type="dxa"/>
            <w:vAlign w:val="bottom"/>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1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80" w:type="dxa"/>
            <w:vAlign w:val="bottom"/>
            <w:tcBorders>
              <w:left w:val="single" w:sz="8" w:color="auto"/>
            </w:tcBorders>
          </w:tcPr>
          <w:p>
            <w:pPr>
              <w:spacing w:after="0"/>
              <w:rPr>
                <w:sz w:val="19"/>
                <w:szCs w:val="19"/>
                <w:color w:val="auto"/>
              </w:rPr>
            </w:pPr>
          </w:p>
        </w:tc>
        <w:tc>
          <w:tcPr>
            <w:tcW w:w="48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334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580" w:type="dxa"/>
            <w:vAlign w:val="bottom"/>
            <w:tcBorders>
              <w:left w:val="single" w:sz="8" w:color="auto"/>
            </w:tcBorders>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4"/>
                <w:szCs w:val="14"/>
                <w:color w:val="auto"/>
              </w:rPr>
              <w:t>1b.</w:t>
            </w:r>
          </w:p>
        </w:tc>
        <w:tc>
          <w:tcPr>
            <w:tcW w:w="2760" w:type="dxa"/>
            <w:vAlign w:val="bottom"/>
          </w:tcPr>
          <w:p>
            <w:pPr>
              <w:ind w:left="40"/>
              <w:spacing w:after="0"/>
              <w:rPr>
                <w:sz w:val="20"/>
                <w:szCs w:val="20"/>
                <w:color w:val="auto"/>
              </w:rPr>
            </w:pPr>
            <w:r>
              <w:rPr>
                <w:rFonts w:ascii="Arial" w:cs="Arial" w:eastAsia="Arial" w:hAnsi="Arial"/>
                <w:sz w:val="14"/>
                <w:szCs w:val="14"/>
                <w:color w:val="auto"/>
              </w:rPr>
              <w:t>Nitin Sahney</w:t>
            </w:r>
          </w:p>
        </w:tc>
        <w:tc>
          <w:tcPr>
            <w:tcW w:w="400" w:type="dxa"/>
            <w:vAlign w:val="bottom"/>
          </w:tcPr>
          <w:p>
            <w:pPr>
              <w:ind w:left="10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280"/>
              <w:spacing w:after="0" w:line="171" w:lineRule="exact"/>
              <w:rPr>
                <w:sz w:val="20"/>
                <w:szCs w:val="20"/>
                <w:color w:val="auto"/>
              </w:rPr>
            </w:pPr>
            <w:r>
              <w:rPr>
                <w:rFonts w:ascii="MS PGothic" w:cs="MS PGothic" w:eastAsia="MS PGothic" w:hAnsi="MS PGothic"/>
                <w:sz w:val="17"/>
                <w:szCs w:val="17"/>
                <w:color w:val="auto"/>
              </w:rPr>
              <w:t>☐</w:t>
            </w:r>
          </w:p>
        </w:tc>
        <w:tc>
          <w:tcPr>
            <w:tcW w:w="3340" w:type="dxa"/>
            <w:vAlign w:val="bottom"/>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80" w:type="dxa"/>
            <w:vAlign w:val="bottom"/>
            <w:tcBorders>
              <w:left w:val="single" w:sz="8" w:color="auto"/>
            </w:tcBorders>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4"/>
                <w:szCs w:val="14"/>
                <w:color w:val="auto"/>
              </w:rPr>
              <w:t>1c.</w:t>
            </w:r>
          </w:p>
        </w:tc>
        <w:tc>
          <w:tcPr>
            <w:tcW w:w="2760" w:type="dxa"/>
            <w:vAlign w:val="bottom"/>
          </w:tcPr>
          <w:p>
            <w:pPr>
              <w:ind w:left="20"/>
              <w:spacing w:after="0"/>
              <w:rPr>
                <w:sz w:val="20"/>
                <w:szCs w:val="20"/>
                <w:color w:val="auto"/>
              </w:rPr>
            </w:pPr>
            <w:r>
              <w:rPr>
                <w:rFonts w:ascii="Arial" w:cs="Arial" w:eastAsia="Arial" w:hAnsi="Arial"/>
                <w:sz w:val="14"/>
                <w:szCs w:val="14"/>
                <w:color w:val="auto"/>
              </w:rPr>
              <w:t>Garen Staglin</w:t>
            </w:r>
          </w:p>
        </w:tc>
        <w:tc>
          <w:tcPr>
            <w:tcW w:w="400" w:type="dxa"/>
            <w:vAlign w:val="bottom"/>
          </w:tcPr>
          <w:p>
            <w:pPr>
              <w:ind w:left="10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280"/>
              <w:spacing w:after="0" w:line="171" w:lineRule="exact"/>
              <w:rPr>
                <w:sz w:val="20"/>
                <w:szCs w:val="20"/>
                <w:color w:val="auto"/>
              </w:rPr>
            </w:pPr>
            <w:r>
              <w:rPr>
                <w:rFonts w:ascii="MS PGothic" w:cs="MS PGothic" w:eastAsia="MS PGothic" w:hAnsi="MS PGothic"/>
                <w:sz w:val="17"/>
                <w:szCs w:val="17"/>
                <w:color w:val="auto"/>
              </w:rPr>
              <w:t>☐</w:t>
            </w:r>
          </w:p>
        </w:tc>
        <w:tc>
          <w:tcPr>
            <w:tcW w:w="3340" w:type="dxa"/>
            <w:vAlign w:val="bottom"/>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5020" w:type="dxa"/>
            <w:vAlign w:val="bottom"/>
            <w:gridSpan w:val="5"/>
          </w:tcPr>
          <w:p>
            <w:pPr>
              <w:ind w:left="280"/>
              <w:spacing w:after="0"/>
              <w:rPr>
                <w:sz w:val="20"/>
                <w:szCs w:val="20"/>
                <w:color w:val="auto"/>
              </w:rPr>
            </w:pPr>
            <w:r>
              <w:rPr>
                <w:rFonts w:ascii="Arial" w:cs="Arial" w:eastAsia="Arial" w:hAnsi="Arial"/>
                <w:sz w:val="14"/>
                <w:szCs w:val="14"/>
                <w:b w:val="1"/>
                <w:bCs w:val="1"/>
                <w:color w:val="auto"/>
                <w:w w:val="98"/>
              </w:rPr>
              <w:t>The Board of Directors recommends you vote FOR proposals 2, 3 and 4.</w:t>
            </w:r>
          </w:p>
        </w:tc>
        <w:tc>
          <w:tcPr>
            <w:tcW w:w="3340" w:type="dxa"/>
            <w:vAlign w:val="bottom"/>
          </w:tcPr>
          <w:p>
            <w:pPr>
              <w:spacing w:after="0"/>
              <w:rPr>
                <w:sz w:val="24"/>
                <w:szCs w:val="24"/>
                <w:color w:val="auto"/>
              </w:rPr>
            </w:pPr>
          </w:p>
        </w:tc>
        <w:tc>
          <w:tcPr>
            <w:tcW w:w="1620" w:type="dxa"/>
            <w:vAlign w:val="bottom"/>
          </w:tcPr>
          <w:p>
            <w:pPr>
              <w:jc w:val="center"/>
              <w:ind w:left="1132"/>
              <w:spacing w:after="0"/>
              <w:rPr>
                <w:sz w:val="20"/>
                <w:szCs w:val="20"/>
                <w:color w:val="auto"/>
              </w:rPr>
            </w:pPr>
            <w:r>
              <w:rPr>
                <w:rFonts w:ascii="Arial" w:cs="Arial" w:eastAsia="Arial" w:hAnsi="Arial"/>
                <w:sz w:val="14"/>
                <w:szCs w:val="14"/>
                <w:b w:val="1"/>
                <w:bCs w:val="1"/>
                <w:color w:val="auto"/>
                <w:w w:val="97"/>
              </w:rPr>
              <w:t>For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Abstain</w:t>
            </w:r>
          </w:p>
        </w:tc>
        <w:tc>
          <w:tcPr>
            <w:tcW w:w="0" w:type="dxa"/>
            <w:vAlign w:val="bottom"/>
          </w:tcPr>
          <w:p>
            <w:pPr>
              <w:spacing w:after="0"/>
              <w:rPr>
                <w:sz w:val="1"/>
                <w:szCs w:val="1"/>
                <w:color w:val="auto"/>
              </w:rPr>
            </w:pPr>
          </w:p>
        </w:tc>
      </w:tr>
      <w:tr>
        <w:trPr>
          <w:trHeight w:val="272"/>
        </w:trPr>
        <w:tc>
          <w:tcPr>
            <w:tcW w:w="580" w:type="dxa"/>
            <w:vAlign w:val="bottom"/>
          </w:tcPr>
          <w:p>
            <w:pPr>
              <w:jc w:val="right"/>
              <w:ind w:right="72"/>
              <w:spacing w:after="0"/>
              <w:rPr>
                <w:sz w:val="20"/>
                <w:szCs w:val="20"/>
                <w:color w:val="auto"/>
              </w:rPr>
            </w:pPr>
            <w:r>
              <w:rPr>
                <w:rFonts w:ascii="Arial" w:cs="Arial" w:eastAsia="Arial" w:hAnsi="Arial"/>
                <w:sz w:val="14"/>
                <w:szCs w:val="14"/>
                <w:color w:val="auto"/>
              </w:rPr>
              <w:t>2.</w:t>
            </w:r>
          </w:p>
        </w:tc>
        <w:tc>
          <w:tcPr>
            <w:tcW w:w="9400" w:type="dxa"/>
            <w:vAlign w:val="bottom"/>
            <w:gridSpan w:val="6"/>
          </w:tcPr>
          <w:p>
            <w:pPr>
              <w:ind w:left="160"/>
              <w:spacing w:after="0" w:line="161" w:lineRule="exact"/>
              <w:rPr>
                <w:sz w:val="20"/>
                <w:szCs w:val="20"/>
                <w:color w:val="auto"/>
              </w:rPr>
            </w:pPr>
            <w:r>
              <w:rPr>
                <w:rFonts w:ascii="Arial" w:cs="Arial" w:eastAsia="Arial" w:hAnsi="Arial"/>
                <w:sz w:val="14"/>
                <w:szCs w:val="14"/>
                <w:color w:val="auto"/>
              </w:rPr>
              <w:t xml:space="preserve">The ratification of the selection of Deloitte &amp; Touche LLP as the independent registered public accounting firm of the Company for fiscal year   </w:t>
            </w:r>
            <w:r>
              <w:rPr>
                <w:rFonts w:ascii="MS PGothic" w:cs="MS PGothic" w:eastAsia="MS PGothic" w:hAnsi="MS PGothic"/>
                <w:sz w:val="14"/>
                <w:szCs w:val="14"/>
                <w:color w:val="auto"/>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gridSpan w:val="2"/>
          </w:tcPr>
          <w:p>
            <w:pPr>
              <w:jc w:val="center"/>
              <w:ind w:right="1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w w:val="96"/>
              </w:rPr>
              <w:t>2018</w:t>
            </w:r>
          </w:p>
        </w:tc>
        <w:tc>
          <w:tcPr>
            <w:tcW w:w="2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580" w:type="dxa"/>
            <w:vAlign w:val="bottom"/>
          </w:tcPr>
          <w:p>
            <w:pPr>
              <w:jc w:val="right"/>
              <w:ind w:right="72"/>
              <w:spacing w:after="0"/>
              <w:rPr>
                <w:sz w:val="20"/>
                <w:szCs w:val="20"/>
                <w:color w:val="auto"/>
              </w:rPr>
            </w:pPr>
            <w:r>
              <w:rPr>
                <w:rFonts w:ascii="Arial" w:cs="Arial" w:eastAsia="Arial" w:hAnsi="Arial"/>
                <w:sz w:val="14"/>
                <w:szCs w:val="14"/>
                <w:color w:val="auto"/>
              </w:rPr>
              <w:t>3.</w:t>
            </w:r>
          </w:p>
        </w:tc>
        <w:tc>
          <w:tcPr>
            <w:tcW w:w="7780" w:type="dxa"/>
            <w:vAlign w:val="bottom"/>
            <w:gridSpan w:val="5"/>
          </w:tcPr>
          <w:p>
            <w:pPr>
              <w:ind w:left="160"/>
              <w:spacing w:after="0"/>
              <w:rPr>
                <w:sz w:val="20"/>
                <w:szCs w:val="20"/>
                <w:color w:val="auto"/>
              </w:rPr>
            </w:pPr>
            <w:r>
              <w:rPr>
                <w:rFonts w:ascii="Arial" w:cs="Arial" w:eastAsia="Arial" w:hAnsi="Arial"/>
                <w:sz w:val="14"/>
                <w:szCs w:val="14"/>
                <w:color w:val="auto"/>
              </w:rPr>
              <w:t>The approval, on a non-binding advisory basis, of the compensation of the named executive officers of the Company</w:t>
            </w:r>
          </w:p>
        </w:tc>
        <w:tc>
          <w:tcPr>
            <w:tcW w:w="1620" w:type="dxa"/>
            <w:vAlign w:val="bottom"/>
          </w:tcPr>
          <w:p>
            <w:pPr>
              <w:jc w:val="center"/>
              <w:ind w:left="1112"/>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gridSpan w:val="2"/>
          </w:tcPr>
          <w:p>
            <w:pPr>
              <w:jc w:val="center"/>
              <w:ind w:right="1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21"/>
        </w:trPr>
        <w:tc>
          <w:tcPr>
            <w:tcW w:w="580" w:type="dxa"/>
            <w:vAlign w:val="bottom"/>
          </w:tcPr>
          <w:p>
            <w:pPr>
              <w:jc w:val="right"/>
              <w:ind w:right="72"/>
              <w:spacing w:after="0"/>
              <w:rPr>
                <w:sz w:val="20"/>
                <w:szCs w:val="20"/>
                <w:color w:val="auto"/>
              </w:rPr>
            </w:pPr>
            <w:r>
              <w:rPr>
                <w:rFonts w:ascii="Arial" w:cs="Arial" w:eastAsia="Arial" w:hAnsi="Arial"/>
                <w:sz w:val="14"/>
                <w:szCs w:val="14"/>
                <w:color w:val="auto"/>
              </w:rPr>
              <w:t>4.</w:t>
            </w:r>
          </w:p>
        </w:tc>
        <w:tc>
          <w:tcPr>
            <w:tcW w:w="3240" w:type="dxa"/>
            <w:vAlign w:val="bottom"/>
            <w:gridSpan w:val="2"/>
          </w:tcPr>
          <w:p>
            <w:pPr>
              <w:ind w:left="160"/>
              <w:spacing w:after="0"/>
              <w:rPr>
                <w:sz w:val="20"/>
                <w:szCs w:val="20"/>
                <w:color w:val="auto"/>
              </w:rPr>
            </w:pPr>
            <w:r>
              <w:rPr>
                <w:rFonts w:ascii="Arial" w:cs="Arial" w:eastAsia="Arial" w:hAnsi="Arial"/>
                <w:sz w:val="14"/>
                <w:szCs w:val="14"/>
                <w:color w:val="auto"/>
                <w:w w:val="99"/>
              </w:rPr>
              <w:t>The approval of the 2018 Omnibus Incentive Plan</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20" w:type="dxa"/>
            <w:vAlign w:val="bottom"/>
          </w:tcPr>
          <w:p>
            <w:pPr>
              <w:jc w:val="center"/>
              <w:ind w:left="1112"/>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gridSpan w:val="2"/>
          </w:tcPr>
          <w:p>
            <w:pPr>
              <w:jc w:val="center"/>
              <w:ind w:right="1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-2457450</wp:posOffset>
            </wp:positionV>
            <wp:extent cx="7325995" cy="336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25995" cy="336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-955040</wp:posOffset>
            </wp:positionV>
            <wp:extent cx="7302500" cy="26619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02500" cy="2661920"/>
                    </a:xfrm>
                    <a:prstGeom prst="rect">
                      <a:avLst/>
                    </a:prstGeom>
                    <a:noFill/>
                  </pic:spPr>
                </pic:pic>
              </a:graphicData>
            </a:graphic>
          </wp:anchor>
        </w:drawing>
      </w:r>
    </w:p>
    <w:p>
      <w:pPr>
        <w:spacing w:after="0" w:line="105" w:lineRule="exact"/>
        <w:rPr>
          <w:sz w:val="20"/>
          <w:szCs w:val="20"/>
          <w:color w:val="auto"/>
        </w:rPr>
      </w:pPr>
    </w:p>
    <w:p>
      <w:pPr>
        <w:ind w:left="280" w:right="2060"/>
        <w:spacing w:after="0" w:line="257"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The proxies are authorized to act upon such other business as may properly come before the Annual Meeting or any adjournment or</w:t>
      </w:r>
      <w:r>
        <w:rPr>
          <w:rFonts w:ascii="Arial" w:cs="Arial" w:eastAsia="Arial" w:hAnsi="Arial"/>
          <w:sz w:val="14"/>
          <w:szCs w:val="14"/>
          <w:b w:val="1"/>
          <w:bCs w:val="1"/>
          <w:color w:val="auto"/>
        </w:rPr>
        <w:t xml:space="preserve"> </w:t>
      </w:r>
      <w:r>
        <w:rPr>
          <w:rFonts w:ascii="Arial" w:cs="Arial" w:eastAsia="Arial" w:hAnsi="Arial"/>
          <w:sz w:val="14"/>
          <w:szCs w:val="14"/>
          <w:color w:val="auto"/>
        </w:rPr>
        <w:t>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Please sign exactly as your name(s) appear(s) hereon. When signing as attorney,</w:t>
      </w:r>
    </w:p>
    <w:p>
      <w:pPr>
        <w:ind w:left="280"/>
        <w:spacing w:after="0" w:line="229" w:lineRule="auto"/>
        <w:rPr>
          <w:sz w:val="20"/>
          <w:szCs w:val="20"/>
          <w:color w:val="auto"/>
        </w:rPr>
      </w:pPr>
      <w:r>
        <w:rPr>
          <w:rFonts w:ascii="Arial" w:cs="Arial" w:eastAsia="Arial" w:hAnsi="Arial"/>
          <w:sz w:val="14"/>
          <w:szCs w:val="14"/>
          <w:color w:val="auto"/>
        </w:rPr>
        <w:t>executor, administrator, or other fiduciary, please give full title as such. Joint owners</w:t>
      </w:r>
    </w:p>
    <w:p>
      <w:pPr>
        <w:ind w:left="280"/>
        <w:spacing w:after="0" w:line="229" w:lineRule="auto"/>
        <w:rPr>
          <w:sz w:val="20"/>
          <w:szCs w:val="20"/>
          <w:color w:val="auto"/>
        </w:rPr>
      </w:pPr>
      <w:r>
        <w:rPr>
          <w:rFonts w:ascii="Arial" w:cs="Arial" w:eastAsia="Arial" w:hAnsi="Arial"/>
          <w:sz w:val="14"/>
          <w:szCs w:val="14"/>
          <w:color w:val="auto"/>
        </w:rPr>
        <w:t>should each sign personally. All holders must sign. If a corporation or partnership,</w:t>
      </w:r>
    </w:p>
    <w:p>
      <w:pPr>
        <w:ind w:left="280"/>
        <w:spacing w:after="0"/>
        <w:rPr>
          <w:sz w:val="20"/>
          <w:szCs w:val="20"/>
          <w:color w:val="auto"/>
        </w:rPr>
      </w:pPr>
      <w:r>
        <w:rPr>
          <w:rFonts w:ascii="Arial" w:cs="Arial" w:eastAsia="Arial" w:hAnsi="Arial"/>
          <w:sz w:val="14"/>
          <w:szCs w:val="14"/>
          <w:color w:val="auto"/>
        </w:rPr>
        <w:t>please sign in full corporate or partnership name by authorized officer.</w:t>
      </w:r>
    </w:p>
    <w:p>
      <w:pPr>
        <w:spacing w:after="0" w:line="200" w:lineRule="exact"/>
        <w:rPr>
          <w:sz w:val="20"/>
          <w:szCs w:val="20"/>
          <w:color w:val="auto"/>
        </w:rPr>
      </w:pPr>
    </w:p>
    <w:p>
      <w:pPr>
        <w:spacing w:after="0" w:line="267" w:lineRule="exact"/>
        <w:rPr>
          <w:sz w:val="20"/>
          <w:szCs w:val="20"/>
          <w:color w:val="auto"/>
        </w:rPr>
      </w:pPr>
    </w:p>
    <w:p>
      <w:pPr>
        <w:ind w:left="280"/>
        <w:spacing w:after="0"/>
        <w:tabs>
          <w:tab w:leader="none" w:pos="3700" w:val="left"/>
          <w:tab w:leader="none" w:pos="5560" w:val="left"/>
          <w:tab w:leader="none" w:pos="87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440055</wp:posOffset>
            </wp:positionV>
            <wp:extent cx="73107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10755" cy="8255"/>
                    </a:xfrm>
                    <a:prstGeom prst="rect">
                      <a:avLst/>
                    </a:prstGeom>
                    <a:noFill/>
                  </pic:spPr>
                </pic:pic>
              </a:graphicData>
            </a:graphic>
          </wp:anchor>
        </w:drawing>
      </w:r>
    </w:p>
    <w:p>
      <w:pPr>
        <w:sectPr>
          <w:pgSz w:w="11900" w:h="16838" w:orient="portrait"/>
          <w:cols w:equalWidth="0" w:num="1">
            <w:col w:w="11540"/>
          </w:cols>
          <w:pgMar w:left="220" w:top="474" w:right="139" w:bottom="1440" w:gutter="0" w:footer="0" w:header="0"/>
          <w:type w:val="continuous"/>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60"/>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17"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E45469-P02573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-6985</wp:posOffset>
            </wp:positionV>
            <wp:extent cx="7302500" cy="33540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02500" cy="3354070"/>
                    </a:xfrm>
                    <a:prstGeom prst="rect">
                      <a:avLst/>
                    </a:prstGeom>
                    <a:noFill/>
                  </pic:spPr>
                </pic:pic>
              </a:graphicData>
            </a:graphic>
          </wp:anchor>
        </w:drawing>
      </w:r>
    </w:p>
    <w:p>
      <w:pPr>
        <w:spacing w:after="0" w:line="383"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EXLSERVICE HOLDINGS, INC.</w:t>
      </w:r>
    </w:p>
    <w:p>
      <w:pPr>
        <w:spacing w:after="0" w:line="14"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Annual Meeting of Shareholders</w:t>
      </w:r>
    </w:p>
    <w:p>
      <w:pPr>
        <w:jc w:val="center"/>
        <w:ind w:right="360"/>
        <w:spacing w:after="0" w:line="236" w:lineRule="auto"/>
        <w:rPr>
          <w:sz w:val="20"/>
          <w:szCs w:val="20"/>
          <w:color w:val="auto"/>
        </w:rPr>
      </w:pPr>
      <w:r>
        <w:rPr>
          <w:rFonts w:ascii="Arial" w:cs="Arial" w:eastAsia="Arial" w:hAnsi="Arial"/>
          <w:sz w:val="17"/>
          <w:szCs w:val="17"/>
          <w:b w:val="1"/>
          <w:bCs w:val="1"/>
          <w:color w:val="auto"/>
        </w:rPr>
        <w:t>June 15, 2018 8:30 A.M. EDT</w:t>
      </w:r>
    </w:p>
    <w:p>
      <w:pPr>
        <w:jc w:val="center"/>
        <w:ind w:right="360"/>
        <w:spacing w:after="0"/>
        <w:rPr>
          <w:sz w:val="20"/>
          <w:szCs w:val="20"/>
          <w:color w:val="auto"/>
        </w:rPr>
      </w:pPr>
      <w:r>
        <w:rPr>
          <w:rFonts w:ascii="Arial" w:cs="Arial" w:eastAsia="Arial" w:hAnsi="Arial"/>
          <w:sz w:val="17"/>
          <w:szCs w:val="17"/>
          <w:b w:val="1"/>
          <w:bCs w:val="1"/>
          <w:color w:val="auto"/>
        </w:rPr>
        <w:t>This proxy is solicited by the Board of Directors</w:t>
      </w:r>
    </w:p>
    <w:p>
      <w:pPr>
        <w:spacing w:after="0" w:line="125" w:lineRule="exact"/>
        <w:rPr>
          <w:sz w:val="20"/>
          <w:szCs w:val="20"/>
          <w:color w:val="auto"/>
        </w:rPr>
      </w:pPr>
    </w:p>
    <w:p>
      <w:pPr>
        <w:jc w:val="both"/>
        <w:ind w:right="360"/>
        <w:spacing w:after="0" w:line="239" w:lineRule="auto"/>
        <w:rPr>
          <w:sz w:val="20"/>
          <w:szCs w:val="20"/>
          <w:color w:val="auto"/>
        </w:rPr>
      </w:pPr>
      <w:r>
        <w:rPr>
          <w:rFonts w:ascii="Arial" w:cs="Arial" w:eastAsia="Arial" w:hAnsi="Arial"/>
          <w:sz w:val="17"/>
          <w:szCs w:val="17"/>
          <w:color w:val="auto"/>
        </w:rPr>
        <w:t>The shareholder(s) hereby appoint(s) Vishal Chhibbar and Nancy Saltzman, or either of them, as proxies, each with the power to appoint his or her substitute, and hereby authorize(s) them to represent and to vote, as designated on the reverse side of this ballot, all of the shares of common stock of EXLSERVICE HOLDINGS, INC. that the shareholder(s) is/are entitled to vote at the Annual Meeting of Shareholders to be held at 8:30 A.M., Eastern Daylight Time on June 15, 2018, at 280 Park Avenue, 38th Floor, New York, NY 10017, and any adjournment or postponement thereof.</w:t>
      </w:r>
    </w:p>
    <w:p>
      <w:pPr>
        <w:spacing w:after="0" w:line="181" w:lineRule="exact"/>
        <w:rPr>
          <w:sz w:val="20"/>
          <w:szCs w:val="20"/>
          <w:color w:val="auto"/>
        </w:rPr>
      </w:pPr>
    </w:p>
    <w:p>
      <w:pPr>
        <w:jc w:val="both"/>
        <w:ind w:right="360"/>
        <w:spacing w:after="0" w:line="241" w:lineRule="auto"/>
        <w:rPr>
          <w:sz w:val="20"/>
          <w:szCs w:val="20"/>
          <w:color w:val="auto"/>
        </w:rPr>
      </w:pPr>
      <w:r>
        <w:rPr>
          <w:rFonts w:ascii="Arial" w:cs="Arial" w:eastAsia="Arial" w:hAnsi="Arial"/>
          <w:sz w:val="17"/>
          <w:szCs w:val="17"/>
          <w:color w:val="auto"/>
        </w:rPr>
        <w:t>The undersigned hereby also authorize(s) the proxy, in his or her discretion, to vote on any other business that may properly be brought before the meeting or any adjournment or postponement thereof to the extent authorized by Rule 14a-4(c) promulgated by the Securities and Exchange Commission.</w:t>
      </w:r>
    </w:p>
    <w:p>
      <w:pPr>
        <w:spacing w:after="0" w:line="109" w:lineRule="exact"/>
        <w:rPr>
          <w:sz w:val="20"/>
          <w:szCs w:val="20"/>
          <w:color w:val="auto"/>
        </w:rPr>
      </w:pPr>
    </w:p>
    <w:p>
      <w:pPr>
        <w:jc w:val="both"/>
        <w:ind w:right="360"/>
        <w:spacing w:after="0" w:line="248" w:lineRule="auto"/>
        <w:rPr>
          <w:sz w:val="20"/>
          <w:szCs w:val="20"/>
          <w:color w:val="auto"/>
        </w:rPr>
      </w:pPr>
      <w:r>
        <w:rPr>
          <w:rFonts w:ascii="Arial" w:cs="Arial" w:eastAsia="Arial" w:hAnsi="Arial"/>
          <w:sz w:val="17"/>
          <w:szCs w:val="17"/>
          <w:b w:val="1"/>
          <w:bCs w:val="1"/>
          <w:color w:val="auto"/>
        </w:rPr>
        <w:t>This proxy, when properly executed, will be voted in the manner directed herein. If no such direction is made, this proxy will be voted in accordance with the Board of Directors’ recommendations, and accordingly, will be voted FOR each of the Board of Directors’ nominees for director specified in Proposal 1, and FOR Proposals 2, 3 and 4, unless a contrary choice is specified, in which case the proxy will be voted as specified.</w:t>
      </w:r>
    </w:p>
    <w:p>
      <w:pPr>
        <w:spacing w:after="0" w:line="135" w:lineRule="exact"/>
        <w:rPr>
          <w:sz w:val="20"/>
          <w:szCs w:val="20"/>
          <w:color w:val="auto"/>
        </w:rPr>
      </w:pPr>
    </w:p>
    <w:p>
      <w:pPr>
        <w:jc w:val="both"/>
        <w:ind w:right="360"/>
        <w:spacing w:after="0" w:line="247" w:lineRule="auto"/>
        <w:rPr>
          <w:sz w:val="20"/>
          <w:szCs w:val="20"/>
          <w:color w:val="auto"/>
        </w:rPr>
      </w:pPr>
      <w:r>
        <w:rPr>
          <w:rFonts w:ascii="Arial" w:cs="Arial" w:eastAsia="Arial" w:hAnsi="Arial"/>
          <w:sz w:val="17"/>
          <w:szCs w:val="17"/>
          <w:color w:val="auto"/>
        </w:rPr>
        <w:t>The undersigned hereby acknowledges receipt of the Notice of Annual Meeting of Shareholders, dated on or about April 27, 2018, and the Proxy Statement furnished therewith.</w:t>
      </w:r>
    </w:p>
    <w:p>
      <w:pPr>
        <w:spacing w:after="0" w:line="296"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540385</wp:posOffset>
            </wp:positionV>
            <wp:extent cx="73107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10755" cy="8255"/>
                    </a:xfrm>
                    <a:prstGeom prst="rect">
                      <a:avLst/>
                    </a:prstGeom>
                    <a:noFill/>
                  </pic:spPr>
                </pic:pic>
              </a:graphicData>
            </a:graphic>
          </wp:anchor>
        </w:drawing>
      </w:r>
    </w:p>
    <w:sectPr>
      <w:pgSz w:w="11900" w:h="16838" w:orient="portrait"/>
      <w:cols w:equalWidth="0" w:num="1">
        <w:col w:w="11120"/>
      </w:cols>
      <w:pgMar w:left="620" w:top="1440"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lvl w:ilvl="1">
      <w:lvlJc w:val="left"/>
      <w:lvlText w:val="(%2)"/>
      <w:numFmt w:val="decimal"/>
      <w:start w:val="1"/>
    </w:lvl>
  </w:abstractNum>
  <w:abstractNum w:abstractNumId="3">
    <w:nsid w:val="68EB2F63"/>
    <w:multiLevelType w:val="hybridMultilevel"/>
    <w:lvl w:ilvl="0">
      <w:lvlJc w:val="left"/>
      <w:lvlText w:val="%1."/>
      <w:numFmt w:val="decimal"/>
      <w:start w:val="1"/>
    </w:lvl>
  </w:abstractNum>
  <w:abstractNum w:abstractNumId="4">
    <w:nsid w:val="4962813B"/>
    <w:multiLevelType w:val="hybridMultilevel"/>
    <w:lvl w:ilvl="0">
      <w:lvlJc w:val="left"/>
      <w:lvlText w:val="%1."/>
      <w:numFmt w:val="decimal"/>
      <w:start w:val="1"/>
    </w:lvl>
  </w:abstractNum>
  <w:abstractNum w:abstractNumId="5">
    <w:nsid w:val="60B6DF70"/>
    <w:multiLevelType w:val="hybridMultilevel"/>
    <w:lvl w:ilvl="0">
      <w:lvlJc w:val="left"/>
      <w:lvlText w:val="&gt;"/>
      <w:numFmt w:val="bullet"/>
      <w:start w:val="1"/>
    </w:lvl>
  </w:abstractNum>
  <w:abstractNum w:abstractNumId="6">
    <w:nsid w:val="6A5EE64"/>
    <w:multiLevelType w:val="hybridMultilevel"/>
    <w:lvl w:ilvl="0">
      <w:lvlJc w:val="left"/>
      <w:lvlText w:val="&gt;"/>
      <w:numFmt w:val="bullet"/>
      <w:start w:val="1"/>
    </w:lvl>
  </w:abstractNum>
  <w:abstractNum w:abstractNumId="7">
    <w:nsid w:val="14330624"/>
    <w:multiLevelType w:val="hybridMultilevel"/>
    <w:lvl w:ilvl="0">
      <w:lvlJc w:val="left"/>
      <w:lvlText w:val="&gt;"/>
      <w:numFmt w:val="bullet"/>
      <w:start w:val="1"/>
    </w:lvl>
  </w:abstractNum>
  <w:abstractNum w:abstractNumId="8">
    <w:nsid w:val="7FFFCA11"/>
    <w:multiLevelType w:val="hybridMultilevel"/>
    <w:lvl w:ilvl="0">
      <w:lvlJc w:val="left"/>
      <w:lvlText w:val="(%1)"/>
      <w:numFmt w:val="decimal"/>
      <w:start w:val="1"/>
    </w:lvl>
  </w:abstractNum>
  <w:abstractNum w:abstractNumId="9">
    <w:nsid w:val="1A27709E"/>
    <w:multiLevelType w:val="hybridMultilevel"/>
    <w:lvl w:ilvl="0">
      <w:lvlJc w:val="left"/>
      <w:lvlText w:val="(%1)"/>
      <w:numFmt w:val="decimal"/>
      <w:start w:val="1"/>
    </w:lvl>
  </w:abstractNum>
  <w:abstractNum w:abstractNumId="10">
    <w:nsid w:val="71EA1109"/>
    <w:multiLevelType w:val="hybridMultilevel"/>
    <w:lvl w:ilvl="0">
      <w:lvlJc w:val="left"/>
      <w:lvlText w:val="&gt;"/>
      <w:numFmt w:val="bullet"/>
      <w:start w:val="1"/>
    </w:lvl>
    <w:lvl w:ilvl="1">
      <w:lvlJc w:val="left"/>
      <w:lvlText w:val="\endash "/>
      <w:numFmt w:val="bullet"/>
      <w:start w:val="1"/>
    </w:lvl>
  </w:abstractNum>
  <w:abstractNum w:abstractNumId="11">
    <w:nsid w:val="100F59DC"/>
    <w:multiLevelType w:val="hybridMultilevel"/>
    <w:lvl w:ilvl="0">
      <w:lvlJc w:val="left"/>
      <w:lvlText w:val="&gt;"/>
      <w:numFmt w:val="bullet"/>
      <w:start w:val="1"/>
    </w:lvl>
    <w:lvl w:ilvl="1">
      <w:lvlJc w:val="left"/>
      <w:lvlText w:val="\endash "/>
      <w:numFmt w:val="bullet"/>
      <w:start w:val="1"/>
    </w:lvl>
  </w:abstractNum>
  <w:abstractNum w:abstractNumId="12">
    <w:nsid w:val="7FB7E0AA"/>
    <w:multiLevelType w:val="hybridMultilevel"/>
    <w:lvl w:ilvl="0">
      <w:lvlJc w:val="left"/>
      <w:lvlText w:val="&gt;"/>
      <w:numFmt w:val="bullet"/>
      <w:start w:val="1"/>
    </w:lvl>
  </w:abstractNum>
  <w:abstractNum w:abstractNumId="13">
    <w:nsid w:val="6EB5BD4"/>
    <w:multiLevelType w:val="hybridMultilevel"/>
    <w:lvl w:ilvl="0">
      <w:lvlJc w:val="left"/>
      <w:lvlText w:val="(%1)"/>
      <w:numFmt w:val="lowerRoman"/>
      <w:start w:val="1"/>
    </w:lvl>
  </w:abstractNum>
  <w:abstractNum w:abstractNumId="14">
    <w:nsid w:val="6F6DD9AC"/>
    <w:multiLevelType w:val="hybridMultilevel"/>
    <w:lvl w:ilvl="0">
      <w:lvlJc w:val="left"/>
      <w:lvlText w:val="&gt;"/>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gt;"/>
      <w:numFmt w:val="bullet"/>
      <w:start w:val="1"/>
    </w:lvl>
  </w:abstractNum>
  <w:abstractNum w:abstractNumId="43">
    <w:nsid w:val="6A5F7029"/>
    <w:multiLevelType w:val="hybridMultilevel"/>
    <w:lvl w:ilvl="0">
      <w:lvlJc w:val="left"/>
      <w:lvlText w:val="9"/>
      <w:numFmt w:val="bullet"/>
      <w:start w:val="1"/>
    </w:lvl>
  </w:abstractNum>
  <w:abstractNum w:abstractNumId="44">
    <w:nsid w:val="7D5E18F8"/>
    <w:multiLevelType w:val="hybridMultilevel"/>
    <w:lvl w:ilvl="0">
      <w:lvlJc w:val="left"/>
      <w:lvlText w:val="(%1)"/>
      <w:numFmt w:val="lowerRoman"/>
      <w:start w:val="2"/>
    </w:lvl>
  </w:abstractNum>
  <w:abstractNum w:abstractNumId="45">
    <w:nsid w:val="5F3534A4"/>
    <w:multiLevelType w:val="hybridMultilevel"/>
    <w:lvl w:ilvl="0">
      <w:lvlJc w:val="left"/>
      <w:lvlText w:val="&gt;"/>
      <w:numFmt w:val="bullet"/>
      <w:start w:val="1"/>
    </w:lvl>
  </w:abstractNum>
  <w:abstractNum w:abstractNumId="46">
    <w:nsid w:val="73A1821B"/>
    <w:multiLevelType w:val="hybridMultilevel"/>
    <w:lvl w:ilvl="0">
      <w:lvlJc w:val="left"/>
      <w:lvlText w:val="7"/>
      <w:numFmt w:val="bullet"/>
      <w:start w:val="1"/>
    </w:lvl>
  </w:abstractNum>
  <w:abstractNum w:abstractNumId="47">
    <w:nsid w:val="7DE67713"/>
    <w:multiLevelType w:val="hybridMultilevel"/>
    <w:lvl w:ilvl="0">
      <w:lvlJc w:val="left"/>
      <w:lvlText w:val="&gt;"/>
      <w:numFmt w:val="bullet"/>
      <w:start w:val="1"/>
    </w:lvl>
  </w:abstractNum>
  <w:abstractNum w:abstractNumId="48">
    <w:nsid w:val="555C55B5"/>
    <w:multiLevelType w:val="hybridMultilevel"/>
    <w:lvl w:ilvl="0">
      <w:lvlJc w:val="left"/>
      <w:lvlText w:val="&gt;"/>
      <w:numFmt w:val="bullet"/>
      <w:start w:val="1"/>
    </w:lvl>
  </w:abstractNum>
  <w:abstractNum w:abstractNumId="49">
    <w:nsid w:val="3FA62ACA"/>
    <w:multiLevelType w:val="hybridMultilevel"/>
    <w:lvl w:ilvl="0">
      <w:lvlJc w:val="left"/>
      <w:lvlText w:val="(%1)"/>
      <w:numFmt w:val="decimal"/>
      <w:start w:val="1"/>
    </w:lvl>
  </w:abstractNum>
  <w:abstractNum w:abstractNumId="50">
    <w:nsid w:val="14FCE74E"/>
    <w:multiLevelType w:val="hybridMultilevel"/>
    <w:lvl w:ilvl="0">
      <w:lvlJc w:val="left"/>
      <w:lvlText w:val="&gt;"/>
      <w:numFmt w:val="bullet"/>
      <w:start w:val="1"/>
    </w:lvl>
  </w:abstractNum>
  <w:abstractNum w:abstractNumId="51">
    <w:nsid w:val="6A3DD3E8"/>
    <w:multiLevelType w:val="hybridMultilevel"/>
    <w:lvl w:ilvl="0">
      <w:lvlJc w:val="left"/>
      <w:lvlText w:val="&gt;"/>
      <w:numFmt w:val="bullet"/>
      <w:start w:val="1"/>
    </w:lvl>
  </w:abstractNum>
  <w:abstractNum w:abstractNumId="52">
    <w:nsid w:val="71C91298"/>
    <w:multiLevelType w:val="hybridMultilevel"/>
    <w:lvl w:ilvl="0">
      <w:lvlJc w:val="left"/>
      <w:lvlText w:val="&gt;"/>
      <w:numFmt w:val="bullet"/>
      <w:start w:val="1"/>
    </w:lvl>
  </w:abstractNum>
  <w:abstractNum w:abstractNumId="53">
    <w:nsid w:val="9DAF632"/>
    <w:multiLevelType w:val="hybridMultilevel"/>
    <w:lvl w:ilvl="0">
      <w:lvlJc w:val="left"/>
      <w:lvlText w:val="&gt;"/>
      <w:numFmt w:val="bullet"/>
      <w:start w:val="1"/>
    </w:lvl>
  </w:abstractNum>
  <w:abstractNum w:abstractNumId="54">
    <w:nsid w:val="53299938"/>
    <w:multiLevelType w:val="hybridMultilevel"/>
    <w:lvl w:ilvl="0">
      <w:lvlJc w:val="left"/>
      <w:lvlText w:val="&gt;"/>
      <w:numFmt w:val="bullet"/>
      <w:start w:val="1"/>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gt;"/>
      <w:numFmt w:val="bullet"/>
      <w:start w:val="1"/>
    </w:lvl>
  </w:abstractNum>
  <w:abstractNum w:abstractNumId="57">
    <w:nsid w:val="1D545C4D"/>
    <w:multiLevelType w:val="hybridMultilevel"/>
    <w:lvl w:ilvl="0">
      <w:lvlJc w:val="left"/>
      <w:lvlText w:val="&gt;"/>
      <w:numFmt w:val="bullet"/>
      <w:start w:val="1"/>
    </w:lvl>
    <w:lvl w:ilvl="1">
      <w:lvlJc w:val="left"/>
      <w:lvlText w:val="&gt;"/>
      <w:numFmt w:val="bullet"/>
      <w:start w:val="1"/>
    </w:lvl>
  </w:abstractNum>
  <w:abstractNum w:abstractNumId="58">
    <w:nsid w:val="59ADEA3D"/>
    <w:multiLevelType w:val="hybridMultilevel"/>
    <w:lvl w:ilvl="0">
      <w:lvlJc w:val="left"/>
      <w:lvlText w:val="&gt;"/>
      <w:numFmt w:val="bullet"/>
      <w:start w:val="1"/>
    </w:lvl>
    <w:lvl w:ilvl="1">
      <w:lvlJc w:val="left"/>
      <w:lvlText w:val="\endash "/>
      <w:numFmt w:val="bullet"/>
      <w:start w:val="1"/>
    </w:lvl>
  </w:abstractNum>
  <w:abstractNum w:abstractNumId="59">
    <w:nsid w:val="288F1A34"/>
    <w:multiLevelType w:val="hybridMultilevel"/>
    <w:lvl w:ilvl="0">
      <w:lvlJc w:val="left"/>
      <w:lvlText w:val="&gt;"/>
      <w:numFmt w:val="bullet"/>
      <w:start w:val="1"/>
    </w:lvl>
    <w:lvl w:ilvl="1">
      <w:lvlJc w:val="left"/>
      <w:lvlText w:val="\endash "/>
      <w:numFmt w:val="bullet"/>
      <w:start w:val="1"/>
    </w:lvl>
  </w:abstractNum>
  <w:abstractNum w:abstractNumId="60">
    <w:nsid w:val="2A155DBC"/>
    <w:multiLevelType w:val="hybridMultilevel"/>
    <w:lvl w:ilvl="0">
      <w:lvlJc w:val="left"/>
      <w:lvlText w:val="(%1)"/>
      <w:numFmt w:val="decimal"/>
      <w:start w:val="1"/>
    </w:lvl>
  </w:abstractNum>
  <w:abstractNum w:abstractNumId="61">
    <w:nsid w:val="1D9F6E5F"/>
    <w:multiLevelType w:val="hybridMultilevel"/>
    <w:lvl w:ilvl="0">
      <w:lvlJc w:val="left"/>
      <w:lvlText w:val="&gt;"/>
      <w:numFmt w:val="bullet"/>
      <w:start w:val="1"/>
    </w:lvl>
  </w:abstractNum>
  <w:abstractNum w:abstractNumId="62">
    <w:nsid w:val="97E1B4E"/>
    <w:multiLevelType w:val="hybridMultilevel"/>
    <w:lvl w:ilvl="0">
      <w:lvlJc w:val="left"/>
      <w:lvlText w:val="&gt;"/>
      <w:numFmt w:val="bullet"/>
      <w:start w:val="1"/>
    </w:lvl>
  </w:abstractNum>
  <w:abstractNum w:abstractNumId="63">
    <w:nsid w:val="51088277"/>
    <w:multiLevelType w:val="hybridMultilevel"/>
    <w:lvl w:ilvl="0">
      <w:lvlJc w:val="left"/>
      <w:lvlText w:val="&gt;"/>
      <w:numFmt w:val="bullet"/>
      <w:start w:val="1"/>
    </w:lvl>
  </w:abstractNum>
  <w:abstractNum w:abstractNumId="64">
    <w:nsid w:val="1CA0C5FA"/>
    <w:multiLevelType w:val="hybridMultilevel"/>
    <w:lvl w:ilvl="0">
      <w:lvlJc w:val="left"/>
      <w:lvlText w:val="&gt;"/>
      <w:numFmt w:val="bullet"/>
      <w:start w:val="1"/>
    </w:lvl>
  </w:abstractNum>
  <w:abstractNum w:abstractNumId="65">
    <w:nsid w:val="53584BCB"/>
    <w:multiLevelType w:val="hybridMultilevel"/>
    <w:lvl w:ilvl="0">
      <w:lvlJc w:val="left"/>
      <w:lvlText w:val="&gt;"/>
      <w:numFmt w:val="bullet"/>
      <w:start w:val="1"/>
    </w:lvl>
  </w:abstractNum>
  <w:abstractNum w:abstractNumId="66">
    <w:nsid w:val="415E286C"/>
    <w:multiLevelType w:val="hybridMultilevel"/>
    <w:lvl w:ilvl="0">
      <w:lvlJc w:val="left"/>
      <w:lvlText w:val="&gt;"/>
      <w:numFmt w:val="bullet"/>
      <w:start w:val="1"/>
    </w:lvl>
  </w:abstractNum>
  <w:abstractNum w:abstractNumId="67">
    <w:nsid w:val="7C58FD05"/>
    <w:multiLevelType w:val="hybridMultilevel"/>
    <w:lvl w:ilvl="0">
      <w:lvlJc w:val="left"/>
      <w:lvlText w:val="(%1)"/>
      <w:numFmt w:val="decimal"/>
      <w:start w:val="1"/>
    </w:lvl>
  </w:abstractNum>
  <w:abstractNum w:abstractNumId="68">
    <w:nsid w:val="23D86AAC"/>
    <w:multiLevelType w:val="hybridMultilevel"/>
    <w:lvl w:ilvl="0">
      <w:lvlJc w:val="left"/>
      <w:lvlText w:val="&gt;"/>
      <w:numFmt w:val="bullet"/>
      <w:start w:val="1"/>
    </w:lvl>
  </w:abstractNum>
  <w:abstractNum w:abstractNumId="69">
    <w:nsid w:val="45E6D486"/>
    <w:multiLevelType w:val="hybridMultilevel"/>
    <w:lvl w:ilvl="0">
      <w:lvlJc w:val="left"/>
      <w:lvlText w:val="&gt;"/>
      <w:numFmt w:val="bullet"/>
      <w:start w:val="1"/>
    </w:lvl>
  </w:abstractNum>
  <w:abstractNum w:abstractNumId="70">
    <w:nsid w:val="5C10FE21"/>
    <w:multiLevelType w:val="hybridMultilevel"/>
    <w:lvl w:ilvl="0">
      <w:lvlJc w:val="left"/>
      <w:lvlText w:val="(%1)"/>
      <w:numFmt w:val="decimal"/>
      <w:start w:val="1"/>
    </w:lvl>
  </w:abstractNum>
  <w:abstractNum w:abstractNumId="71">
    <w:nsid w:val="E7FFA2B"/>
    <w:multiLevelType w:val="hybridMultilevel"/>
    <w:lvl w:ilvl="0">
      <w:lvlJc w:val="left"/>
      <w:lvlText w:val="&gt;"/>
      <w:numFmt w:val="bullet"/>
      <w:start w:val="1"/>
    </w:lvl>
  </w:abstractNum>
  <w:abstractNum w:abstractNumId="72">
    <w:nsid w:val="3C5991AA"/>
    <w:multiLevelType w:val="hybridMultilevel"/>
    <w:lvl w:ilvl="0">
      <w:lvlJc w:val="left"/>
      <w:lvlText w:val="&gt;"/>
      <w:numFmt w:val="bullet"/>
      <w:start w:val="1"/>
    </w:lvl>
  </w:abstractNum>
  <w:abstractNum w:abstractNumId="73">
    <w:nsid w:val="4BD8591A"/>
    <w:multiLevelType w:val="hybridMultilevel"/>
    <w:lvl w:ilvl="0">
      <w:lvlJc w:val="left"/>
      <w:lvlText w:val="(%1)"/>
      <w:numFmt w:val="decimal"/>
      <w:start w:val="1"/>
    </w:lvl>
  </w:abstractNum>
  <w:abstractNum w:abstractNumId="74">
    <w:nsid w:val="78DF6A55"/>
    <w:multiLevelType w:val="hybridMultilevel"/>
    <w:lvl w:ilvl="0">
      <w:lvlJc w:val="left"/>
      <w:lvlText w:val="&gt;"/>
      <w:numFmt w:val="bullet"/>
      <w:start w:val="1"/>
    </w:lvl>
    <w:lvl w:ilvl="1">
      <w:lvlJc w:val="left"/>
      <w:lvlText w:val="\endash "/>
      <w:numFmt w:val="bullet"/>
      <w:start w:val="1"/>
    </w:lvl>
  </w:abstractNum>
  <w:abstractNum w:abstractNumId="75">
    <w:nsid w:val="39B7AAA2"/>
    <w:multiLevelType w:val="hybridMultilevel"/>
    <w:lvl w:ilvl="0">
      <w:lvlJc w:val="left"/>
      <w:lvlText w:val="\endash "/>
      <w:numFmt w:val="bullet"/>
      <w:start w:val="1"/>
    </w:lvl>
  </w:abstractNum>
  <w:abstractNum w:abstractNumId="76">
    <w:nsid w:val="2B0D8DBE"/>
    <w:multiLevelType w:val="hybridMultilevel"/>
    <w:lvl w:ilvl="0">
      <w:lvlJc w:val="left"/>
      <w:lvlText w:val="&gt;"/>
      <w:numFmt w:val="bullet"/>
      <w:start w:val="1"/>
    </w:lvl>
  </w:abstractNum>
  <w:abstractNum w:abstractNumId="77">
    <w:nsid w:val="6C80EC70"/>
    <w:multiLevelType w:val="hybridMultilevel"/>
    <w:lvl w:ilvl="0">
      <w:lvlJc w:val="left"/>
      <w:lvlText w:val="&gt;"/>
      <w:numFmt w:val="bullet"/>
      <w:start w:val="1"/>
    </w:lvl>
  </w:abstractNum>
  <w:abstractNum w:abstractNumId="78">
    <w:nsid w:val="379E21B5"/>
    <w:multiLevelType w:val="hybridMultilevel"/>
    <w:lvl w:ilvl="0">
      <w:lvlJc w:val="left"/>
      <w:lvlText w:val="(%1)"/>
      <w:numFmt w:val="decimal"/>
      <w:start w:val="1"/>
    </w:lvl>
  </w:abstractNum>
  <w:abstractNum w:abstractNumId="79">
    <w:nsid w:val="69E373"/>
    <w:multiLevelType w:val="hybridMultilevel"/>
    <w:lvl w:ilvl="0">
      <w:lvlJc w:val="left"/>
      <w:lvlText w:val="(%1)"/>
      <w:numFmt w:val="decimal"/>
      <w:start w:val="3"/>
    </w:lvl>
  </w:abstractNum>
  <w:abstractNum w:abstractNumId="80">
    <w:nsid w:val="2C27173B"/>
    <w:multiLevelType w:val="hybridMultilevel"/>
    <w:lvl w:ilvl="0">
      <w:lvlJc w:val="left"/>
      <w:lvlText w:val="(%1)"/>
      <w:numFmt w:val="decimal"/>
      <w:start w:val="1"/>
    </w:lvl>
  </w:abstractNum>
  <w:abstractNum w:abstractNumId="81">
    <w:nsid w:val="4C9B0904"/>
    <w:multiLevelType w:val="hybridMultilevel"/>
    <w:lvl w:ilvl="0">
      <w:lvlJc w:val="left"/>
      <w:lvlText w:val="(%1)"/>
      <w:numFmt w:val="decimal"/>
      <w:start w:val="6"/>
    </w:lvl>
  </w:abstractNum>
  <w:abstractNum w:abstractNumId="82">
    <w:nsid w:val="6AA7B75C"/>
    <w:multiLevelType w:val="hybridMultilevel"/>
    <w:lvl w:ilvl="0">
      <w:lvlJc w:val="left"/>
      <w:lvlText w:val="(%1)"/>
      <w:numFmt w:val="decimal"/>
      <w:start w:val="1"/>
    </w:lvl>
  </w:abstractNum>
  <w:abstractNum w:abstractNumId="83">
    <w:nsid w:val="1DF029D3"/>
    <w:multiLevelType w:val="hybridMultilevel"/>
    <w:lvl w:ilvl="0">
      <w:lvlJc w:val="left"/>
      <w:lvlText w:val="(%1)"/>
      <w:numFmt w:val="decimal"/>
      <w:start w:val="2"/>
    </w:lvl>
    <w:lvl w:ilvl="1">
      <w:lvlJc w:val="left"/>
      <w:lvlText w:val="(%2)"/>
      <w:numFmt w:val="lowerLetter"/>
      <w:start w:val="1"/>
    </w:lvl>
  </w:abstractNum>
  <w:abstractNum w:abstractNumId="84">
    <w:nsid w:val="5675FF36"/>
    <w:multiLevelType w:val="hybridMultilevel"/>
    <w:lvl w:ilvl="0">
      <w:lvlJc w:val="left"/>
      <w:lvlText w:val="%1"/>
      <w:numFmt w:val="decimal"/>
      <w:start w:val="1"/>
    </w:lvl>
    <w:lvl w:ilvl="1">
      <w:lvlJc w:val="left"/>
      <w:lvlText w:val="(%2)"/>
      <w:numFmt w:val="lowerLetter"/>
      <w:start w:val="3"/>
    </w:lvl>
  </w:abstractNum>
  <w:abstractNum w:abstractNumId="85">
    <w:nsid w:val="3DD15094"/>
    <w:multiLevelType w:val="hybridMultilevel"/>
    <w:lvl w:ilvl="0">
      <w:lvlJc w:val="left"/>
      <w:lvlText w:val="(%1)"/>
      <w:numFmt w:val="decimal"/>
      <w:start w:val="4"/>
    </w:lvl>
    <w:lvl w:ilvl="1">
      <w:lvlJc w:val="left"/>
      <w:lvlText w:val="%2"/>
      <w:numFmt w:val="lowerLetter"/>
      <w:start w:val="1"/>
    </w:lvl>
  </w:abstractNum>
  <w:abstractNum w:abstractNumId="86">
    <w:nsid w:val="3DB012B3"/>
    <w:multiLevelType w:val="hybridMultilevel"/>
    <w:lvl w:ilvl="0">
      <w:lvlJc w:val="left"/>
      <w:lvlText w:val="(%1)"/>
      <w:numFmt w:val="decimal"/>
      <w:start w:val="1"/>
    </w:lvl>
  </w:abstractNum>
  <w:abstractNum w:abstractNumId="87">
    <w:nsid w:val="2708C9AF"/>
    <w:multiLevelType w:val="hybridMultilevel"/>
    <w:lvl w:ilvl="0">
      <w:lvlJc w:val="left"/>
      <w:lvlText w:val="&gt;"/>
      <w:numFmt w:val="bullet"/>
      <w:start w:val="1"/>
    </w:lvl>
  </w:abstractNum>
  <w:abstractNum w:abstractNumId="88">
    <w:nsid w:val="5B25ACE2"/>
    <w:multiLevelType w:val="hybridMultilevel"/>
    <w:lvl w:ilvl="0">
      <w:lvlJc w:val="left"/>
      <w:lvlText w:val="&gt;"/>
      <w:numFmt w:val="bullet"/>
      <w:start w:val="1"/>
    </w:lvl>
  </w:abstractNum>
  <w:abstractNum w:abstractNumId="89">
    <w:nsid w:val="175DFCF0"/>
    <w:multiLevelType w:val="hybridMultilevel"/>
    <w:lvl w:ilvl="0">
      <w:lvlJc w:val="left"/>
      <w:lvlText w:val="&gt;"/>
      <w:numFmt w:val="bullet"/>
      <w:start w:val="1"/>
    </w:lvl>
  </w:abstractNum>
  <w:abstractNum w:abstractNumId="90">
    <w:nsid w:val="4F97E3E4"/>
    <w:multiLevelType w:val="hybridMultilevel"/>
    <w:lvl w:ilvl="0">
      <w:lvlJc w:val="left"/>
      <w:lvlText w:val="(%1)"/>
      <w:numFmt w:val="decimal"/>
      <w:start w:val="1"/>
    </w:lvl>
  </w:abstractNum>
  <w:abstractNum w:abstractNumId="91">
    <w:nsid w:val="53B0A9E"/>
    <w:multiLevelType w:val="hybridMultilevel"/>
    <w:lvl w:ilvl="0">
      <w:lvlJc w:val="left"/>
      <w:lvlText w:val="&gt;"/>
      <w:numFmt w:val="bullet"/>
      <w:start w:val="1"/>
    </w:lvl>
  </w:abstractNum>
  <w:abstractNum w:abstractNumId="92">
    <w:nsid w:val="34FD6B4F"/>
    <w:multiLevelType w:val="hybridMultilevel"/>
    <w:lvl w:ilvl="0">
      <w:lvlJc w:val="left"/>
      <w:lvlText w:val="&gt;"/>
      <w:numFmt w:val="bullet"/>
      <w:start w:val="1"/>
    </w:lvl>
  </w:abstractNum>
  <w:abstractNum w:abstractNumId="93">
    <w:nsid w:val="5915FF32"/>
    <w:multiLevelType w:val="hybridMultilevel"/>
    <w:lvl w:ilvl="0">
      <w:lvlJc w:val="left"/>
      <w:lvlText w:val="(%1)"/>
      <w:numFmt w:val="decimal"/>
      <w:start w:val="1"/>
    </w:lvl>
  </w:abstractNum>
  <w:abstractNum w:abstractNumId="94">
    <w:nsid w:val="56438D15"/>
    <w:multiLevelType w:val="hybridMultilevel"/>
    <w:lvl w:ilvl="0">
      <w:lvlJc w:val="left"/>
      <w:lvlText w:val="(%1)"/>
      <w:numFmt w:val="decimal"/>
      <w:start w:val="1"/>
    </w:lvl>
  </w:abstractNum>
  <w:abstractNum w:abstractNumId="95">
    <w:nsid w:val="519E3149"/>
    <w:multiLevelType w:val="hybridMultilevel"/>
    <w:lvl w:ilvl="0">
      <w:lvlJc w:val="left"/>
      <w:lvlText w:val="(%1)"/>
      <w:numFmt w:val="decimal"/>
      <w:start w:val="1"/>
    </w:lvl>
  </w:abstractNum>
  <w:abstractNum w:abstractNumId="96">
    <w:nsid w:val="2C6E4AFD"/>
    <w:multiLevelType w:val="hybridMultilevel"/>
    <w:lvl w:ilvl="0">
      <w:lvlJc w:val="left"/>
      <w:lvlText w:val="(%1)"/>
      <w:numFmt w:val="decimal"/>
      <w:start w:val="4"/>
    </w:lvl>
  </w:abstractNum>
  <w:abstractNum w:abstractNumId="97">
    <w:nsid w:val="17A1B582"/>
    <w:multiLevelType w:val="hybridMultilevel"/>
    <w:lvl w:ilvl="0">
      <w:lvlJc w:val="left"/>
      <w:lvlText w:val="&gt;"/>
      <w:numFmt w:val="bullet"/>
      <w:start w:val="1"/>
    </w:lvl>
  </w:abstractNum>
  <w:abstractNum w:abstractNumId="98">
    <w:nsid w:val="4DF72E4E"/>
    <w:multiLevelType w:val="hybridMultilevel"/>
    <w:lvl w:ilvl="0">
      <w:lvlJc w:val="left"/>
      <w:lvlText w:val="&gt;"/>
      <w:numFmt w:val="bullet"/>
      <w:start w:val="1"/>
    </w:lvl>
  </w:abstractNum>
  <w:abstractNum w:abstractNumId="99">
    <w:nsid w:val="5046B5A9"/>
    <w:multiLevelType w:val="hybridMultilevel"/>
    <w:lvl w:ilvl="0">
      <w:lvlJc w:val="left"/>
      <w:lvlText w:val="*"/>
      <w:numFmt w:val="bullet"/>
      <w:start w:val="1"/>
    </w:lvl>
  </w:abstractNum>
  <w:abstractNum w:abstractNumId="100">
    <w:nsid w:val="5D888A08"/>
    <w:multiLevelType w:val="hybridMultilevel"/>
    <w:lvl w:ilvl="0">
      <w:lvlJc w:val="left"/>
      <w:lvlText w:val="(%1)"/>
      <w:numFmt w:val="decimal"/>
      <w:start w:val="1"/>
    </w:lvl>
  </w:abstractNum>
  <w:abstractNum w:abstractNumId="101">
    <w:nsid w:val="2A082C70"/>
    <w:multiLevelType w:val="hybridMultilevel"/>
    <w:lvl w:ilvl="0">
      <w:lvlJc w:val="left"/>
      <w:lvlText w:val="&gt;"/>
      <w:numFmt w:val="bullet"/>
      <w:start w:val="1"/>
    </w:lvl>
  </w:abstractNum>
  <w:abstractNum w:abstractNumId="102">
    <w:nsid w:val="5EC6AFD4"/>
    <w:multiLevelType w:val="hybridMultilevel"/>
    <w:lvl w:ilvl="0">
      <w:lvlJc w:val="left"/>
      <w:lvlText w:val="(%1)"/>
      <w:numFmt w:val="decimal"/>
      <w:start w:val="1"/>
    </w:lvl>
  </w:abstractNum>
  <w:abstractNum w:abstractNumId="103">
    <w:nsid w:val="19E21BB2"/>
    <w:multiLevelType w:val="hybridMultilevel"/>
    <w:lvl w:ilvl="0">
      <w:lvlJc w:val="left"/>
      <w:lvlText w:val="&gt;"/>
      <w:numFmt w:val="bullet"/>
      <w:start w:val="1"/>
    </w:lvl>
  </w:abstractNum>
  <w:abstractNum w:abstractNumId="104">
    <w:nsid w:val="75E0858A"/>
    <w:multiLevelType w:val="hybridMultilevel"/>
    <w:lvl w:ilvl="0">
      <w:lvlJc w:val="left"/>
      <w:lvlText w:val="*"/>
      <w:numFmt w:val="bullet"/>
      <w:start w:val="1"/>
    </w:lvl>
  </w:abstractNum>
  <w:abstractNum w:abstractNumId="105">
    <w:nsid w:val="57A61A29"/>
    <w:multiLevelType w:val="hybridMultilevel"/>
    <w:lvl w:ilvl="0">
      <w:lvlJc w:val="left"/>
      <w:lvlText w:val="%1."/>
      <w:numFmt w:val="decimal"/>
      <w:start w:val="1"/>
    </w:lvl>
  </w:abstractNum>
  <w:abstractNum w:abstractNumId="106">
    <w:nsid w:val="5399C654"/>
    <w:multiLevelType w:val="hybridMultilevel"/>
    <w:lvl w:ilvl="0">
      <w:lvlJc w:val="left"/>
      <w:lvlText w:val="%1."/>
      <w:numFmt w:val="decimal"/>
      <w:start w:val="2"/>
    </w:lvl>
  </w:abstractNum>
  <w:abstractNum w:abstractNumId="107">
    <w:nsid w:val="20EE1348"/>
    <w:multiLevelType w:val="hybridMultilevel"/>
    <w:lvl w:ilvl="0">
      <w:lvlJc w:val="left"/>
      <w:lvlText w:val="(%1)"/>
      <w:numFmt w:val="lowerLetter"/>
      <w:start w:val="1"/>
    </w:lvl>
  </w:abstractNum>
  <w:abstractNum w:abstractNumId="108">
    <w:nsid w:val="4427069A"/>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109">
    <w:nsid w:val="B37E80A"/>
    <w:multiLevelType w:val="hybridMultilevel"/>
    <w:lvl w:ilvl="0">
      <w:lvlJc w:val="left"/>
      <w:lvlText w:val="(%1)"/>
      <w:numFmt w:val="lowerLetter"/>
      <w:start w:val="9"/>
    </w:lvl>
    <w:lvl w:ilvl="1">
      <w:lvlJc w:val="left"/>
      <w:lvlText w:val="(%2)"/>
      <w:numFmt w:val="lowerLetter"/>
      <w:start w:val="7"/>
    </w:lvl>
    <w:lvl w:ilvl="2">
      <w:lvlJc w:val="left"/>
      <w:lvlText w:val="(%3)"/>
      <w:numFmt w:val="lowerRoman"/>
      <w:start w:val="1"/>
    </w:lvl>
  </w:abstractNum>
  <w:abstractNum w:abstractNumId="110">
    <w:nsid w:val="2157F6BC"/>
    <w:multiLevelType w:val="hybridMultilevel"/>
    <w:lvl w:ilvl="0">
      <w:lvlJc w:val="left"/>
      <w:lvlText w:val="(%1)"/>
      <w:numFmt w:val="lowerRoman"/>
      <w:start w:val="4"/>
    </w:lvl>
  </w:abstractNum>
  <w:abstractNum w:abstractNumId="111">
    <w:nsid w:val="704E1DD5"/>
    <w:multiLevelType w:val="hybridMultilevel"/>
    <w:lvl w:ilvl="0">
      <w:lvlJc w:val="left"/>
      <w:lvlText w:val="%1"/>
      <w:numFmt w:val="lowerLetter"/>
      <w:start w:val="1"/>
    </w:lvl>
    <w:lvl w:ilvl="1">
      <w:lvlJc w:val="left"/>
      <w:lvlText w:val="(%2)"/>
      <w:numFmt w:val="lowerLetter"/>
      <w:start w:val="22"/>
    </w:lvl>
  </w:abstractNum>
  <w:abstractNum w:abstractNumId="112">
    <w:nsid w:val="57D2F10E"/>
    <w:multiLevelType w:val="hybridMultilevel"/>
    <w:lvl w:ilvl="0">
      <w:lvlJc w:val="left"/>
      <w:lvlText w:val="(%1)"/>
      <w:numFmt w:val="lowerLetter"/>
      <w:start w:val="8"/>
    </w:lvl>
    <w:lvl w:ilvl="1">
      <w:lvlJc w:val="left"/>
      <w:lvlText w:val="%2"/>
      <w:numFmt w:val="lowerLetter"/>
      <w:start w:val="1"/>
    </w:lvl>
  </w:abstractNum>
  <w:abstractNum w:abstractNumId="113">
    <w:nsid w:val="BFFAE18"/>
    <w:multiLevelType w:val="hybridMultilevel"/>
    <w:lvl w:ilvl="0">
      <w:lvlJc w:val="left"/>
      <w:lvlText w:val="(%1)"/>
      <w:numFmt w:val="lowerLetter"/>
      <w:start w:val="15"/>
    </w:lvl>
  </w:abstractNum>
  <w:abstractNum w:abstractNumId="114">
    <w:nsid w:val="E3E47A8"/>
    <w:multiLevelType w:val="hybridMultilevel"/>
    <w:lvl w:ilvl="0">
      <w:lvlJc w:val="left"/>
      <w:lvlText w:val="(%1)"/>
      <w:numFmt w:val="lowerLetter"/>
      <w:start w:val="27"/>
    </w:lvl>
  </w:abstractNum>
  <w:abstractNum w:abstractNumId="115">
    <w:nsid w:val="2E48F044"/>
    <w:multiLevelType w:val="hybridMultilevel"/>
    <w:lvl w:ilvl="0">
      <w:lvlJc w:val="left"/>
      <w:lvlText w:val="%1"/>
      <w:numFmt w:val="lowerLetter"/>
      <w:start w:val="1"/>
    </w:lvl>
    <w:lvl w:ilvl="1">
      <w:lvlJc w:val="left"/>
      <w:lvlText w:val="(%2)"/>
      <w:numFmt w:val="lowerLetter"/>
      <w:start w:val="28"/>
    </w:lvl>
  </w:abstractNum>
  <w:abstractNum w:abstractNumId="116">
    <w:nsid w:val="49D0FEAC"/>
    <w:multiLevelType w:val="hybridMultilevel"/>
    <w:lvl w:ilvl="0">
      <w:lvlJc w:val="left"/>
      <w:lvlText w:val="(%1)"/>
      <w:numFmt w:val="lowerLetter"/>
      <w:start w:val="24"/>
    </w:lvl>
    <w:lvl w:ilvl="1">
      <w:lvlJc w:val="left"/>
      <w:lvlText w:val="(%2)"/>
      <w:numFmt w:val="lowerLetter"/>
      <w:start w:val="29"/>
    </w:lvl>
  </w:abstractNum>
  <w:abstractNum w:abstractNumId="117">
    <w:nsid w:val="4BEE5A5B"/>
    <w:multiLevelType w:val="hybridMultilevel"/>
    <w:lvl w:ilvl="0">
      <w:lvlJc w:val="left"/>
      <w:lvlText w:val="%1"/>
      <w:numFmt w:val="decimal"/>
      <w:start w:val="1"/>
    </w:lvl>
    <w:lvl w:ilvl="1">
      <w:lvlJc w:val="left"/>
      <w:lvlText w:val="(%2)"/>
      <w:numFmt w:val="lowerLetter"/>
      <w:start w:val="33"/>
    </w:lvl>
  </w:abstractNum>
  <w:abstractNum w:abstractNumId="118">
    <w:nsid w:val="5551B9F3"/>
    <w:multiLevelType w:val="hybridMultilevel"/>
    <w:lvl w:ilvl="0">
      <w:lvlJc w:val="left"/>
      <w:lvlText w:val="%1."/>
      <w:numFmt w:val="decimal"/>
      <w:start w:val="3"/>
    </w:lvl>
    <w:lvl w:ilvl="1">
      <w:lvlJc w:val="left"/>
      <w:lvlText w:val="%2"/>
      <w:numFmt w:val="lowerLetter"/>
      <w:start w:val="1"/>
    </w:lvl>
  </w:abstractNum>
  <w:abstractNum w:abstractNumId="119">
    <w:nsid w:val="24F6AB8E"/>
    <w:multiLevelType w:val="hybridMultilevel"/>
    <w:lvl w:ilvl="0">
      <w:lvlJc w:val="left"/>
      <w:lvlText w:val="%1."/>
      <w:numFmt w:val="decimal"/>
      <w:start w:val="4"/>
    </w:lvl>
    <w:lvl w:ilvl="1">
      <w:lvlJc w:val="left"/>
      <w:lvlText w:val="(%2)"/>
      <w:numFmt w:val="lowerLetter"/>
      <w:start w:val="1"/>
    </w:lvl>
  </w:abstractNum>
  <w:abstractNum w:abstractNumId="120">
    <w:nsid w:val="634C574C"/>
    <w:multiLevelType w:val="hybridMultilevel"/>
    <w:lvl w:ilvl="0">
      <w:lvlJc w:val="left"/>
      <w:lvlText w:val="(%1)"/>
      <w:numFmt w:val="lowerLetter"/>
      <w:start w:val="1"/>
    </w:lvl>
  </w:abstractNum>
  <w:abstractNum w:abstractNumId="121">
    <w:nsid w:val="24E99DD7"/>
    <w:multiLevelType w:val="hybridMultilevel"/>
    <w:lvl w:ilvl="0">
      <w:lvlJc w:val="left"/>
      <w:lvlText w:val="(%1)"/>
      <w:numFmt w:val="lowerLetter"/>
      <w:start w:val="2"/>
    </w:lvl>
  </w:abstractNum>
  <w:abstractNum w:abstractNumId="122">
    <w:nsid w:val="2A31B62D"/>
    <w:multiLevelType w:val="hybridMultilevel"/>
    <w:lvl w:ilvl="0">
      <w:lvlJc w:val="left"/>
      <w:lvlText w:val="%1"/>
      <w:numFmt w:val="decimal"/>
      <w:start w:val="1"/>
    </w:lvl>
    <w:lvl w:ilvl="1">
      <w:lvlJc w:val="left"/>
      <w:lvlText w:val="(%2)"/>
      <w:numFmt w:val="lowerLetter"/>
      <w:start w:val="8"/>
    </w:lvl>
  </w:abstractNum>
  <w:abstractNum w:abstractNumId="123">
    <w:nsid w:val="1849C29B"/>
    <w:multiLevelType w:val="hybridMultilevel"/>
    <w:lvl w:ilvl="0">
      <w:lvlJc w:val="left"/>
      <w:lvlText w:val="%1."/>
      <w:numFmt w:val="decimal"/>
      <w:start w:val="6"/>
    </w:lvl>
    <w:lvl w:ilvl="1">
      <w:lvlJc w:val="left"/>
      <w:lvlText w:val="%2"/>
      <w:numFmt w:val="lowerLetter"/>
      <w:start w:val="1"/>
    </w:lvl>
  </w:abstractNum>
  <w:abstractNum w:abstractNumId="124">
    <w:nsid w:val="7DFF9D09"/>
    <w:multiLevelType w:val="hybridMultilevel"/>
    <w:lvl w:ilvl="0">
      <w:lvlJc w:val="left"/>
      <w:lvlText w:val="%1."/>
      <w:numFmt w:val="decimal"/>
      <w:start w:val="7"/>
    </w:lvl>
  </w:abstractNum>
  <w:abstractNum w:abstractNumId="125">
    <w:nsid w:val="754342"/>
    <w:multiLevelType w:val="hybridMultilevel"/>
    <w:lvl w:ilvl="0">
      <w:lvlJc w:val="left"/>
      <w:lvlText w:val="(%1)"/>
      <w:numFmt w:val="lowerLetter"/>
      <w:start w:val="1"/>
    </w:lvl>
  </w:abstractNum>
  <w:abstractNum w:abstractNumId="126">
    <w:nsid w:val="69E7F3E5"/>
    <w:multiLevelType w:val="hybridMultilevel"/>
    <w:lvl w:ilvl="0">
      <w:lvlJc w:val="left"/>
      <w:lvlText w:val="(%1)"/>
      <w:numFmt w:val="lowerLetter"/>
      <w:start w:val="4"/>
    </w:lvl>
    <w:lvl w:ilvl="1">
      <w:lvlJc w:val="left"/>
      <w:lvlText w:val="(%2)"/>
      <w:numFmt w:val="lowerRoman"/>
      <w:start w:val="1"/>
    </w:lvl>
  </w:abstractNum>
  <w:abstractNum w:abstractNumId="127">
    <w:nsid w:val="2A6DE80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128">
    <w:nsid w:val="1816F8C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29">
    <w:nsid w:val="37DF223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30">
    <w:nsid w:val="7AB49DAF"/>
    <w:multiLevelType w:val="hybridMultilevel"/>
    <w:lvl w:ilvl="0">
      <w:lvlJc w:val="left"/>
      <w:lvlText w:val="(%1)"/>
      <w:numFmt w:val="lowerLetter"/>
      <w:start w:val="1"/>
    </w:lvl>
  </w:abstractNum>
  <w:abstractNum w:abstractNumId="131">
    <w:nsid w:val="759F82CD"/>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32">
    <w:nsid w:val="61E74EA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33">
    <w:nsid w:val="597B4D84"/>
    <w:multiLevelType w:val="hybridMultilevel"/>
    <w:lvl w:ilvl="0">
      <w:lvlJc w:val="left"/>
      <w:lvlText w:val="%1"/>
      <w:numFmt w:val="lowerLetter"/>
      <w:start w:val="1"/>
    </w:lvl>
    <w:lvl w:ilvl="1">
      <w:lvlJc w:val="left"/>
      <w:lvlText w:val="(%2)"/>
      <w:numFmt w:val="lowerRoman"/>
      <w:start w:val="2"/>
    </w:lvl>
  </w:abstractNum>
  <w:abstractNum w:abstractNumId="134">
    <w:nsid w:val="F819E7F"/>
    <w:multiLevelType w:val="hybridMultilevel"/>
    <w:lvl w:ilvl="0">
      <w:lvlJc w:val="left"/>
      <w:lvlText w:val="(%1)"/>
      <w:numFmt w:val="lowerLetter"/>
      <w:start w:val="3"/>
    </w:lvl>
    <w:lvl w:ilvl="1">
      <w:lvlJc w:val="left"/>
      <w:lvlText w:val="%2"/>
      <w:numFmt w:val="lowerRoman"/>
      <w:start w:val="1"/>
    </w:lvl>
  </w:abstractNum>
  <w:abstractNum w:abstractNumId="135">
    <w:nsid w:val="57C7D42D"/>
    <w:multiLevelType w:val="hybridMultilevel"/>
    <w:lvl w:ilvl="0">
      <w:lvlJc w:val="left"/>
      <w:lvlText w:val="(%1)"/>
      <w:numFmt w:val="lowerLetter"/>
      <w:start w:val="5"/>
    </w:lvl>
  </w:abstractNum>
  <w:abstractNum w:abstractNumId="136">
    <w:nsid w:val="312167AD"/>
    <w:multiLevelType w:val="hybridMultilevel"/>
    <w:lvl w:ilvl="0">
      <w:lvlJc w:val="left"/>
      <w:lvlText w:val="%1."/>
      <w:numFmt w:val="decimal"/>
      <w:start w:val="10"/>
    </w:lvl>
  </w:abstractNum>
  <w:abstractNum w:abstractNumId="137">
    <w:nsid w:val="631B64D4"/>
    <w:multiLevelType w:val="hybridMultilevel"/>
    <w:lvl w:ilvl="0">
      <w:lvlJc w:val="left"/>
      <w:lvlText w:val="%1."/>
      <w:numFmt w:val="decimal"/>
      <w:start w:val="11"/>
    </w:lvl>
  </w:abstractNum>
  <w:abstractNum w:abstractNumId="138">
    <w:nsid w:val="78B5E776"/>
    <w:multiLevelType w:val="hybridMultilevel"/>
    <w:lvl w:ilvl="0">
      <w:lvlJc w:val="left"/>
      <w:lvlText w:val="%1."/>
      <w:numFmt w:val="decimal"/>
      <w:start w:val="12"/>
    </w:lvl>
    <w:lvl w:ilvl="1">
      <w:lvlJc w:val="left"/>
      <w:lvlText w:val="(%2)"/>
      <w:numFmt w:val="lowerLetter"/>
      <w:start w:val="1"/>
    </w:lvl>
  </w:abstractNum>
  <w:abstractNum w:abstractNumId="139">
    <w:nsid w:val="75486E47"/>
    <w:multiLevelType w:val="hybridMultilevel"/>
    <w:lvl w:ilvl="0">
      <w:lvlJc w:val="left"/>
      <w:lvlText w:val="(%1)"/>
      <w:numFmt w:val="lowerLetter"/>
      <w:start w:val="5"/>
    </w:lvl>
    <w:lvl w:ilvl="1">
      <w:lvlJc w:val="left"/>
      <w:lvlText w:val="(%2)"/>
      <w:numFmt w:val="lowerRoman"/>
      <w:start w:val="1"/>
    </w:lvl>
  </w:abstractNum>
  <w:abstractNum w:abstractNumId="140">
    <w:nsid w:val="6E534CDE"/>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141">
    <w:nsid w:val="1A0DDE32"/>
    <w:multiLevelType w:val="hybridMultilevel"/>
    <w:lvl w:ilvl="0">
      <w:lvlJc w:val="left"/>
      <w:lvlText w:val="%1"/>
      <w:numFmt w:val="lowerLetter"/>
      <w:start w:val="1"/>
    </w:lvl>
    <w:lvl w:ilvl="1">
      <w:lvlJc w:val="left"/>
      <w:lvlText w:val="(%2)"/>
      <w:numFmt w:val="lowerLetter"/>
      <w:start w:val="61"/>
    </w:lvl>
  </w:abstractNum>
  <w:abstractNum w:abstractNumId="142">
    <w:nsid w:val="65968C1C"/>
    <w:multiLevelType w:val="hybridMultilevel"/>
    <w:lvl w:ilvl="0">
      <w:lvlJc w:val="left"/>
      <w:lvlText w:val="(%1)"/>
      <w:numFmt w:val="lowerLetter"/>
      <w:start w:val="13"/>
    </w:lvl>
    <w:lvl w:ilvl="1">
      <w:lvlJc w:val="left"/>
      <w:lvlText w:val="%2"/>
      <w:numFmt w:val="lowerLetter"/>
      <w:start w:val="1"/>
    </w:lvl>
  </w:abstractNum>
  <w:abstractNum w:abstractNumId="143">
    <w:nsid w:val="46263DEC"/>
    <w:multiLevelType w:val="hybridMultilevel"/>
    <w:lvl w:ilvl="0">
      <w:lvlJc w:val="left"/>
      <w:lvlText w:val="%1"/>
      <w:numFmt w:val="decimal"/>
      <w:start w:val="1"/>
    </w:lvl>
    <w:lvl w:ilvl="1">
      <w:lvlJc w:val="left"/>
      <w:lvlText w:val="(%2)"/>
      <w:numFmt w:val="lowerLetter"/>
      <w:start w:val="20"/>
    </w:lvl>
  </w:abstractNum>
  <w:abstractNum w:abstractNumId="144">
    <w:nsid w:val="260D8C4A"/>
    <w:multiLevelType w:val="hybridMultilevel"/>
    <w:lvl w:ilvl="0">
      <w:lvlJc w:val="left"/>
      <w:lvlText w:val="%1."/>
      <w:numFmt w:val="decimal"/>
      <w:start w:val="13"/>
    </w:lvl>
    <w:lvl w:ilvl="1">
      <w:lvlJc w:val="left"/>
      <w:lvlText w:val="%2"/>
      <w:numFmt w:val="lowerLetter"/>
      <w:start w:val="1"/>
    </w:lvl>
  </w:abstractNum>
  <w:abstractNum w:abstractNumId="145">
    <w:nsid w:val="73D4D3C4"/>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9"/>
    </w:lvl>
  </w:abstractNum>
  <w:abstractNum w:abstractNumId="146">
    <w:nsid w:val="746F2E3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47">
    <w:nsid w:val="6FDE8AF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48">
    <w:nsid w:val="3FC32E20"/>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149">
    <w:nsid w:val="49C0E823"/>
    <w:multiLevelType w:val="hybridMultilevel"/>
    <w:lvl w:ilvl="0">
      <w:lvlJc w:val="left"/>
      <w:lvlText w:val="%1."/>
      <w:numFmt w:val="decimal"/>
      <w:start w:val="16"/>
    </w:lvl>
    <w:lvl w:ilvl="1">
      <w:lvlJc w:val="left"/>
      <w:lvlText w:val="(%2)"/>
      <w:numFmt w:val="lowerLetter"/>
      <w:start w:val="1"/>
    </w:lvl>
  </w:abstractNum>
  <w:abstractNum w:abstractNumId="150">
    <w:nsid w:val="14D53685"/>
    <w:multiLevelType w:val="hybridMultilevel"/>
    <w:lvl w:ilvl="0">
      <w:lvlJc w:val="left"/>
      <w:lvlText w:val="%1"/>
      <w:numFmt w:val="upperLetter"/>
      <w:start w:val="1"/>
    </w:lvl>
    <w:lvl w:ilvl="1">
      <w:lvlJc w:val="left"/>
      <w:lvlText w:val="(%2)"/>
      <w:numFmt w:val="lowerLetter"/>
      <w:start w:val="2"/>
    </w:lvl>
  </w:abstractNum>
  <w:abstractNum w:abstractNumId="151">
    <w:nsid w:val="230F856C"/>
    <w:multiLevelType w:val="hybridMultilevel"/>
    <w:lvl w:ilvl="0">
      <w:lvlJc w:val="left"/>
      <w:lvlText w:val="(%1)"/>
      <w:numFmt w:val="upperLetter"/>
      <w:start w:val="1"/>
    </w:lvl>
    <w:lvl w:ilvl="1">
      <w:lvlJc w:val="left"/>
      <w:lvlText w:val="%2"/>
      <w:numFmt w:val="lowerLetter"/>
      <w:start w:val="1"/>
    </w:lvl>
  </w:abstractNum>
  <w:abstractNum w:abstractNumId="152">
    <w:nsid w:val="6EAA85FB"/>
    <w:multiLevelType w:val="hybridMultilevel"/>
    <w:lvl w:ilvl="0">
      <w:lvlJc w:val="left"/>
      <w:lvlText w:val="%1."/>
      <w:numFmt w:val="decimal"/>
      <w:start w:val="17"/>
    </w:lvl>
    <w:lvl w:ilvl="1">
      <w:lvlJc w:val="left"/>
      <w:lvlText w:val="(%2)"/>
      <w:numFmt w:val="lowerLetter"/>
      <w:start w:val="1"/>
    </w:lvl>
  </w:abstractNum>
  <w:abstractNum w:abstractNumId="153">
    <w:nsid w:val="3F06ECB2"/>
    <w:multiLevelType w:val="hybridMultilevel"/>
    <w:lvl w:ilvl="0">
      <w:lvlJc w:val="left"/>
      <w:lvlText w:val="%1"/>
      <w:numFmt w:val="decimal"/>
      <w:start w:val="1"/>
    </w:lvl>
    <w:lvl w:ilvl="1">
      <w:lvlJc w:val="left"/>
      <w:lvlText w:val="(%2)"/>
      <w:numFmt w:val="lowerLetter"/>
      <w:start w:val="3"/>
    </w:lvl>
  </w:abstractNum>
  <w:abstractNum w:abstractNumId="154">
    <w:nsid w:val="3B594807"/>
    <w:multiLevelType w:val="hybridMultilevel"/>
    <w:lvl w:ilvl="0">
      <w:lvlJc w:val="left"/>
      <w:lvlText w:val="%1."/>
      <w:numFmt w:val="decimal"/>
      <w:start w:val="18"/>
    </w:lvl>
    <w:lvl w:ilvl="1">
      <w:lvlJc w:val="left"/>
      <w:lvlText w:val="%2"/>
      <w:numFmt w:val="lowerLetter"/>
      <w:start w:val="1"/>
    </w:lvl>
  </w:abstractNum>
  <w:abstractNum w:abstractNumId="155">
    <w:nsid w:val="6CAA2304"/>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2019-12-06T23:59:59Z</dcterms:created>
  <dcterms:modified xsi:type="dcterms:W3CDTF">2019-12-06T23:59:59Z</dcterms:modified>
</cp:coreProperties>
</file>