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706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066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3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27,396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06/17/2025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27,396</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27,396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-2192655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4"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20, 2026. Vesting will be accelerated upon certain termination of employment events and upon a "Change in Control" (as defined in the ExlService Holdings, Inc. 2025 Omnibus Incentive Plan).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600"/>
        <w:spacing w:after="0" w:line="297" w:lineRule="auto"/>
        <w:rPr>
          <w:sz w:val="20"/>
          <w:szCs w:val="20"/>
          <w:color w:val="auto"/>
        </w:rPr>
      </w:pPr>
      <w:r>
        <w:rPr>
          <w:rFonts w:ascii="Times New Roman" w:cs="Times New Roman" w:eastAsia="Times New Roman" w:hAnsi="Times New Roman"/>
          <w:sz w:val="12"/>
          <w:szCs w:val="12"/>
          <w:color w:val="008000"/>
        </w:rPr>
        <w:t>Note: On June 17, 2025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Ayyappan is the Company's General Counsel.</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06/17/2025</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2025-06-17T17:32:29Z</dcterms:created>
  <dcterms:modified xsi:type="dcterms:W3CDTF">2025-06-17T17:32:29Z</dcterms:modified>
</cp:coreProperties>
</file>