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Date of Report (Date of earliest event reported): November 2, 2021</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 2021, ExlService Holdings, Inc. (the “Company”) reported its results of operations for the three months ended September 30, 2021.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82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2, 2021 (furnished pursuant to Item 2.02).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0"/>
        </w:trPr>
        <w:tc>
          <w:tcPr>
            <w:tcW w:w="900" w:type="dxa"/>
            <w:vAlign w:val="bottom"/>
            <w:gridSpan w:val="2"/>
            <w:vMerge w:val="continue"/>
          </w:tcPr>
          <w:p>
            <w:pPr>
              <w:spacing w:after="0"/>
              <w:rPr>
                <w:sz w:val="20"/>
                <w:szCs w:val="20"/>
                <w:color w:val="auto"/>
              </w:rPr>
            </w:pPr>
          </w:p>
        </w:tc>
        <w:tc>
          <w:tcPr>
            <w:tcW w:w="2140" w:type="dxa"/>
            <w:vAlign w:val="bottom"/>
          </w:tcPr>
          <w:p>
            <w:pPr>
              <w:spacing w:after="0"/>
              <w:rPr>
                <w:sz w:val="20"/>
                <w:szCs w:val="20"/>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45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6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3160" w:type="dxa"/>
            <w:vAlign w:val="bottom"/>
          </w:tcPr>
          <w:p>
            <w:pPr>
              <w:spacing w:after="0"/>
              <w:rPr>
                <w:sz w:val="20"/>
                <w:szCs w:val="20"/>
                <w:color w:val="auto"/>
              </w:rPr>
            </w:pPr>
            <w:r>
              <w:rPr>
                <w:rFonts w:ascii="Arial" w:cs="Arial" w:eastAsia="Arial" w:hAnsi="Arial"/>
                <w:sz w:val="18"/>
                <w:szCs w:val="18"/>
                <w:color w:val="auto"/>
              </w:rPr>
              <w:t>November 2, 2021</w:t>
            </w:r>
          </w:p>
        </w:tc>
        <w:tc>
          <w:tcPr>
            <w:tcW w:w="3100" w:type="dxa"/>
            <w:vAlign w:val="bottom"/>
          </w:tcPr>
          <w:p>
            <w:pPr>
              <w:ind w:left="182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2021 THIRD QUARTER RESULTS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Third Quarter Revenues of $290.3 Million, up 20.5%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Q3 Diluted Earnings Per Share (GAAP) of $0.77, up from $0.76 in Q3 of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Q3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$1.30, up from $1.04 in Q3 of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New York, NY – November 2, 2021 - ExlService Holdings, Inc. (NASDAQ: EXLS), a leading global analytics and digital solutions company, today announced its financial results for the quarter ended September 30, 2021.</w:t>
      </w:r>
    </w:p>
    <w:p>
      <w:pPr>
        <w:spacing w:after="0" w:line="237" w:lineRule="exact"/>
        <w:rPr>
          <w:sz w:val="20"/>
          <w:szCs w:val="20"/>
          <w:color w:val="auto"/>
        </w:rPr>
      </w:pPr>
    </w:p>
    <w:p>
      <w:pPr>
        <w:jc w:val="both"/>
        <w:spacing w:after="0" w:line="364" w:lineRule="auto"/>
        <w:rPr>
          <w:sz w:val="20"/>
          <w:szCs w:val="20"/>
          <w:color w:val="auto"/>
        </w:rPr>
      </w:pPr>
      <w:r>
        <w:rPr>
          <w:rFonts w:ascii="Arial" w:cs="Arial" w:eastAsia="Arial" w:hAnsi="Arial"/>
          <w:sz w:val="16"/>
          <w:szCs w:val="16"/>
          <w:color w:val="auto"/>
        </w:rPr>
        <w:t>Rohit Kapoor, Vice Chairman and Chief Executive Officer, said, “EXL generated revenue of $290.3 million, an increase of 20.5% compared to the third quarter of 2020. Analytics continued to lead our growth with a 33.1% revenue increase from the third quarter of 2020 and operations management revenue increased 12.9%. Adjusted diluted earnings per share for the quarter was $1.30, a 25.0% increase year-over-year. Our significant growth is being driven by a strategic focus on advanced analytics, AI, digital and cloud, which helps our clients deliver hyper-personalized customer experiences at scale and rapidly shift their business strategies in response to market changes. We have expanded our relationships with our largest clients and have added 40 clients in the first nine months of the year contributing to our success and giving us positive momentum as we look toward 2022.”</w:t>
      </w:r>
    </w:p>
    <w:p>
      <w:pPr>
        <w:spacing w:after="0" w:line="189" w:lineRule="exact"/>
        <w:rPr>
          <w:sz w:val="20"/>
          <w:szCs w:val="20"/>
          <w:color w:val="auto"/>
        </w:rPr>
      </w:pPr>
    </w:p>
    <w:p>
      <w:pPr>
        <w:jc w:val="both"/>
        <w:spacing w:after="0" w:line="372" w:lineRule="auto"/>
        <w:rPr>
          <w:sz w:val="20"/>
          <w:szCs w:val="20"/>
          <w:color w:val="auto"/>
        </w:rPr>
      </w:pPr>
      <w:r>
        <w:rPr>
          <w:rFonts w:ascii="Arial" w:cs="Arial" w:eastAsia="Arial" w:hAnsi="Arial"/>
          <w:sz w:val="16"/>
          <w:szCs w:val="16"/>
          <w:color w:val="auto"/>
        </w:rPr>
        <w:t>Maurizio Nicolelli, Chief Financial Officer, said, “EXL had a solid third quarter with double-digit revenue growth and improved margins compared to 2020. Based on the visibility we have for the remainder of the year, we are increasing our revenue guidance for 2021 to be in the range of $1.11 billion to $1.12 billion, from $1.08 billion to $1.10 billion, representing a 15% to 16% increase year-over-year on a constant currency basis. Our adjusted diluted earnings per share guidance for 2021 is also increasing to $4.70 to $4.80, from $4.30 to $4.50, representing a 33% to 36%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66" w:lineRule="exact"/>
        <w:rPr>
          <w:sz w:val="20"/>
          <w:szCs w:val="20"/>
          <w:color w:val="auto"/>
        </w:rPr>
      </w:pPr>
    </w:p>
    <w:p>
      <w:pPr>
        <w:jc w:val="both"/>
        <w:ind w:left="500" w:hanging="330"/>
        <w:spacing w:after="0" w:line="249"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Third Quarter 2021</w:t>
      </w:r>
    </w:p>
    <w:p>
      <w:pPr>
        <w:spacing w:after="0" w:line="378" w:lineRule="exact"/>
        <w:rPr>
          <w:sz w:val="20"/>
          <w:szCs w:val="20"/>
          <w:color w:val="auto"/>
        </w:rPr>
      </w:pPr>
    </w:p>
    <w:p>
      <w:pPr>
        <w:jc w:val="both"/>
        <w:ind w:left="66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September 30, 2021 increased to $290.3 million compared to $241.0 million for the third quarter of 2020, an increase of 20.5% on a reported basis and 20.1% on a constant currency basis from the third quarter of 2020. Revenues increased by 5.5% sequentially on a reported basis and 5.8% on a constant currency basis, from the second quarter of 2021.</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w w:val="87"/>
              </w:rPr>
              <w:t>Revenues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3"/>
              </w:rPr>
              <w:t>Gross Margin</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center"/>
              <w:ind w:left="333"/>
              <w:spacing w:after="0"/>
              <w:rPr>
                <w:sz w:val="20"/>
                <w:szCs w:val="20"/>
                <w:color w:val="auto"/>
              </w:rPr>
            </w:pPr>
            <w:r>
              <w:rPr>
                <w:rFonts w:ascii="Arial" w:cs="Arial" w:eastAsia="Arial" w:hAnsi="Arial"/>
                <w:sz w:val="16"/>
                <w:szCs w:val="16"/>
                <w:b w:val="1"/>
                <w:bCs w:val="1"/>
                <w:color w:val="auto"/>
                <w:w w:val="90"/>
              </w:rPr>
              <w:t>Three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1"/>
              </w:rPr>
              <w:t>Three months ended</w:t>
            </w: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ind w:left="14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June 30, 2021</w:t>
            </w:r>
          </w:p>
        </w:tc>
        <w:tc>
          <w:tcPr>
            <w:tcW w:w="0" w:type="dxa"/>
            <w:vAlign w:val="bottom"/>
          </w:tcPr>
          <w:p>
            <w:pPr>
              <w:spacing w:after="0"/>
              <w:rPr>
                <w:sz w:val="1"/>
                <w:szCs w:val="1"/>
                <w:color w:val="auto"/>
              </w:rPr>
            </w:pPr>
          </w:p>
        </w:tc>
      </w:tr>
      <w:tr>
        <w:trPr>
          <w:trHeight w:val="213"/>
        </w:trPr>
        <w:tc>
          <w:tcPr>
            <w:tcW w:w="2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20" w:type="dxa"/>
            <w:vAlign w:val="bottom"/>
            <w:gridSpan w:val="3"/>
          </w:tcPr>
          <w:p>
            <w:pPr>
              <w:jc w:val="right"/>
              <w:ind w:right="216"/>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2"/>
              </w:rPr>
              <w:t>(dollars in millions)</w:t>
            </w: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5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margin for the quarter ended September 30, 2021 was 14.6%, compared to an operating income margin of 14.3% for the third quarter of 2020 and operating income margin of 13.0% for the second quarter of 2021. Adjusted operating income margin for the quarter ended September 30, 2021 was 19.4% compared to 19.2% for the third quarter of 2020 and 17.9% for the second quarter of 2021.</w:t>
      </w:r>
    </w:p>
    <w:p>
      <w:pPr>
        <w:spacing w:after="0" w:line="192" w:lineRule="exact"/>
        <w:rPr>
          <w:rFonts w:ascii="Arial" w:cs="Arial" w:eastAsia="Arial" w:hAnsi="Arial"/>
          <w:sz w:val="17"/>
          <w:szCs w:val="17"/>
          <w:color w:val="auto"/>
        </w:rPr>
      </w:pPr>
    </w:p>
    <w:p>
      <w:pPr>
        <w:jc w:val="both"/>
        <w:ind w:left="660" w:right="2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September 30, 2021 was $0.77 compared to $0.76 for the third quarter of 2020 and $0.81 for the second quarter of 2021. Adjusted diluted earnings per share for the quarter ended September 30, 2021 was $1.30 compared to $1.04 for the third quarter of 2020 and $1.14 for the second quarter of 2021.</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Third Quarter 2021</w:t>
      </w:r>
    </w:p>
    <w:p>
      <w:pPr>
        <w:spacing w:after="0" w:line="30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Won 10 new clients in the third quarter of 2021, with four in our operations management businesses and six in Analytics.</w:t>
      </w:r>
    </w:p>
    <w:p>
      <w:pPr>
        <w:spacing w:after="0" w:line="24"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Recognized as a Leader in the 2021 Gartner </w:t>
      </w:r>
      <w:r>
        <w:rPr>
          <w:rFonts w:ascii="Arial" w:cs="Arial" w:eastAsia="Arial" w:hAnsi="Arial"/>
          <w:sz w:val="18"/>
          <w:szCs w:val="18"/>
          <w:i w:val="1"/>
          <w:iCs w:val="1"/>
          <w:color w:val="auto"/>
        </w:rPr>
        <w:t>“Magic Quadrant for Life Insurance Policy Administration Systems, North America.”</w:t>
      </w:r>
      <w:r>
        <w:rPr>
          <w:rFonts w:ascii="Arial" w:cs="Arial" w:eastAsia="Arial" w:hAnsi="Arial"/>
          <w:sz w:val="18"/>
          <w:szCs w:val="18"/>
          <w:color w:val="auto"/>
        </w:rPr>
        <w:t xml:space="preserve"> </w:t>
      </w:r>
      <w:r>
        <w:rPr>
          <w:rFonts w:ascii="Arial" w:cs="Arial" w:eastAsia="Arial" w:hAnsi="Arial"/>
          <w:sz w:val="28"/>
          <w:szCs w:val="28"/>
          <w:color w:val="auto"/>
          <w:vertAlign w:val="superscript"/>
        </w:rPr>
        <w:t>(2)</w:t>
      </w:r>
    </w:p>
    <w:p>
      <w:pPr>
        <w:spacing w:after="0" w:line="19" w:lineRule="exact"/>
        <w:rPr>
          <w:rFonts w:ascii="Arial" w:cs="Arial" w:eastAsia="Arial" w:hAnsi="Arial"/>
          <w:sz w:val="18"/>
          <w:szCs w:val="18"/>
          <w:color w:val="auto"/>
        </w:rPr>
      </w:pPr>
    </w:p>
    <w:p>
      <w:pPr>
        <w:ind w:left="320" w:hanging="312"/>
        <w:spacing w:after="0" w:line="23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Named, for the second consecutive year, as a Gartner Peer Insights Customers’ Choice for Data and Analytics Service Providers. </w:t>
      </w:r>
      <w:r>
        <w:rPr>
          <w:rFonts w:ascii="Arial" w:cs="Arial" w:eastAsia="Arial" w:hAnsi="Arial"/>
          <w:sz w:val="28"/>
          <w:szCs w:val="28"/>
          <w:color w:val="auto"/>
          <w:vertAlign w:val="superscript"/>
        </w:rPr>
        <w:t>(2)</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75.0, British Pound to U.S. Dollar exchange rate of 1.37,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Philippine Peso exchange rate of 50.5 and all other currencies at current exchange rates, we are providing the following guidance for the full year 2021:</w:t>
      </w:r>
    </w:p>
    <w:p>
      <w:pPr>
        <w:spacing w:after="0" w:line="356" w:lineRule="exact"/>
        <w:rPr>
          <w:sz w:val="20"/>
          <w:szCs w:val="20"/>
          <w:color w:val="auto"/>
        </w:rPr>
      </w:pPr>
    </w:p>
    <w:p>
      <w:pPr>
        <w:ind w:left="660" w:right="20" w:hanging="328"/>
        <w:spacing w:after="0" w:line="28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of $1.11 billion to $1.12 billion, representing an increase of 16% to 17% on a reported basis, and 15% to 16% on a constant currency basis, from 2020.</w:t>
      </w:r>
    </w:p>
    <w:p>
      <w:pPr>
        <w:spacing w:after="0" w:line="23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diluted earnings per share of $4.70 to $4.80, representing an increase of 33% to 36% from 2020.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November 2, 2021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Gartner Disclaimer</w:t>
      </w:r>
    </w:p>
    <w:p>
      <w:pPr>
        <w:spacing w:after="0" w:line="17" w:lineRule="exact"/>
        <w:rPr>
          <w:sz w:val="20"/>
          <w:szCs w:val="20"/>
          <w:color w:val="auto"/>
        </w:rPr>
      </w:pPr>
    </w:p>
    <w:p>
      <w:pPr>
        <w:jc w:val="both"/>
        <w:spacing w:after="0" w:line="221" w:lineRule="auto"/>
        <w:rPr>
          <w:sz w:val="20"/>
          <w:szCs w:val="20"/>
          <w:color w:val="auto"/>
        </w:rPr>
      </w:pPr>
      <w:r>
        <w:rPr>
          <w:rFonts w:ascii="Arial" w:cs="Arial" w:eastAsia="Arial" w:hAnsi="Arial"/>
          <w:sz w:val="14"/>
          <w:szCs w:val="14"/>
          <w:i w:val="1"/>
          <w:iCs w:val="1"/>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4"/>
          <w:szCs w:val="14"/>
          <w:i w:val="1"/>
          <w:iCs w:val="1"/>
          <w:color w:val="auto"/>
        </w:rPr>
        <w:t>Gartner and Magic Quadrant are registered trademarks of Gartner, Inc. and/or its affiliates in the U.S. and internationally and is used herein with permission. All rights reserved. Gartner Peer Insights Customers’ Choice constitute the subjective opinions of individual end-user reviews, ratings, and data applied against a documented methodology; they neither represent the views of, nor constitute an endorsement by, Gartner or its affiliates. Gartner Peer Insights reviews constitute the subjective opinions of individual end users based on their own experiences and do not represent the views of Gartner or its affiliates.</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0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 xml:space="preserve">EXL (NASDAQ: EXLS) is a global analytics and digital solutions company that partners with clients to improve business outcomes and unlock growth. Bringing together deep domain expertise with robust data, powerful analytics, cloud, and AI,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34,000 strong, with more than 50 offices spanning six continents. For more information, visit </w:t>
      </w:r>
      <w:r>
        <w:rPr>
          <w:rFonts w:ascii="Arial" w:cs="Arial" w:eastAsia="Arial" w:hAnsi="Arial"/>
          <w:sz w:val="18"/>
          <w:szCs w:val="18"/>
          <w:u w:val="single" w:color="auto"/>
          <w:color w:val="0000FF"/>
        </w:rPr>
        <w:t>www.exlservice.com.</w:t>
      </w:r>
    </w:p>
    <w:p>
      <w:pPr>
        <w:spacing w:after="0" w:line="306"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20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50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7"/>
        </w:trPr>
        <w:tc>
          <w:tcPr>
            <w:tcW w:w="54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709,481</w:t>
            </w:r>
          </w:p>
        </w:tc>
      </w:tr>
      <w:tr>
        <w:trPr>
          <w:trHeight w:val="229"/>
        </w:trPr>
        <w:tc>
          <w:tcPr>
            <w:tcW w:w="5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473,144</w:t>
            </w:r>
          </w:p>
        </w:tc>
      </w:tr>
      <w:tr>
        <w:trPr>
          <w:trHeight w:val="223"/>
        </w:trPr>
        <w:tc>
          <w:tcPr>
            <w:tcW w:w="5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112,582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236,337</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w:t>
            </w:r>
          </w:p>
        </w:tc>
      </w:tr>
      <w:tr>
        <w:trPr>
          <w:trHeight w:val="230"/>
        </w:trPr>
        <w:tc>
          <w:tcPr>
            <w:tcW w:w="544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42,797</w:t>
            </w: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164,578</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71,759</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settlement of convertible notes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30,675</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34,979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108,478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75,867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26,479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86,459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57,451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from equity-method investment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26,507</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86,459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57,258</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Earnings per share attributable to ExlService Holdings, Inc. stockholders: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440" w:type="dxa"/>
            <w:vAlign w:val="bottom"/>
          </w:tcPr>
          <w:p>
            <w:pPr>
              <w:ind w:left="5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176"/>
        </w:trPr>
        <w:tc>
          <w:tcPr>
            <w:tcW w:w="544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Weighted-average number of shares used in computing earnings per share</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33,449,311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34,327,477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33,583,791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34,404,798</w:t>
            </w:r>
          </w:p>
        </w:tc>
      </w:tr>
      <w:tr>
        <w:trPr>
          <w:trHeight w:val="230"/>
        </w:trPr>
        <w:tc>
          <w:tcPr>
            <w:tcW w:w="5440" w:type="dxa"/>
            <w:vAlign w:val="bottom"/>
          </w:tcPr>
          <w:p>
            <w:pPr>
              <w:ind w:left="5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34,305,893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34,536,049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34,336,950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34,617,830</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1040"/>
          </w:cols>
          <w:pgMar w:left="420" w:top="1107"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ectPr>
          <w:pgSz w:w="11900" w:h="16838" w:orient="portrait"/>
          <w:cols w:equalWidth="0" w:num="1">
            <w:col w:w="10520"/>
          </w:cols>
          <w:pgMar w:left="680" w:top="89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Restricted cash</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Accounts receivable, net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Prepaid expenses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Advance income tax, net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Pr>
          <w:p>
            <w:pPr>
              <w:spacing w:after="0"/>
              <w:rPr>
                <w:sz w:val="16"/>
                <w:szCs w:val="16"/>
                <w:color w:val="auto"/>
              </w:rPr>
            </w:pPr>
          </w:p>
        </w:tc>
      </w:tr>
      <w:tr>
        <w:trPr>
          <w:trHeight w:val="213"/>
        </w:trPr>
        <w:tc>
          <w:tcPr>
            <w:tcW w:w="12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2020</w:t>
            </w:r>
          </w:p>
        </w:tc>
      </w:tr>
      <w:tr>
        <w:trPr>
          <w:trHeight w:val="860"/>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114,581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218,530</w:t>
            </w:r>
          </w:p>
        </w:tc>
      </w:tr>
      <w:tr>
        <w:trPr>
          <w:trHeight w:val="230"/>
        </w:trPr>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169,739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184,286</w:t>
            </w:r>
          </w:p>
        </w:tc>
      </w:tr>
      <w:tr>
        <w:trPr>
          <w:trHeight w:val="229"/>
        </w:trPr>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4,690</w:t>
            </w:r>
          </w:p>
        </w:tc>
      </w:tr>
      <w:tr>
        <w:trPr>
          <w:trHeight w:val="229"/>
        </w:trPr>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192,170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147,635</w:t>
            </w:r>
          </w:p>
        </w:tc>
      </w:tr>
      <w:tr>
        <w:trPr>
          <w:trHeight w:val="230"/>
        </w:trPr>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11,344</w:t>
            </w:r>
          </w:p>
        </w:tc>
      </w:tr>
      <w:tr>
        <w:trPr>
          <w:trHeight w:val="229"/>
        </w:trPr>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5,684</w:t>
            </w:r>
          </w:p>
        </w:tc>
      </w:tr>
      <w:tr>
        <w:trPr>
          <w:trHeight w:val="230"/>
        </w:trPr>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-1293495</wp:posOffset>
            </wp:positionV>
            <wp:extent cx="6686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0" cy="13716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-1019175</wp:posOffset>
            </wp:positionV>
            <wp:extent cx="668655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0" cy="14541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-728345</wp:posOffset>
            </wp:positionV>
            <wp:extent cx="668655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0" cy="14605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-436245</wp:posOffset>
            </wp:positionV>
            <wp:extent cx="668655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0" cy="14605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-144780</wp:posOffset>
            </wp:positionV>
            <wp:extent cx="66865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400" w:space="720"/>
            <w:col w:w="3400"/>
          </w:cols>
          <w:pgMar w:left="680" w:top="891" w:right="6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545,175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609,278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81,324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348,699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349,088</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1,168,070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32,649</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67,645</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66,410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221,078</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201,961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528,685</w:t>
            </w:r>
          </w:p>
        </w:tc>
        <w:tc>
          <w:tcPr>
            <w:tcW w:w="0" w:type="dxa"/>
            <w:vAlign w:val="bottom"/>
          </w:tcPr>
          <w:p>
            <w:pPr>
              <w:spacing w:after="0"/>
              <w:rPr>
                <w:sz w:val="1"/>
                <w:szCs w:val="1"/>
                <w:color w:val="auto"/>
              </w:rPr>
            </w:pPr>
          </w:p>
        </w:tc>
      </w:tr>
      <w:tr>
        <w:trPr>
          <w:trHeight w:val="193"/>
        </w:trPr>
        <w:tc>
          <w:tcPr>
            <w:tcW w:w="71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4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1"/>
              </w:rPr>
              <w:t>Common stock, $0.001 par value; 100,000,000 shares authorized, 39,312,225 shares issued and 33,343,895</w:t>
            </w:r>
          </w:p>
        </w:tc>
        <w:tc>
          <w:tcPr>
            <w:tcW w:w="4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shares outstanding as of September 30, 2021 and 38,968,052 shares issued and 33,559,434 shares</w:t>
            </w:r>
          </w:p>
        </w:tc>
        <w:tc>
          <w:tcPr>
            <w:tcW w:w="4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2020</w:t>
            </w:r>
          </w:p>
        </w:tc>
        <w:tc>
          <w:tcPr>
            <w:tcW w:w="4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385,917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420,976</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1,021,537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987,410</w:t>
            </w:r>
          </w:p>
        </w:tc>
        <w:tc>
          <w:tcPr>
            <w:tcW w:w="0" w:type="dxa"/>
            <w:vAlign w:val="bottom"/>
          </w:tcPr>
          <w:p>
            <w:pPr>
              <w:spacing w:after="0"/>
              <w:rPr>
                <w:sz w:val="1"/>
                <w:szCs w:val="1"/>
                <w:color w:val="auto"/>
              </w:rPr>
            </w:pPr>
          </w:p>
        </w:tc>
      </w:tr>
      <w:tr>
        <w:trPr>
          <w:trHeight w:val="166"/>
        </w:trPr>
        <w:tc>
          <w:tcPr>
            <w:tcW w:w="7120" w:type="dxa"/>
            <w:vAlign w:val="bottom"/>
          </w:tcPr>
          <w:p>
            <w:pPr>
              <w:ind w:left="20"/>
              <w:spacing w:after="0" w:line="166" w:lineRule="exact"/>
              <w:rPr>
                <w:sz w:val="20"/>
                <w:szCs w:val="20"/>
                <w:color w:val="auto"/>
              </w:rPr>
            </w:pPr>
            <w:r>
              <w:rPr>
                <w:rFonts w:ascii="Arial" w:cs="Arial" w:eastAsia="Arial" w:hAnsi="Arial"/>
                <w:sz w:val="16"/>
                <w:szCs w:val="16"/>
                <w:color w:val="auto"/>
                <w:w w:val="93"/>
              </w:rPr>
              <w:t>Less: 5,968,330 shares as of September 30, 2021 and 5,408,618 shares as of December 31, 2020, held in</w:t>
            </w:r>
          </w:p>
        </w:tc>
        <w:tc>
          <w:tcPr>
            <w:tcW w:w="4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(336,552)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(268,238)</w:t>
            </w:r>
          </w:p>
        </w:tc>
        <w:tc>
          <w:tcPr>
            <w:tcW w:w="0" w:type="dxa"/>
            <w:vAlign w:val="bottom"/>
          </w:tcPr>
          <w:p>
            <w:pPr>
              <w:spacing w:after="0"/>
              <w:rPr>
                <w:sz w:val="1"/>
                <w:szCs w:val="1"/>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684,985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1,168,070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20"/>
          </w:cols>
          <w:pgMar w:left="680" w:top="891" w:right="6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44" w:lineRule="auto"/>
        <w:rPr>
          <w:sz w:val="20"/>
          <w:szCs w:val="20"/>
          <w:color w:val="auto"/>
        </w:rPr>
      </w:pPr>
      <w:r>
        <w:rPr>
          <w:rFonts w:ascii="Arial" w:cs="Arial" w:eastAsia="Arial" w:hAnsi="Arial"/>
          <w:sz w:val="16"/>
          <w:szCs w:val="16"/>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gains or losses on settlement of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any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19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9"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decreased from 74.06 during the quarter ended September 30, 2020 to 73.88 during the quarter ended September 30, 2021, representing a depreciation of 0.2%. The average exchange rate of the U.S. Dollar against the Philippine Peso increased from</w:t>
      </w:r>
    </w:p>
    <w:p>
      <w:pPr>
        <w:sectPr>
          <w:pgSz w:w="11900" w:h="16838" w:orient="portrait"/>
          <w:cols w:equalWidth="0" w:num="1">
            <w:col w:w="11240"/>
          </w:cols>
          <w:pgMar w:left="320" w:top="1309" w:right="339" w:bottom="1440" w:gutter="0" w:footer="0" w:header="0"/>
        </w:sectPr>
      </w:pPr>
    </w:p>
    <w:bookmarkStart w:id="10" w:name="page11"/>
    <w:bookmarkEnd w:id="10"/>
    <w:p>
      <w:pPr>
        <w:jc w:val="both"/>
        <w:spacing w:after="0" w:line="310" w:lineRule="auto"/>
        <w:rPr>
          <w:sz w:val="20"/>
          <w:szCs w:val="20"/>
          <w:color w:val="auto"/>
        </w:rPr>
      </w:pPr>
      <w:r>
        <w:rPr>
          <w:rFonts w:ascii="Arial" w:cs="Arial" w:eastAsia="Arial" w:hAnsi="Arial"/>
          <w:sz w:val="18"/>
          <w:szCs w:val="18"/>
          <w:color w:val="auto"/>
        </w:rPr>
        <w:t>48.71 during the quarter ended September 30, 2020 to 50.24 during the quarter ended September 30, 2021, representing an appreciation of 3.1%. The average exchange rate of the British Pound against the U.S. Dollar increased from 1.31 during the quarter ended September 30, 2020 to 1.37 during the quarter ended September 30, 2021, representing a depreciation of 5.0%.</w:t>
      </w:r>
    </w:p>
    <w:p>
      <w:pPr>
        <w:spacing w:after="0" w:line="210"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September 30, 2021 and September 30, 2020, and the three months ended June 30,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6"/>
                <w:szCs w:val="16"/>
                <w:b w:val="1"/>
                <w:bCs w:val="1"/>
                <w:color w:val="auto"/>
              </w:rPr>
              <w:t>26,507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6"/>
                <w:szCs w:val="16"/>
                <w:b w:val="1"/>
                <w:bCs w:val="1"/>
                <w:color w:val="auto"/>
              </w:rPr>
              <w:t>26,418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17"/>
              <w:spacing w:after="0"/>
              <w:rPr>
                <w:sz w:val="20"/>
                <w:szCs w:val="20"/>
                <w:color w:val="auto"/>
              </w:rPr>
            </w:pPr>
            <w:r>
              <w:rPr>
                <w:rFonts w:ascii="Arial" w:cs="Arial" w:eastAsia="Arial" w:hAnsi="Arial"/>
                <w:sz w:val="16"/>
                <w:szCs w:val="16"/>
                <w:b w:val="1"/>
                <w:bCs w:val="1"/>
                <w:color w:val="auto"/>
              </w:rPr>
              <w:t>28,021</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8"/>
              <w:spacing w:after="0"/>
              <w:rPr>
                <w:sz w:val="20"/>
                <w:szCs w:val="20"/>
                <w:color w:val="auto"/>
              </w:rPr>
            </w:pPr>
            <w:r>
              <w:rPr>
                <w:rFonts w:ascii="Arial" w:cs="Arial" w:eastAsia="Arial" w:hAnsi="Arial"/>
                <w:sz w:val="16"/>
                <w:szCs w:val="16"/>
                <w:color w:val="auto"/>
              </w:rPr>
              <w:t>8,490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7"/>
              <w:spacing w:after="0"/>
              <w:rPr>
                <w:sz w:val="20"/>
                <w:szCs w:val="20"/>
                <w:color w:val="auto"/>
              </w:rPr>
            </w:pPr>
            <w:r>
              <w:rPr>
                <w:rFonts w:ascii="Arial" w:cs="Arial" w:eastAsia="Arial" w:hAnsi="Arial"/>
                <w:sz w:val="16"/>
                <w:szCs w:val="16"/>
                <w:color w:val="auto"/>
              </w:rPr>
              <w:t>8,865</w:t>
            </w:r>
          </w:p>
        </w:tc>
        <w:tc>
          <w:tcPr>
            <w:tcW w:w="0" w:type="dxa"/>
            <w:vAlign w:val="bottom"/>
          </w:tcPr>
          <w:p>
            <w:pPr>
              <w:spacing w:after="0"/>
              <w:rPr>
                <w:sz w:val="1"/>
                <w:szCs w:val="1"/>
                <w:color w:val="auto"/>
              </w:rPr>
            </w:pPr>
          </w:p>
        </w:tc>
      </w:tr>
      <w:tr>
        <w:trPr>
          <w:trHeight w:val="169"/>
        </w:trPr>
        <w:tc>
          <w:tcPr>
            <w:tcW w:w="61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9"/>
              </w:rPr>
              <w:t>add/(subtract): Loss on settlement of convertible notes, interest expense, effects of</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7"/>
              <w:spacing w:after="0"/>
              <w:rPr>
                <w:sz w:val="20"/>
                <w:szCs w:val="20"/>
                <w:color w:val="auto"/>
              </w:rPr>
            </w:pPr>
            <w:r>
              <w:rPr>
                <w:rFonts w:ascii="Arial" w:cs="Arial" w:eastAsia="Arial" w:hAnsi="Arial"/>
                <w:sz w:val="16"/>
                <w:szCs w:val="16"/>
                <w:color w:val="auto"/>
              </w:rPr>
              <w:t>11,735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7"/>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foreign exchange effects, effects of equity-method investment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7"/>
              <w:spacing w:after="0"/>
              <w:rPr>
                <w:sz w:val="20"/>
                <w:szCs w:val="20"/>
                <w:color w:val="auto"/>
              </w:rPr>
            </w:pPr>
            <w:r>
              <w:rPr>
                <w:rFonts w:ascii="Arial" w:cs="Arial" w:eastAsia="Arial" w:hAnsi="Arial"/>
                <w:sz w:val="18"/>
                <w:szCs w:val="18"/>
                <w:b w:val="1"/>
                <w:bCs w:val="1"/>
                <w:color w:val="auto"/>
              </w:rPr>
              <w:t>42,438</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18"/>
              <w:spacing w:after="0"/>
              <w:rPr>
                <w:sz w:val="20"/>
                <w:szCs w:val="20"/>
                <w:color w:val="auto"/>
              </w:rPr>
            </w:pPr>
            <w:r>
              <w:rPr>
                <w:rFonts w:ascii="Arial" w:cs="Arial" w:eastAsia="Arial" w:hAnsi="Arial"/>
                <w:sz w:val="16"/>
                <w:szCs w:val="16"/>
                <w:b w:val="1"/>
                <w:bCs w:val="1"/>
                <w:color w:val="auto"/>
              </w:rPr>
              <w:t>34,406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7"/>
              <w:spacing w:after="0"/>
              <w:rPr>
                <w:sz w:val="20"/>
                <w:szCs w:val="20"/>
                <w:color w:val="auto"/>
              </w:rPr>
            </w:pPr>
            <w:r>
              <w:rPr>
                <w:rFonts w:ascii="Arial" w:cs="Arial" w:eastAsia="Arial" w:hAnsi="Arial"/>
                <w:sz w:val="18"/>
                <w:szCs w:val="18"/>
                <w:b w:val="1"/>
                <w:bCs w:val="1"/>
                <w:color w:val="auto"/>
              </w:rPr>
              <w:t>35,830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6"/>
                <w:szCs w:val="16"/>
                <w:color w:val="auto"/>
              </w:rPr>
              <w:t>10,894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5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56,354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46,165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49,297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19.4 %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19.2 %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17.9 %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Depreciation on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6"/>
                <w:szCs w:val="16"/>
                <w:color w:val="auto"/>
              </w:rPr>
              <w:t>9,283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9,012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6"/>
                <w:szCs w:val="16"/>
                <w:color w:val="auto"/>
              </w:rPr>
              <w:t>8,913</w:t>
            </w:r>
          </w:p>
        </w:tc>
        <w:tc>
          <w:tcPr>
            <w:tcW w:w="0" w:type="dxa"/>
            <w:vAlign w:val="bottom"/>
          </w:tcPr>
          <w:p>
            <w:pPr>
              <w:spacing w:after="0"/>
              <w:rPr>
                <w:sz w:val="1"/>
                <w:szCs w:val="1"/>
                <w:color w:val="auto"/>
              </w:rPr>
            </w:pPr>
          </w:p>
        </w:tc>
      </w:tr>
      <w:tr>
        <w:trPr>
          <w:trHeight w:val="226"/>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65,637</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55,177</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58,210</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22.6 %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21.2 %</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6"/>
              </w:rPr>
              <w:t>Three months ended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w w:val="93"/>
              </w:rPr>
              <w:t>September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r>
      <w:tr>
        <w:trPr>
          <w:trHeight w:val="212"/>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(GAAP)</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26,507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28,021</w:t>
            </w:r>
          </w:p>
        </w:tc>
      </w:tr>
      <w:tr>
        <w:trPr>
          <w:trHeight w:val="213"/>
        </w:trPr>
        <w:tc>
          <w:tcPr>
            <w:tcW w:w="5940" w:type="dxa"/>
            <w:vAlign w:val="bottom"/>
          </w:tcPr>
          <w:p>
            <w:pPr>
              <w:ind w:left="320"/>
              <w:spacing w:after="0"/>
              <w:rPr>
                <w:sz w:val="20"/>
                <w:szCs w:val="20"/>
                <w:color w:val="auto"/>
              </w:rPr>
            </w:pPr>
            <w:r>
              <w:rPr>
                <w:rFonts w:ascii="Arial" w:cs="Arial" w:eastAsia="Arial" w:hAnsi="Arial"/>
                <w:sz w:val="16"/>
                <w:szCs w:val="16"/>
                <w:color w:val="auto"/>
              </w:rPr>
              <w:t>add: Stock-based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10,070</w:t>
            </w:r>
          </w:p>
        </w:tc>
      </w:tr>
      <w:tr>
        <w:trPr>
          <w:trHeight w:val="21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 Amortization of acquisition-related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r>
      <w:tr>
        <w:trPr>
          <w:trHeight w:val="213"/>
        </w:trPr>
        <w:tc>
          <w:tcPr>
            <w:tcW w:w="5940" w:type="dxa"/>
            <w:vAlign w:val="bottom"/>
          </w:tcPr>
          <w:p>
            <w:pPr>
              <w:ind w:left="32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1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 Loss on settlement of convertible senior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320"/>
              <w:spacing w:after="0"/>
              <w:rPr>
                <w:sz w:val="20"/>
                <w:szCs w:val="20"/>
                <w:color w:val="auto"/>
              </w:rPr>
            </w:pPr>
            <w:r>
              <w:rPr>
                <w:rFonts w:ascii="Arial" w:cs="Arial" w:eastAsia="Arial" w:hAnsi="Arial"/>
                <w:sz w:val="16"/>
                <w:szCs w:val="16"/>
                <w:color w:val="auto"/>
              </w:rPr>
              <w:t>subtract: Tax impact on stock-based compensation expense (a)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(2,074)</w:t>
            </w:r>
          </w:p>
        </w:tc>
      </w:tr>
      <w:tr>
        <w:trPr>
          <w:trHeight w:val="21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30"/>
        </w:trPr>
        <w:tc>
          <w:tcPr>
            <w:tcW w:w="5940" w:type="dxa"/>
            <w:vAlign w:val="bottom"/>
          </w:tcPr>
          <w:p>
            <w:pPr>
              <w:ind w:left="320"/>
              <w:spacing w:after="0"/>
              <w:rPr>
                <w:sz w:val="20"/>
                <w:szCs w:val="20"/>
                <w:color w:val="auto"/>
              </w:rPr>
            </w:pPr>
            <w:r>
              <w:rPr>
                <w:rFonts w:ascii="Arial" w:cs="Arial" w:eastAsia="Arial" w:hAnsi="Arial"/>
                <w:sz w:val="16"/>
                <w:szCs w:val="16"/>
                <w:color w:val="auto"/>
                <w:w w:val="92"/>
              </w:rPr>
              <w:t>subtract: Tax impact on non-cash interest expense related to convertible senior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6"/>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subtract: Tax impact on settlement of convertible senior notes (b)</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940" w:type="dxa"/>
            <w:vAlign w:val="bottom"/>
          </w:tcPr>
          <w:p>
            <w:pPr>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44,706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36,035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39,174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hanging="249"/>
        <w:spacing w:after="0" w:line="275" w:lineRule="auto"/>
        <w:tabs>
          <w:tab w:leader="none" w:pos="491"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$528 and $52 during the three months ended September 30, 2021 and 2020 respectively, and $97 during the three months ended June 30, 2021, related to discrete benefits recognized in income tax expense on adoption of ASU No. 2016-09, Compensation - Stock Compensation.</w:t>
      </w:r>
    </w:p>
    <w:p>
      <w:pPr>
        <w:spacing w:after="0" w:line="64" w:lineRule="exact"/>
        <w:rPr>
          <w:rFonts w:ascii="Arial" w:cs="Arial" w:eastAsia="Arial" w:hAnsi="Arial"/>
          <w:sz w:val="16"/>
          <w:szCs w:val="16"/>
          <w:i w:val="1"/>
          <w:iCs w:val="1"/>
          <w:color w:val="auto"/>
        </w:rPr>
      </w:pPr>
    </w:p>
    <w:p>
      <w:pPr>
        <w:ind w:left="500" w:hanging="249"/>
        <w:spacing w:after="0" w:line="275" w:lineRule="auto"/>
        <w:tabs>
          <w:tab w:leader="none" w:pos="507"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deferred tax benefit of $2,400 on unamortized debt discount and issuance costs, and $3,094 of income-tax benefit on loss on settlement of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2021-11-02T05:21:06Z</dcterms:created>
  <dcterms:modified xsi:type="dcterms:W3CDTF">2021-11-02T05:21:06Z</dcterms:modified>
</cp:coreProperties>
</file>