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4952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495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Miglani Nalin Kumar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EXLS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02/26/2015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2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See Remarks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10017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7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02/26/2015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02/26/2025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per 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Performance-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Based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02/26/2015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02/26/2025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6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5"/>
        </w:trPr>
        <w:tc>
          <w:tcPr>
            <w:tcW w:w="38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3700" w:type="dxa"/>
            <w:vAlign w:val="bottom"/>
          </w:tcPr>
          <w:p>
            <w:pPr>
              <w:jc w:val="right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00" w:type="dxa"/>
            <w:vAlign w:val="bottom"/>
            <w:vMerge w:val="restart"/>
          </w:tcPr>
          <w:p>
            <w:pPr>
              <w:jc w:val="center"/>
              <w:ind w:left="3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per 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3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and performance-based restricted stock unit represents a contingent right to receive one share of the Company's common stock upon settlement.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jc w:val="both"/>
        <w:ind w:left="40" w:right="380" w:firstLine="7"/>
        <w:spacing w:after="0" w:line="252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10 percent of the restricted stock units will vest on February 26, 2016; an additional 20 percent will vest on February 26, 2017; an additional 30 percent will vest on February 26, 2018; and the remaining 40 percent will vest on February 26, 2019. Vesting will be accelerated upon certain termination of employment events and upon a "Change in Control" (as defined in the ExlService Holdings, Inc. 2006 Omnibus Award Plan).</w:t>
      </w:r>
    </w:p>
    <w:p>
      <w:pPr>
        <w:spacing w:after="0" w:line="2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60" w:firstLine="7"/>
        <w:spacing w:after="0" w:line="269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performance-based restricted stock units will cliff vest on December 31, 2017. Vesting of some or all of the performance-based restricted stock units may be accelerated upon or in connection with the occurrence of a "Change in Control" as such term is defined in the agreement governing the grant of the performance-based restricted stock units.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EVP and Chief Human Resource Officer Mr. Oseni is the Company's Head of Administration and Accounts.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Lazbart Oseni,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03/12/2015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3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Fact</w:t>
            </w:r>
          </w:p>
        </w:tc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27017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2019-12-08T11:28:06Z</dcterms:created>
  <dcterms:modified xsi:type="dcterms:W3CDTF">2019-12-08T11:28:06Z</dcterms:modified>
</cp:coreProperties>
</file>