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00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0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Jetley Vivek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Head of Analytics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12,181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09/01/2031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12,181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common stock upon settlement.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anniversary of the grant date, and two-thirds on the third anniversary of the grant date. Vesting will be accelerated upon certain termination of employment events and upon a "Change in Control" (as defined in the ExlService Holdings, Inc. 2018 Omnibus Incentive Plan).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812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2021-09-03T15:43:15Z</dcterms:created>
  <dcterms:modified xsi:type="dcterms:W3CDTF">2021-09-03T15:43:15Z</dcterms:modified>
</cp:coreProperties>
</file>