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99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9567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Chhibbar Vishal</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02/03/2011</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40" w:type="dxa"/>
            <w:vAlign w:val="bottom"/>
          </w:tcPr>
          <w:p>
            <w:pPr>
              <w:spacing w:after="0"/>
              <w:rPr>
                <w:sz w:val="21"/>
                <w:szCs w:val="21"/>
                <w:color w:val="auto"/>
              </w:rPr>
            </w:pPr>
          </w:p>
        </w:tc>
        <w:tc>
          <w:tcPr>
            <w:tcW w:w="1540" w:type="dxa"/>
            <w:vAlign w:val="bottom"/>
          </w:tcPr>
          <w:p>
            <w:pPr>
              <w:ind w:left="1020"/>
              <w:spacing w:after="0"/>
              <w:rPr>
                <w:sz w:val="20"/>
                <w:szCs w:val="20"/>
                <w:color w:val="auto"/>
              </w:rPr>
            </w:pPr>
            <w:r>
              <w:rPr>
                <w:rFonts w:ascii="Times New Roman" w:cs="Times New Roman" w:eastAsia="Times New Roman" w:hAnsi="Times New Roman"/>
                <w:sz w:val="17"/>
                <w:szCs w:val="17"/>
                <w:color w:val="0000FF"/>
              </w:rPr>
              <w:t>CFO</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3"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spacing w:after="0"/>
              <w:rPr>
                <w:sz w:val="12"/>
                <w:szCs w:val="12"/>
                <w:color w:val="auto"/>
              </w:rPr>
            </w:pPr>
          </w:p>
        </w:tc>
        <w:tc>
          <w:tcPr>
            <w:tcW w:w="70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2,060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4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3"/>
                <w:szCs w:val="13"/>
                <w:color w:val="0000FF"/>
              </w:rPr>
              <w:t>02/03/2011</w:t>
            </w:r>
          </w:p>
        </w:tc>
        <w:tc>
          <w:tcPr>
            <w:tcW w:w="1120" w:type="dxa"/>
            <w:vAlign w:val="bottom"/>
          </w:tcPr>
          <w:p>
            <w:pPr>
              <w:spacing w:after="0"/>
              <w:rPr>
                <w:sz w:val="5"/>
                <w:szCs w:val="5"/>
                <w:color w:val="auto"/>
              </w:rPr>
            </w:pPr>
          </w:p>
        </w:tc>
        <w:tc>
          <w:tcPr>
            <w:tcW w:w="840" w:type="dxa"/>
            <w:vAlign w:val="bottom"/>
            <w:vMerge w:val="restart"/>
          </w:tcPr>
          <w:p>
            <w:pPr>
              <w:ind w:left="1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3"/>
                <w:szCs w:val="13"/>
                <w:color w:val="0000FF"/>
              </w:rPr>
              <w:t>2,060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7" w:lineRule="exact"/>
              <w:rPr>
                <w:sz w:val="20"/>
                <w:szCs w:val="20"/>
                <w:color w:val="auto"/>
              </w:rPr>
            </w:pPr>
            <w:r>
              <w:rPr>
                <w:rFonts w:ascii="Times New Roman" w:cs="Times New Roman" w:eastAsia="Times New Roman" w:hAnsi="Times New Roman"/>
                <w:sz w:val="13"/>
                <w:szCs w:val="13"/>
                <w:color w:val="0000FF"/>
              </w:rPr>
              <w:t>02/03/2021</w:t>
            </w:r>
          </w:p>
        </w:tc>
        <w:tc>
          <w:tcPr>
            <w:tcW w:w="70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line="147"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96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3"/>
                <w:szCs w:val="13"/>
                <w:color w:val="0000FF"/>
              </w:rPr>
              <w:t>2,060</w:t>
            </w:r>
          </w:p>
        </w:tc>
        <w:tc>
          <w:tcPr>
            <w:tcW w:w="760" w:type="dxa"/>
            <w:vAlign w:val="bottom"/>
            <w:vMerge w:val="restart"/>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vMerge w:val="restart"/>
          </w:tcPr>
          <w:p>
            <w:pPr>
              <w:ind w:left="140"/>
              <w:spacing w:after="0" w:line="147" w:lineRule="exact"/>
              <w:rPr>
                <w:sz w:val="20"/>
                <w:szCs w:val="20"/>
                <w:color w:val="auto"/>
              </w:rPr>
            </w:pPr>
            <w:r>
              <w:rPr>
                <w:rFonts w:ascii="Times New Roman" w:cs="Times New Roman" w:eastAsia="Times New Roman" w:hAnsi="Times New Roman"/>
                <w:sz w:val="13"/>
                <w:szCs w:val="13"/>
                <w:color w:val="0000FF"/>
              </w:rPr>
              <w:t>$0.001</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11,050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Optons</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19.76</w:t>
            </w:r>
          </w:p>
        </w:tc>
        <w:tc>
          <w:tcPr>
            <w:tcW w:w="114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0000FF"/>
              </w:rPr>
              <w:t>02/03/2011</w:t>
            </w:r>
          </w:p>
        </w:tc>
        <w:tc>
          <w:tcPr>
            <w:tcW w:w="1120" w:type="dxa"/>
            <w:vAlign w:val="bottom"/>
          </w:tcPr>
          <w:p>
            <w:pPr>
              <w:spacing w:after="0"/>
              <w:rPr>
                <w:sz w:val="12"/>
                <w:szCs w:val="12"/>
                <w:color w:val="auto"/>
              </w:rPr>
            </w:pPr>
          </w:p>
        </w:tc>
        <w:tc>
          <w:tcPr>
            <w:tcW w:w="84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0000FF"/>
              </w:rPr>
              <w:t>11,050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0000FF"/>
              </w:rPr>
              <w:t>02/03/2021</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0000FF"/>
              </w:rPr>
              <w:t>11,050</w:t>
            </w:r>
          </w:p>
        </w:tc>
        <w:tc>
          <w:tcPr>
            <w:tcW w:w="76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70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4,250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4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3"/>
                <w:szCs w:val="13"/>
                <w:color w:val="0000FF"/>
              </w:rPr>
              <w:t>02/03/2011</w:t>
            </w:r>
          </w:p>
        </w:tc>
        <w:tc>
          <w:tcPr>
            <w:tcW w:w="1120" w:type="dxa"/>
            <w:vAlign w:val="bottom"/>
          </w:tcPr>
          <w:p>
            <w:pPr>
              <w:spacing w:after="0"/>
              <w:rPr>
                <w:sz w:val="5"/>
                <w:szCs w:val="5"/>
                <w:color w:val="auto"/>
              </w:rPr>
            </w:pPr>
          </w:p>
        </w:tc>
        <w:tc>
          <w:tcPr>
            <w:tcW w:w="840" w:type="dxa"/>
            <w:vAlign w:val="bottom"/>
            <w:vMerge w:val="restart"/>
          </w:tcPr>
          <w:p>
            <w:pPr>
              <w:ind w:left="1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3"/>
                <w:szCs w:val="13"/>
                <w:color w:val="0000FF"/>
              </w:rPr>
              <w:t>4,250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7" w:lineRule="exact"/>
              <w:rPr>
                <w:sz w:val="20"/>
                <w:szCs w:val="20"/>
                <w:color w:val="auto"/>
              </w:rPr>
            </w:pPr>
            <w:r>
              <w:rPr>
                <w:rFonts w:ascii="Times New Roman" w:cs="Times New Roman" w:eastAsia="Times New Roman" w:hAnsi="Times New Roman"/>
                <w:sz w:val="13"/>
                <w:szCs w:val="13"/>
                <w:color w:val="0000FF"/>
              </w:rPr>
              <w:t>02/03/2021</w:t>
            </w:r>
          </w:p>
        </w:tc>
        <w:tc>
          <w:tcPr>
            <w:tcW w:w="70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line="147"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96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3"/>
                <w:szCs w:val="13"/>
                <w:color w:val="0000FF"/>
              </w:rPr>
              <w:t>4,250</w:t>
            </w:r>
          </w:p>
        </w:tc>
        <w:tc>
          <w:tcPr>
            <w:tcW w:w="760" w:type="dxa"/>
            <w:vAlign w:val="bottom"/>
            <w:vMerge w:val="restart"/>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Times New Roman" w:cs="Times New Roman" w:eastAsia="Times New Roman" w:hAnsi="Times New Roman"/>
          <w:sz w:val="13"/>
          <w:szCs w:val="13"/>
          <w:color w:val="0000FF"/>
        </w:rPr>
        <w:t>per share</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will vest in three equal annual installments, beginning on February 3, 2012. Vesting of some or all of the restricted stock may be accelerated upon or in connection with the occurrence of a "Change in Control" as such term is defined in agreement governing the grant of the restricted stock.</w:t>
      </w:r>
    </w:p>
    <w:p>
      <w:pPr>
        <w:spacing w:after="0" w:line="6" w:lineRule="exact"/>
        <w:rPr>
          <w:rFonts w:ascii="Times New Roman" w:cs="Times New Roman" w:eastAsia="Times New Roman" w:hAnsi="Times New Roman"/>
          <w:sz w:val="13"/>
          <w:szCs w:val="13"/>
          <w:color w:val="008000"/>
        </w:rPr>
      </w:pPr>
    </w:p>
    <w:p>
      <w:pPr>
        <w:ind w:left="40" w:right="300" w:firstLine="8"/>
        <w:spacing w:after="0" w:line="256"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 percent of the options will vest and become exercisable on February 3, 2012; an additional 20 percent of the options will vest and become exercisable on February 3, 2013; an additional 30 percent of the options will vest and become exercisable on February 3, 2014; and the remaining 40 percent of the options will vest and become exercisable on February 3, 2015. Vesting will be accelerated upon certain terminations of employment and upon a change in control (as defined in the ExlService Holdings, Inc. 2006 Omnibus Award Plan).</w:t>
      </w:r>
    </w:p>
    <w:p>
      <w:pPr>
        <w:spacing w:after="0" w:line="17" w:lineRule="exact"/>
        <w:rPr>
          <w:rFonts w:ascii="Times New Roman" w:cs="Times New Roman" w:eastAsia="Times New Roman" w:hAnsi="Times New Roman"/>
          <w:sz w:val="13"/>
          <w:szCs w:val="13"/>
          <w:color w:val="008000"/>
        </w:rPr>
      </w:pPr>
    </w:p>
    <w:p>
      <w:pPr>
        <w:ind w:left="40" w:right="340" w:firstLine="8"/>
        <w:spacing w:after="0" w:line="273"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 percent of restricted stock will vest on February 3, 2012; an additional 20 percent will vest on February 3, 2013; an additional 30 percent will vest on February 3, 2014; and the remaining 40 percent will vest on February 3, 2015. Vesting will be accelerated upon certain terminations of employment and upon a change in control (as defined in the ExlService Holdings, Inc. 2006 Omnibus Award Plan).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02/07/2011</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2019-12-16T15:41:27Z</dcterms:created>
  <dcterms:modified xsi:type="dcterms:W3CDTF">2019-12-16T15:41:27Z</dcterms:modified>
</cp:coreProperties>
</file>