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322820" cy="500824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2820" cy="50082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900"/>
          </w:cols>
          <w:pgMar w:left="240" w:top="226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HAJELA AMITABH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280 PARK AVENUE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jc w:val="center"/>
        <w:ind w:right="277"/>
        <w:spacing w:after="0"/>
        <w:rPr>
          <w:rFonts w:ascii="Arial" w:cs="Arial" w:eastAsia="Arial" w:hAnsi="Arial"/>
          <w:sz w:val="19"/>
          <w:szCs w:val="19"/>
          <w:color w:val="0000EE"/>
        </w:rPr>
      </w:pPr>
      <w:hyperlink r:id="rId13">
        <w:r>
          <w:rPr>
            <w:rFonts w:ascii="Arial" w:cs="Arial" w:eastAsia="Arial" w:hAnsi="Arial"/>
            <w:sz w:val="19"/>
            <w:szCs w:val="19"/>
            <w:u w:val="single" w:color="auto"/>
            <w:color w:val="0000EE"/>
          </w:rPr>
          <w:t>ExlService Holdings, Inc.</w:t>
        </w:r>
        <w:r>
          <w:rPr>
            <w:rFonts w:ascii="Arial" w:cs="Arial" w:eastAsia="Arial" w:hAnsi="Arial"/>
            <w:sz w:val="19"/>
            <w:szCs w:val="19"/>
            <w:color w:val="0000EE"/>
          </w:rPr>
          <w:t xml:space="preserve"> </w:t>
        </w:r>
      </w:hyperlink>
      <w:r>
        <w:rPr>
          <w:rFonts w:ascii="Arial" w:cs="Arial" w:eastAsia="Arial" w:hAnsi="Arial"/>
          <w:sz w:val="19"/>
          <w:szCs w:val="19"/>
          <w:color w:val="000000"/>
        </w:rPr>
        <w:t>[</w:t>
      </w:r>
      <w:r>
        <w:rPr>
          <w:rFonts w:ascii="Arial" w:cs="Arial" w:eastAsia="Arial" w:hAnsi="Arial"/>
          <w:sz w:val="19"/>
          <w:szCs w:val="19"/>
          <w:color w:val="0000EE"/>
        </w:rPr>
        <w:t xml:space="preserve"> </w:t>
      </w:r>
      <w:r>
        <w:rPr>
          <w:rFonts w:ascii="Arial" w:cs="Arial" w:eastAsia="Arial" w:hAnsi="Arial"/>
          <w:sz w:val="15"/>
          <w:szCs w:val="15"/>
          <w:color w:val="0000FF"/>
        </w:rPr>
        <w:t>EXLS</w:t>
      </w:r>
      <w:r>
        <w:rPr>
          <w:rFonts w:ascii="Arial" w:cs="Arial" w:eastAsia="Arial" w:hAnsi="Arial"/>
          <w:sz w:val="19"/>
          <w:szCs w:val="19"/>
          <w:color w:val="0000EE"/>
        </w:rPr>
        <w:t xml:space="preserve"> </w:t>
      </w:r>
      <w:r>
        <w:rPr>
          <w:rFonts w:ascii="Arial" w:cs="Arial" w:eastAsia="Arial" w:hAnsi="Arial"/>
          <w:sz w:val="19"/>
          <w:szCs w:val="19"/>
          <w:color w:val="000000"/>
        </w:rPr>
        <w:t>]</w:t>
      </w:r>
    </w:p>
    <w:p>
      <w:pPr>
        <w:spacing w:after="0" w:line="35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02/04/2010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6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72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VP &amp; Head of Global HR</w:t>
      </w:r>
    </w:p>
    <w:p>
      <w:pPr>
        <w:spacing w:after="0" w:line="31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463"/>
          </w:cols>
          <w:pgMar w:left="240" w:top="226" w:right="139" w:bottom="1440" w:gutter="0" w:footer="0" w:header="0"/>
          <w:type w:val="continuous"/>
        </w:sectPr>
      </w:pPr>
    </w:p>
    <w:p>
      <w:pPr>
        <w:spacing w:after="0" w:line="174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NEW YORK</w:t>
            </w:r>
          </w:p>
        </w:tc>
        <w:tc>
          <w:tcPr>
            <w:tcW w:w="10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NY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10017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0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440"/>
          </w:cols>
          <w:pgMar w:left="240" w:top="226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8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0" w:type="dxa"/>
            <w:vAlign w:val="bottom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5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18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09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Restricted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Stock,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6,000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jc w:val="right"/>
              <w:ind w:right="198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02/04/2010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1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500" w:type="dxa"/>
            <w:vAlign w:val="bottom"/>
            <w:vMerge w:val="restart"/>
          </w:tcPr>
          <w:p>
            <w:pPr>
              <w:ind w:left="1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6,000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4"/>
              </w:rPr>
              <w:t>02/04/2020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par value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980" w:type="dxa"/>
            <w:vAlign w:val="bottom"/>
            <w:vMerge w:val="restart"/>
          </w:tcPr>
          <w:p>
            <w:pPr>
              <w:ind w:left="3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6,000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3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$0.001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9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7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00FF"/>
        </w:rPr>
        <w:t>per share</w:t>
      </w:r>
    </w:p>
    <w:p>
      <w:pPr>
        <w:spacing w:after="0" w:line="9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40" w:right="280" w:firstLine="9"/>
        <w:spacing w:after="0" w:line="233" w:lineRule="auto"/>
        <w:tabs>
          <w:tab w:leader="none" w:pos="175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10% of the restricted stock will vest on February 4, 2011, an additional 20% will vest on February 4, 2012, an additional 30% will vest on February 4, 2013, and the remaining 40% will vest on February 4, 2014. Vesting will be accelerated upon certain terminations of employment and upon a change in control (as defined in the ExlService Holdings, Inc. 2006 Omnibus Award Plan and modified by the award agreement).</w:t>
      </w:r>
    </w:p>
    <w:p>
      <w:pPr>
        <w:spacing w:after="0" w:line="23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Mr. Oseni is the Company's Head of Administration and Accounts.</w:t>
      </w:r>
    </w:p>
    <w:p>
      <w:pPr>
        <w:ind w:left="6860"/>
        <w:spacing w:after="0" w:line="18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 xml:space="preserve">/s/ Lazbart Oseni, Attorney-in-  </w:t>
      </w:r>
      <w:r>
        <w:rPr>
          <w:rFonts w:ascii="Arial" w:cs="Arial" w:eastAsia="Arial" w:hAnsi="Arial"/>
          <w:sz w:val="34"/>
          <w:szCs w:val="34"/>
          <w:color w:val="0000FF"/>
          <w:vertAlign w:val="subscript"/>
        </w:rPr>
        <w:t>02/08/2010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-27940</wp:posOffset>
            </wp:positionV>
            <wp:extent cx="1374775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477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-22860</wp:posOffset>
            </wp:positionV>
            <wp:extent cx="191770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177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5810885</wp:posOffset>
            </wp:positionH>
            <wp:positionV relativeFrom="paragraph">
              <wp:posOffset>-91440</wp:posOffset>
            </wp:positionV>
            <wp:extent cx="508000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80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680" w:firstLine="9"/>
        <w:spacing w:after="0" w:line="350" w:lineRule="auto"/>
        <w:tabs>
          <w:tab w:leader="none" w:pos="183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6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424846" TargetMode="External"/><Relationship Id="rId13" Type="http://schemas.openxmlformats.org/officeDocument/2006/relationships/hyperlink" Target="http://www.sec.gov/cgi-bin/browse-edgar?action=getcompany&amp;CIK=000129798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2019-12-16T14:27:13Z</dcterms:created>
  <dcterms:modified xsi:type="dcterms:W3CDTF">2019-12-16T14:27:13Z</dcterms:modified>
</cp:coreProperties>
</file>