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51454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514540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34290"/>
                    </a:xfrm>
                    <a:prstGeom prst="rect">
                      <a:avLst/>
                    </a:prstGeom>
                    <a:noFill/>
                  </pic:spPr>
                </pic:pic>
              </a:graphicData>
            </a:graphic>
          </wp:anchor>
        </w:drawing>
        <w:t>UNITED STATES</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AND EXCHANGE COMMISSION</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Sections 13 or 15(d) of the</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327" w:lineRule="exact"/>
        <w:rPr>
          <w:sz w:val="24"/>
          <w:szCs w:val="24"/>
          <w:color w:val="auto"/>
        </w:rPr>
      </w:pPr>
    </w:p>
    <w:p>
      <w:pPr>
        <w:ind w:left="1640"/>
        <w:spacing w:after="0"/>
        <w:rPr>
          <w:sz w:val="20"/>
          <w:szCs w:val="20"/>
          <w:color w:val="auto"/>
        </w:rPr>
      </w:pPr>
      <w:r>
        <w:rPr>
          <w:rFonts w:ascii="Arial" w:cs="Arial" w:eastAsia="Arial" w:hAnsi="Arial"/>
          <w:sz w:val="15"/>
          <w:szCs w:val="15"/>
          <w:color w:val="auto"/>
        </w:rPr>
        <w:t>Date of Report (Date of earliest event reported): September 10, 2007</w:t>
      </w:r>
    </w:p>
    <w:p>
      <w:pPr>
        <w:spacing w:after="0" w:line="349"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EXLSERVICE HOLDINGS, INC.</w:t>
      </w:r>
    </w:p>
    <w:p>
      <w:pPr>
        <w:spacing w:after="0" w:line="23" w:lineRule="exact"/>
        <w:rPr>
          <w:sz w:val="24"/>
          <w:szCs w:val="24"/>
          <w:color w:val="auto"/>
        </w:rPr>
      </w:pPr>
    </w:p>
    <w:p>
      <w:pPr>
        <w:ind w:left="22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19"/>
          </w:cols>
          <w:pgMar w:left="240" w:top="1030" w:right="1440" w:bottom="1440" w:gutter="0" w:footer="0" w:header="0"/>
        </w:sectPr>
      </w:pPr>
    </w:p>
    <w:p>
      <w:pPr>
        <w:spacing w:after="0" w:line="200" w:lineRule="exact"/>
        <w:rPr>
          <w:sz w:val="24"/>
          <w:szCs w:val="24"/>
          <w:color w:val="auto"/>
        </w:rPr>
      </w:pPr>
    </w:p>
    <w:p>
      <w:pPr>
        <w:spacing w:after="0" w:line="221" w:lineRule="exact"/>
        <w:rPr>
          <w:sz w:val="24"/>
          <w:szCs w:val="24"/>
          <w:color w:val="auto"/>
        </w:rPr>
      </w:pPr>
    </w:p>
    <w:p>
      <w:pPr>
        <w:ind w:left="1000"/>
        <w:spacing w:after="0"/>
        <w:rPr>
          <w:sz w:val="20"/>
          <w:szCs w:val="20"/>
          <w:color w:val="auto"/>
        </w:rPr>
      </w:pPr>
      <w:r>
        <w:rPr>
          <w:rFonts w:ascii="Arial" w:cs="Arial" w:eastAsia="Arial" w:hAnsi="Arial"/>
          <w:sz w:val="18"/>
          <w:szCs w:val="18"/>
          <w:b w:val="1"/>
          <w:bCs w:val="1"/>
          <w:color w:val="auto"/>
        </w:rPr>
        <w:t>Delaware</w:t>
      </w:r>
    </w:p>
    <w:p>
      <w:pPr>
        <w:spacing w:after="0" w:line="21" w:lineRule="exact"/>
        <w:rPr>
          <w:sz w:val="24"/>
          <w:szCs w:val="24"/>
          <w:color w:val="auto"/>
        </w:rPr>
      </w:pPr>
    </w:p>
    <w:p>
      <w:pPr>
        <w:ind w:left="4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540"/>
        <w:spacing w:after="0"/>
        <w:rPr>
          <w:sz w:val="20"/>
          <w:szCs w:val="20"/>
          <w:color w:val="auto"/>
        </w:rPr>
      </w:pPr>
      <w:r>
        <w:rPr>
          <w:rFonts w:ascii="Arial" w:cs="Arial" w:eastAsia="Arial" w:hAnsi="Arial"/>
          <w:sz w:val="18"/>
          <w:szCs w:val="18"/>
          <w:b w:val="1"/>
          <w:bCs w:val="1"/>
          <w:color w:val="auto"/>
        </w:rPr>
        <w:t>001-33089</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300"/>
        <w:spacing w:after="0"/>
        <w:rPr>
          <w:sz w:val="20"/>
          <w:szCs w:val="20"/>
          <w:color w:val="auto"/>
        </w:rPr>
      </w:pPr>
      <w:r>
        <w:rPr>
          <w:rFonts w:ascii="Arial" w:cs="Arial" w:eastAsia="Arial" w:hAnsi="Arial"/>
          <w:sz w:val="18"/>
          <w:szCs w:val="18"/>
          <w:b w:val="1"/>
          <w:bCs w:val="1"/>
          <w:color w:val="auto"/>
        </w:rPr>
        <w:t>82-0572194</w:t>
      </w:r>
    </w:p>
    <w:p>
      <w:pPr>
        <w:spacing w:after="0" w:line="21" w:lineRule="exact"/>
        <w:rPr>
          <w:sz w:val="24"/>
          <w:szCs w:val="24"/>
          <w:color w:val="auto"/>
        </w:rPr>
      </w:pPr>
    </w:p>
    <w:p>
      <w:pPr>
        <w:ind w:left="100"/>
        <w:spacing w:after="0"/>
        <w:rPr>
          <w:sz w:val="20"/>
          <w:szCs w:val="20"/>
          <w:color w:val="auto"/>
        </w:rPr>
      </w:pPr>
      <w:r>
        <w:rPr>
          <w:rFonts w:ascii="Arial" w:cs="Arial" w:eastAsia="Arial" w:hAnsi="Arial"/>
          <w:sz w:val="16"/>
          <w:szCs w:val="16"/>
          <w:color w:val="auto"/>
        </w:rPr>
        <w:t>(I.R.S. Employer</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No.)</w:t>
      </w:r>
    </w:p>
    <w:p>
      <w:pPr>
        <w:spacing w:after="0" w:line="222" w:lineRule="exact"/>
        <w:rPr>
          <w:sz w:val="24"/>
          <w:szCs w:val="24"/>
          <w:color w:val="auto"/>
        </w:rPr>
      </w:pPr>
    </w:p>
    <w:p>
      <w:pPr>
        <w:sectPr>
          <w:pgSz w:w="11900" w:h="16838" w:orient="portrait"/>
          <w:cols w:equalWidth="0" w:num="3">
            <w:col w:w="2620" w:space="720"/>
            <w:col w:w="2200" w:space="720"/>
            <w:col w:w="3959"/>
          </w:cols>
          <w:pgMar w:left="240" w:top="1030" w:right="1440" w:bottom="1440" w:gutter="0" w:footer="0" w:header="0"/>
          <w:type w:val="continuous"/>
        </w:sectPr>
      </w:pPr>
    </w:p>
    <w:p>
      <w:pPr>
        <w:spacing w:after="0" w:line="283" w:lineRule="exact"/>
        <w:rPr>
          <w:sz w:val="24"/>
          <w:szCs w:val="24"/>
          <w:color w:val="auto"/>
        </w:rPr>
      </w:pPr>
    </w:p>
    <w:p>
      <w:pPr>
        <w:ind w:left="3600"/>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3"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277-7100</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NOT APPLICABLE</w:t>
      </w:r>
    </w:p>
    <w:p>
      <w:pPr>
        <w:spacing w:after="0" w:line="231"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(Former name or address, if changed since last report)</w:t>
      </w:r>
    </w:p>
    <w:p>
      <w:pPr>
        <w:spacing w:after="0" w:line="200" w:lineRule="exact"/>
        <w:rPr>
          <w:sz w:val="24"/>
          <w:szCs w:val="24"/>
          <w:color w:val="auto"/>
        </w:rPr>
      </w:pPr>
    </w:p>
    <w:p>
      <w:pPr>
        <w:spacing w:after="0" w:line="268" w:lineRule="exact"/>
        <w:rPr>
          <w:sz w:val="24"/>
          <w:szCs w:val="24"/>
          <w:color w:val="auto"/>
        </w:rPr>
      </w:pPr>
    </w:p>
    <w:p>
      <w:pPr>
        <w:ind w:right="2119" w:firstLine="324"/>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2" w:lineRule="exact"/>
        <w:rPr>
          <w:sz w:val="24"/>
          <w:szCs w:val="24"/>
          <w:color w:val="auto"/>
        </w:rPr>
      </w:pPr>
    </w:p>
    <w:p>
      <w:pPr>
        <w:ind w:left="740" w:hanging="408"/>
        <w:spacing w:after="0"/>
        <w:tabs>
          <w:tab w:leader="none" w:pos="740"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87" w:lineRule="exact"/>
        <w:rPr>
          <w:rFonts w:ascii="Arial" w:cs="Arial" w:eastAsia="Arial" w:hAnsi="Arial"/>
          <w:sz w:val="22"/>
          <w:szCs w:val="22"/>
          <w:color w:val="auto"/>
        </w:rPr>
      </w:pPr>
    </w:p>
    <w:p>
      <w:pPr>
        <w:ind w:left="740" w:hanging="408"/>
        <w:spacing w:after="0"/>
        <w:tabs>
          <w:tab w:leader="none" w:pos="740"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44" w:lineRule="exact"/>
        <w:rPr>
          <w:rFonts w:ascii="Arial" w:cs="Arial" w:eastAsia="Arial" w:hAnsi="Arial"/>
          <w:sz w:val="22"/>
          <w:szCs w:val="22"/>
          <w:color w:val="auto"/>
        </w:rPr>
      </w:pPr>
    </w:p>
    <w:p>
      <w:pPr>
        <w:ind w:left="340" w:right="2559" w:hanging="8"/>
        <w:spacing w:after="0" w:line="228" w:lineRule="auto"/>
        <w:tabs>
          <w:tab w:leader="none" w:pos="813"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65" w:lineRule="exact"/>
        <w:rPr>
          <w:rFonts w:ascii="Arial" w:cs="Arial" w:eastAsia="Arial" w:hAnsi="Arial"/>
          <w:sz w:val="22"/>
          <w:szCs w:val="22"/>
          <w:color w:val="auto"/>
        </w:rPr>
      </w:pPr>
    </w:p>
    <w:p>
      <w:pPr>
        <w:ind w:left="340" w:right="2579" w:hanging="8"/>
        <w:spacing w:after="0" w:line="228" w:lineRule="auto"/>
        <w:tabs>
          <w:tab w:leader="none" w:pos="813" w:val="left"/>
        </w:tabs>
        <w:numPr>
          <w:ilvl w:val="0"/>
          <w:numId w:val="1"/>
        </w:numPr>
        <w:rPr>
          <w:rFonts w:ascii="Arial" w:cs="Arial" w:eastAsia="Arial" w:hAnsi="Arial"/>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514540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51454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1029335</wp:posOffset>
            </wp:positionV>
            <wp:extent cx="516699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030" w:right="1440" w:bottom="1440" w:gutter="0" w:footer="0" w:header="0"/>
          <w:type w:val="continuous"/>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u w:val="single" w:color="auto"/>
          <w:color w:val="auto"/>
        </w:rPr>
        <w:t>Entry Into a Material Definitive Agreement</w:t>
      </w:r>
    </w:p>
    <w:p>
      <w:pPr>
        <w:spacing w:after="0" w:line="231" w:lineRule="exact"/>
        <w:rPr>
          <w:sz w:val="20"/>
          <w:szCs w:val="20"/>
          <w:color w:val="auto"/>
        </w:rPr>
      </w:pPr>
    </w:p>
    <w:p>
      <w:pPr>
        <w:jc w:val="both"/>
        <w:ind w:right="2099" w:firstLine="1097"/>
        <w:spacing w:after="0" w:line="289" w:lineRule="auto"/>
        <w:rPr>
          <w:sz w:val="20"/>
          <w:szCs w:val="20"/>
          <w:color w:val="auto"/>
        </w:rPr>
      </w:pPr>
      <w:r>
        <w:rPr>
          <w:rFonts w:ascii="Arial" w:cs="Arial" w:eastAsia="Arial" w:hAnsi="Arial"/>
          <w:sz w:val="16"/>
          <w:szCs w:val="16"/>
          <w:color w:val="auto"/>
        </w:rPr>
        <w:t>On September 10, 2007, ExlService Holdings, Inc. (the “Company”) entered into a letter agreement (the “Letter Agreement”), effective as of September 6, 2007, with Norwich Union, one of the Company’s major clients, amending the terms of exercise of Norwich Union’s option (the “Transfer Option”) to require the Company to transfer the relevant project and operations of its facility at Pune, India, to Norwich Union. Pursuant to the Letter Agreement, the earliest date of exercise of the Transfer Option has been extended from October 1, 2007 to January 1, 2008. As a result, if the Transfer Option is exercised, the earliest date by which the Company would be required to transfer the Pune, India, facility to Norwich Union, is April 2, 2008. The remaining terms of our agreements with Norwich Union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815975</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638" w:right="1440" w:bottom="1440" w:gutter="0" w:footer="0" w:header="0"/>
        </w:sectPr>
      </w:pPr>
    </w:p>
    <w:bookmarkStart w:id="2" w:name="page3"/>
    <w:bookmarkEnd w:id="2"/>
    <w:p>
      <w:pPr>
        <w:ind w:left="350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27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780" w:type="dxa"/>
            <w:vAlign w:val="bottom"/>
          </w:tcPr>
          <w:p>
            <w:pPr>
              <w:spacing w:after="0"/>
              <w:rPr>
                <w:sz w:val="19"/>
                <w:szCs w:val="19"/>
                <w:color w:val="auto"/>
              </w:rPr>
            </w:pPr>
          </w:p>
        </w:tc>
        <w:tc>
          <w:tcPr>
            <w:tcW w:w="4400" w:type="dxa"/>
            <w:vAlign w:val="bottom"/>
            <w:gridSpan w:val="3"/>
          </w:tcPr>
          <w:p>
            <w:pPr>
              <w:ind w:left="920"/>
              <w:spacing w:after="0"/>
              <w:rPr>
                <w:sz w:val="20"/>
                <w:szCs w:val="20"/>
                <w:color w:val="auto"/>
              </w:rPr>
            </w:pPr>
            <w:r>
              <w:rPr>
                <w:rFonts w:ascii="Arial" w:cs="Arial" w:eastAsia="Arial" w:hAnsi="Arial"/>
                <w:sz w:val="18"/>
                <w:szCs w:val="18"/>
                <w:b w:val="1"/>
                <w:bCs w:val="1"/>
                <w:color w:val="auto"/>
              </w:rPr>
              <w:t>EXLSERVICE HOLDINGS, INC.</w:t>
            </w:r>
          </w:p>
        </w:tc>
      </w:tr>
      <w:tr>
        <w:trPr>
          <w:trHeight w:val="222"/>
        </w:trPr>
        <w:tc>
          <w:tcPr>
            <w:tcW w:w="2780" w:type="dxa"/>
            <w:vAlign w:val="bottom"/>
          </w:tcPr>
          <w:p>
            <w:pPr>
              <w:spacing w:after="0"/>
              <w:rPr>
                <w:sz w:val="19"/>
                <w:szCs w:val="19"/>
                <w:color w:val="auto"/>
              </w:rPr>
            </w:pPr>
          </w:p>
        </w:tc>
        <w:tc>
          <w:tcPr>
            <w:tcW w:w="4400" w:type="dxa"/>
            <w:vAlign w:val="bottom"/>
            <w:gridSpan w:val="3"/>
          </w:tcPr>
          <w:p>
            <w:pPr>
              <w:ind w:left="1140"/>
              <w:spacing w:after="0"/>
              <w:rPr>
                <w:sz w:val="20"/>
                <w:szCs w:val="20"/>
                <w:color w:val="auto"/>
              </w:rPr>
            </w:pPr>
            <w:r>
              <w:rPr>
                <w:rFonts w:ascii="Arial" w:cs="Arial" w:eastAsia="Arial" w:hAnsi="Arial"/>
                <w:sz w:val="18"/>
                <w:szCs w:val="18"/>
                <w:color w:val="auto"/>
              </w:rPr>
              <w:t>(Registrant)</w:t>
            </w:r>
          </w:p>
        </w:tc>
      </w:tr>
      <w:tr>
        <w:trPr>
          <w:trHeight w:val="664"/>
        </w:trPr>
        <w:tc>
          <w:tcPr>
            <w:tcW w:w="2780" w:type="dxa"/>
            <w:vAlign w:val="bottom"/>
          </w:tcPr>
          <w:p>
            <w:pPr>
              <w:spacing w:after="0"/>
              <w:rPr>
                <w:sz w:val="20"/>
                <w:szCs w:val="20"/>
                <w:color w:val="auto"/>
              </w:rPr>
            </w:pPr>
            <w:r>
              <w:rPr>
                <w:rFonts w:ascii="Arial" w:cs="Arial" w:eastAsia="Arial" w:hAnsi="Arial"/>
                <w:sz w:val="18"/>
                <w:szCs w:val="18"/>
                <w:color w:val="auto"/>
              </w:rPr>
              <w:t>Date: September 10, 2007</w:t>
            </w:r>
          </w:p>
        </w:tc>
        <w:tc>
          <w:tcPr>
            <w:tcW w:w="4400" w:type="dxa"/>
            <w:vAlign w:val="bottom"/>
            <w:gridSpan w:val="3"/>
          </w:tcPr>
          <w:p>
            <w:pPr>
              <w:ind w:left="920"/>
              <w:spacing w:after="0"/>
              <w:rPr>
                <w:sz w:val="20"/>
                <w:szCs w:val="20"/>
                <w:color w:val="auto"/>
              </w:rPr>
            </w:pPr>
            <w:r>
              <w:rPr>
                <w:rFonts w:ascii="Arial" w:cs="Arial" w:eastAsia="Arial" w:hAnsi="Arial"/>
                <w:sz w:val="18"/>
                <w:szCs w:val="18"/>
                <w:color w:val="auto"/>
              </w:rPr>
              <w:t>By: /s/ Amit Shashank</w:t>
            </w:r>
          </w:p>
        </w:tc>
      </w:tr>
      <w:tr>
        <w:trPr>
          <w:trHeight w:val="228"/>
        </w:trPr>
        <w:tc>
          <w:tcPr>
            <w:tcW w:w="27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Amit Shashank</w:t>
            </w:r>
          </w:p>
        </w:tc>
        <w:tc>
          <w:tcPr>
            <w:tcW w:w="220" w:type="dxa"/>
            <w:vAlign w:val="bottom"/>
          </w:tcPr>
          <w:p>
            <w:pPr>
              <w:spacing w:after="0"/>
              <w:rPr>
                <w:sz w:val="19"/>
                <w:szCs w:val="19"/>
                <w:color w:val="auto"/>
              </w:rPr>
            </w:pPr>
          </w:p>
        </w:tc>
      </w:tr>
      <w:tr>
        <w:trPr>
          <w:trHeight w:val="216"/>
        </w:trPr>
        <w:tc>
          <w:tcPr>
            <w:tcW w:w="2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w w:val="90"/>
              </w:rPr>
              <w:t>Title:  Vice President, General Counsel and</w:t>
            </w:r>
          </w:p>
        </w:tc>
      </w:tr>
      <w:tr>
        <w:trPr>
          <w:trHeight w:val="222"/>
        </w:trPr>
        <w:tc>
          <w:tcPr>
            <w:tcW w:w="27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140" w:type="dxa"/>
            <w:vAlign w:val="bottom"/>
            <w:gridSpan w:val="2"/>
          </w:tcPr>
          <w:p>
            <w:pPr>
              <w:ind w:left="580"/>
              <w:spacing w:after="0"/>
              <w:rPr>
                <w:sz w:val="20"/>
                <w:szCs w:val="20"/>
                <w:color w:val="auto"/>
              </w:rPr>
            </w:pPr>
            <w:r>
              <w:rPr>
                <w:rFonts w:ascii="Arial" w:cs="Arial" w:eastAsia="Arial" w:hAnsi="Arial"/>
                <w:sz w:val="18"/>
                <w:szCs w:val="18"/>
                <w:color w:val="auto"/>
              </w:rPr>
              <w:t>Corporate Secretary</w:t>
            </w:r>
          </w:p>
        </w:tc>
      </w:tr>
    </w:tbl>
    <w:p>
      <w:pPr>
        <w:spacing w:after="0" w:line="1" w:lineRule="exact"/>
        <w:rPr>
          <w:sz w:val="20"/>
          <w:szCs w:val="20"/>
          <w:color w:val="auto"/>
        </w:rPr>
      </w:pPr>
    </w:p>
    <w:sectPr>
      <w:pgSz w:w="11900" w:h="16838" w:orient="portrait"/>
      <w:cols w:equalWidth="0" w:num="1">
        <w:col w:w="10219"/>
      </w:cols>
      <w:pgMar w:left="240" w:top="6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2019-12-15T08:35:29Z</dcterms:created>
  <dcterms:modified xsi:type="dcterms:W3CDTF">2019-12-15T08:35:29Z</dcterms:modified>
</cp:coreProperties>
</file>