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132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327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57"/>
        <w:spacing w:after="0"/>
        <w:rPr>
          <w:sz w:val="20"/>
          <w:szCs w:val="20"/>
          <w:color w:val="auto"/>
        </w:rPr>
      </w:pPr>
      <w:r>
        <w:rPr>
          <w:rFonts w:ascii="Times New Roman" w:cs="Times New Roman" w:eastAsia="Times New Roman" w:hAnsi="Times New Roman"/>
          <w:sz w:val="17"/>
          <w:szCs w:val="17"/>
          <w:color w:val="0000FF"/>
        </w:rPr>
        <w:t>President &amp; Head of Insurance</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7"/>
          </w:tcPr>
          <w:p>
            <w:pPr>
              <w:ind w:left="1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3"/>
          </w:tcPr>
          <w:p>
            <w:pPr>
              <w:jc w:val="right"/>
              <w:ind w:right="121"/>
              <w:spacing w:after="0"/>
              <w:rPr>
                <w:sz w:val="20"/>
                <w:szCs w:val="20"/>
                <w:color w:val="auto"/>
              </w:rPr>
            </w:pPr>
            <w:r>
              <w:rPr>
                <w:rFonts w:ascii="Times New Roman" w:cs="Times New Roman" w:eastAsia="Times New Roman" w:hAnsi="Times New Roman"/>
                <w:sz w:val="17"/>
                <w:szCs w:val="17"/>
                <w:color w:val="0000FF"/>
              </w:rPr>
              <w:t>09/01/2024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40,610</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141,476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80" w:type="dxa"/>
            <w:vAlign w:val="bottom"/>
            <w:tcBorders>
              <w:bottom w:val="single" w:sz="8" w:color="2C2C2C"/>
            </w:tcBorders>
            <w:gridSpan w:val="6"/>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21"/>
              <w:spacing w:after="0"/>
              <w:rPr>
                <w:sz w:val="20"/>
                <w:szCs w:val="20"/>
                <w:color w:val="auto"/>
              </w:rPr>
            </w:pPr>
            <w:r>
              <w:rPr>
                <w:rFonts w:ascii="Times New Roman" w:cs="Times New Roman" w:eastAsia="Times New Roman" w:hAnsi="Times New Roman"/>
                <w:sz w:val="17"/>
                <w:szCs w:val="17"/>
                <w:color w:val="0000FF"/>
              </w:rPr>
              <w:t>09/03/2024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15,838</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36.54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125,638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221"/>
              <w:spacing w:after="0" w:line="284" w:lineRule="exact"/>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40,610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09/01/2024</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40,610</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September 1, 2024.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 2021, the reporting person was granted 60,905 restricted stock units, after adjustment for the 5-for-1 forward stock split, effective August 1, 2023, vesting in two installment installments beginning on the second anniversary of the grant date. 33% of the restricted stock units became vested on September 1, 2023 and the remaining balance of 67% of the restricted stock units became vested on September 1,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Ajay Ayyappan, Attorney-</w:t>
            </w:r>
          </w:p>
        </w:tc>
        <w:tc>
          <w:tcPr>
            <w:tcW w:w="2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09/04/2024</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2024-09-04T20:50:46Z</dcterms:created>
  <dcterms:modified xsi:type="dcterms:W3CDTF">2024-09-04T20:50:46Z</dcterms:modified>
</cp:coreProperties>
</file>