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49536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495363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Geraghty Patrick</w:t>
              </w:r>
            </w:hyperlink>
          </w:p>
        </w:tc>
        <w:tc>
          <w:tcPr>
            <w:tcW w:w="1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ExlService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EXLS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6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0" w:type="dxa"/>
            <w:vAlign w:val="bottom"/>
            <w:gridSpan w:val="3"/>
            <w:vMerge w:val="continue"/>
          </w:tcPr>
          <w:p>
            <w:pPr>
              <w:spacing w:after="0"/>
              <w:rPr>
                <w:sz w:val="5"/>
                <w:szCs w:val="5"/>
                <w:color w:val="auto"/>
              </w:rPr>
            </w:pPr>
          </w:p>
        </w:tc>
        <w:tc>
          <w:tcPr>
            <w:tcW w:w="16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160" w:type="dxa"/>
            <w:vAlign w:val="bottom"/>
            <w:tcBorders>
              <w:top w:val="single" w:sz="8" w:color="0000EE"/>
            </w:tcBorders>
          </w:tcPr>
          <w:p>
            <w:pPr>
              <w:spacing w:after="0"/>
              <w:rPr>
                <w:sz w:val="5"/>
                <w:szCs w:val="5"/>
                <w:color w:val="auto"/>
              </w:rPr>
            </w:pPr>
          </w:p>
        </w:tc>
        <w:tc>
          <w:tcPr>
            <w:tcW w:w="160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640" w:type="dxa"/>
            <w:vAlign w:val="bottom"/>
            <w:tcBorders>
              <w:top w:val="single" w:sz="8" w:color="0000EE"/>
            </w:tcBorders>
          </w:tcPr>
          <w:p>
            <w:pPr>
              <w:spacing w:after="0"/>
              <w:rPr>
                <w:sz w:val="6"/>
                <w:szCs w:val="6"/>
                <w:color w:val="auto"/>
              </w:rPr>
            </w:pPr>
          </w:p>
        </w:tc>
        <w:tc>
          <w:tcPr>
            <w:tcW w:w="580" w:type="dxa"/>
            <w:vAlign w:val="bottom"/>
          </w:tcPr>
          <w:p>
            <w:pPr>
              <w:spacing w:after="0"/>
              <w:rPr>
                <w:sz w:val="6"/>
                <w:szCs w:val="6"/>
                <w:color w:val="auto"/>
              </w:rPr>
            </w:pPr>
          </w:p>
        </w:tc>
        <w:tc>
          <w:tcPr>
            <w:tcW w:w="16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0" w:type="dxa"/>
            <w:vAlign w:val="bottom"/>
          </w:tcPr>
          <w:p>
            <w:pPr>
              <w:spacing w:after="0"/>
              <w:rPr>
                <w:sz w:val="6"/>
                <w:szCs w:val="6"/>
                <w:color w:val="auto"/>
              </w:rPr>
            </w:pPr>
          </w:p>
        </w:tc>
        <w:tc>
          <w:tcPr>
            <w:tcW w:w="216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580" w:type="dxa"/>
            <w:vAlign w:val="bottom"/>
            <w:tcBorders>
              <w:top w:val="single" w:sz="8" w:color="EEEEEE"/>
            </w:tcBorders>
          </w:tcPr>
          <w:p>
            <w:pPr>
              <w:spacing w:after="0"/>
              <w:rPr>
                <w:sz w:val="2"/>
                <w:szCs w:val="2"/>
                <w:color w:val="auto"/>
              </w:rPr>
            </w:pPr>
          </w:p>
        </w:tc>
        <w:tc>
          <w:tcPr>
            <w:tcW w:w="1620" w:type="dxa"/>
            <w:vAlign w:val="bottom"/>
            <w:tcBorders>
              <w:top w:val="single" w:sz="8" w:color="EEEEEE"/>
            </w:tcBorders>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2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620" w:type="dxa"/>
            <w:vAlign w:val="bottom"/>
            <w:vMerge w:val="restart"/>
          </w:tcPr>
          <w:p>
            <w:pPr>
              <w:ind w:left="440"/>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60" w:type="dxa"/>
            <w:vAlign w:val="bottom"/>
          </w:tcPr>
          <w:p>
            <w:pPr>
              <w:ind w:left="60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1620" w:type="dxa"/>
            <w:vAlign w:val="bottom"/>
            <w:vMerge w:val="continue"/>
          </w:tcPr>
          <w:p>
            <w:pPr>
              <w:spacing w:after="0"/>
              <w:rPr>
                <w:sz w:val="8"/>
                <w:szCs w:val="8"/>
                <w:color w:val="auto"/>
              </w:rPr>
            </w:pPr>
          </w:p>
        </w:tc>
        <w:tc>
          <w:tcPr>
            <w:tcW w:w="2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10/15/2025</w:t>
            </w:r>
          </w:p>
        </w:tc>
        <w:tc>
          <w:tcPr>
            <w:tcW w:w="160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EXLSERVICE HOLDINGS, INC.</w:t>
            </w:r>
          </w:p>
        </w:tc>
        <w:tc>
          <w:tcPr>
            <w:tcW w:w="2320" w:type="dxa"/>
            <w:vAlign w:val="bottom"/>
            <w:gridSpan w:val="3"/>
            <w:vMerge w:val="continue"/>
          </w:tcPr>
          <w:p>
            <w:pPr>
              <w:spacing w:after="0"/>
              <w:rPr>
                <w:sz w:val="10"/>
                <w:szCs w:val="10"/>
                <w:color w:val="auto"/>
              </w:rPr>
            </w:pPr>
          </w:p>
        </w:tc>
        <w:tc>
          <w:tcPr>
            <w:tcW w:w="1600" w:type="dxa"/>
            <w:vAlign w:val="bottom"/>
          </w:tcPr>
          <w:p>
            <w:pPr>
              <w:spacing w:after="0"/>
              <w:rPr>
                <w:sz w:val="10"/>
                <w:szCs w:val="10"/>
                <w:color w:val="auto"/>
              </w:rPr>
            </w:pPr>
          </w:p>
        </w:tc>
        <w:tc>
          <w:tcPr>
            <w:tcW w:w="186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20" w:type="dxa"/>
            <w:vAlign w:val="bottom"/>
            <w:gridSpan w:val="4"/>
            <w:vMerge w:val="continue"/>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62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320 PARK AVENUE, 29TH FLOOR</w:t>
            </w:r>
          </w:p>
        </w:tc>
        <w:tc>
          <w:tcPr>
            <w:tcW w:w="100" w:type="dxa"/>
            <w:vAlign w:val="bottom"/>
          </w:tcPr>
          <w:p>
            <w:pPr>
              <w:spacing w:after="0"/>
              <w:rPr>
                <w:sz w:val="12"/>
                <w:szCs w:val="12"/>
                <w:color w:val="auto"/>
              </w:rPr>
            </w:pPr>
          </w:p>
        </w:tc>
        <w:tc>
          <w:tcPr>
            <w:tcW w:w="60" w:type="dxa"/>
            <w:vAlign w:val="bottom"/>
            <w:tcBorders>
              <w:bottom w:val="single" w:sz="8" w:color="2C2C2C"/>
            </w:tcBorders>
          </w:tcPr>
          <w:p>
            <w:pPr>
              <w:spacing w:after="0"/>
              <w:rPr>
                <w:sz w:val="12"/>
                <w:szCs w:val="12"/>
                <w:color w:val="auto"/>
              </w:rPr>
            </w:pPr>
          </w:p>
        </w:tc>
        <w:tc>
          <w:tcPr>
            <w:tcW w:w="2160" w:type="dxa"/>
            <w:vAlign w:val="bottom"/>
            <w:tcBorders>
              <w:bottom w:val="single" w:sz="8" w:color="2C2C2C"/>
            </w:tcBorders>
          </w:tcPr>
          <w:p>
            <w:pPr>
              <w:spacing w:after="0"/>
              <w:rPr>
                <w:sz w:val="12"/>
                <w:szCs w:val="12"/>
                <w:color w:val="auto"/>
              </w:rPr>
            </w:pPr>
          </w:p>
        </w:tc>
        <w:tc>
          <w:tcPr>
            <w:tcW w:w="160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3620" w:type="dxa"/>
            <w:vAlign w:val="bottom"/>
            <w:gridSpan w:val="4"/>
            <w:vMerge w:val="continue"/>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2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10022</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8" w:lineRule="exact"/>
        <w:rPr>
          <w:sz w:val="20"/>
          <w:szCs w:val="20"/>
          <w:color w:val="auto"/>
        </w:rPr>
      </w:pPr>
    </w:p>
    <w:p>
      <w:pPr>
        <w:sectPr>
          <w:pgSz w:w="11900" w:h="16838" w:orient="portrait"/>
          <w:cols w:equalWidth="0" w:num="2">
            <w:col w:w="7540" w:space="720"/>
            <w:col w:w="282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7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520" w:type="dxa"/>
            <w:vAlign w:val="bottom"/>
          </w:tcPr>
          <w:p>
            <w:pPr>
              <w:spacing w:after="0"/>
              <w:rPr>
                <w:sz w:val="11"/>
                <w:szCs w:val="11"/>
                <w:color w:val="auto"/>
              </w:rPr>
            </w:pPr>
          </w:p>
        </w:tc>
        <w:tc>
          <w:tcPr>
            <w:tcW w:w="1800" w:type="dxa"/>
            <w:vAlign w:val="bottom"/>
          </w:tcPr>
          <w:p>
            <w:pPr>
              <w:ind w:left="780"/>
              <w:spacing w:after="0" w:line="129"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8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ind w:left="78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5)</w:t>
            </w: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6"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2"/>
                <w:szCs w:val="12"/>
                <w:color w:val="auto"/>
              </w:rPr>
            </w:pP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260" w:type="dxa"/>
            <w:vAlign w:val="bottom"/>
          </w:tcPr>
          <w:p>
            <w:pPr>
              <w:spacing w:after="0"/>
              <w:rPr>
                <w:sz w:val="11"/>
                <w:szCs w:val="11"/>
                <w:color w:val="auto"/>
              </w:rPr>
            </w:pP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30" w:lineRule="exact"/>
              <w:rPr>
                <w:sz w:val="20"/>
                <w:szCs w:val="20"/>
                <w:color w:val="auto"/>
              </w:rPr>
            </w:pPr>
            <w:r>
              <w:rPr>
                <w:rFonts w:ascii="Arial" w:cs="Arial" w:eastAsia="Arial" w:hAnsi="Arial"/>
                <w:sz w:val="12"/>
                <w:szCs w:val="12"/>
                <w:b w:val="1"/>
                <w:bCs w:val="1"/>
                <w:color w:val="auto"/>
              </w:rPr>
              <w:t>of</w:t>
            </w:r>
          </w:p>
        </w:tc>
        <w:tc>
          <w:tcPr>
            <w:tcW w:w="7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48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60" w:type="dxa"/>
            <w:vAlign w:val="bottom"/>
          </w:tcPr>
          <w:p>
            <w:pPr>
              <w:ind w:left="40"/>
              <w:spacing w:after="0"/>
              <w:rPr>
                <w:sz w:val="20"/>
                <w:szCs w:val="20"/>
                <w:color w:val="auto"/>
              </w:rPr>
            </w:pPr>
            <w:r>
              <w:rPr>
                <w:rFonts w:ascii="Arial" w:cs="Arial" w:eastAsia="Arial" w:hAnsi="Arial"/>
                <w:sz w:val="12"/>
                <w:szCs w:val="12"/>
                <w:b w:val="1"/>
                <w:bCs w:val="1"/>
                <w:color w:val="auto"/>
              </w:rPr>
              <w:t>(D)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7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20" w:type="dxa"/>
            <w:vAlign w:val="bottom"/>
            <w:vMerge w:val="restart"/>
          </w:tcPr>
          <w:p>
            <w:pPr>
              <w:jc w:val="right"/>
              <w:ind w:right="243"/>
              <w:spacing w:after="0"/>
              <w:rPr>
                <w:sz w:val="20"/>
                <w:szCs w:val="20"/>
                <w:color w:val="auto"/>
              </w:rPr>
            </w:pPr>
            <w:r>
              <w:rPr>
                <w:rFonts w:ascii="Times New Roman" w:cs="Times New Roman" w:eastAsia="Times New Roman" w:hAnsi="Times New Roman"/>
                <w:sz w:val="11"/>
                <w:szCs w:val="11"/>
                <w:color w:val="008000"/>
              </w:rPr>
              <w:t>(2)</w:t>
            </w: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3,760</w:t>
            </w: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2"/>
                <w:szCs w:val="12"/>
                <w:color w:val="auto"/>
              </w:rPr>
            </w:pPr>
          </w:p>
        </w:tc>
        <w:tc>
          <w:tcPr>
            <w:tcW w:w="1080" w:type="dxa"/>
            <w:vAlign w:val="bottom"/>
          </w:tcPr>
          <w:p>
            <w:pPr>
              <w:jc w:val="right"/>
              <w:ind w:right="180"/>
              <w:spacing w:after="0" w:line="143" w:lineRule="exact"/>
              <w:rPr>
                <w:sz w:val="20"/>
                <w:szCs w:val="20"/>
                <w:color w:val="auto"/>
              </w:rPr>
            </w:pPr>
            <w:r>
              <w:rPr>
                <w:rFonts w:ascii="Times New Roman" w:cs="Times New Roman" w:eastAsia="Times New Roman" w:hAnsi="Times New Roman"/>
                <w:sz w:val="13"/>
                <w:szCs w:val="13"/>
                <w:color w:val="0000FF"/>
              </w:rPr>
              <w:t>10/15/2025</w:t>
            </w:r>
          </w:p>
        </w:tc>
        <w:tc>
          <w:tcPr>
            <w:tcW w:w="1100" w:type="dxa"/>
            <w:vAlign w:val="bottom"/>
          </w:tcPr>
          <w:p>
            <w:pPr>
              <w:spacing w:after="0"/>
              <w:rPr>
                <w:sz w:val="12"/>
                <w:szCs w:val="12"/>
                <w:color w:val="auto"/>
              </w:rPr>
            </w:pPr>
          </w:p>
        </w:tc>
        <w:tc>
          <w:tcPr>
            <w:tcW w:w="800" w:type="dxa"/>
            <w:vAlign w:val="bottom"/>
          </w:tcPr>
          <w:p>
            <w:pPr>
              <w:ind w:left="180"/>
              <w:spacing w:after="0" w:line="143" w:lineRule="exact"/>
              <w:rPr>
                <w:sz w:val="20"/>
                <w:szCs w:val="20"/>
                <w:color w:val="auto"/>
              </w:rPr>
            </w:pPr>
            <w:r>
              <w:rPr>
                <w:rFonts w:ascii="Times New Roman" w:cs="Times New Roman" w:eastAsia="Times New Roman" w:hAnsi="Times New Roman"/>
                <w:sz w:val="13"/>
                <w:szCs w:val="13"/>
                <w:color w:val="0000FF"/>
              </w:rPr>
              <w:t>A</w:t>
            </w:r>
          </w:p>
        </w:tc>
        <w:tc>
          <w:tcPr>
            <w:tcW w:w="480" w:type="dxa"/>
            <w:vAlign w:val="bottom"/>
          </w:tcPr>
          <w:p>
            <w:pPr>
              <w:ind w:left="100"/>
              <w:spacing w:after="0" w:line="143" w:lineRule="exact"/>
              <w:rPr>
                <w:sz w:val="20"/>
                <w:szCs w:val="20"/>
                <w:color w:val="auto"/>
              </w:rPr>
            </w:pPr>
            <w:r>
              <w:rPr>
                <w:rFonts w:ascii="Times New Roman" w:cs="Times New Roman" w:eastAsia="Times New Roman" w:hAnsi="Times New Roman"/>
                <w:sz w:val="13"/>
                <w:szCs w:val="13"/>
                <w:color w:val="0000FF"/>
              </w:rPr>
              <w:t>3,760</w:t>
            </w:r>
          </w:p>
        </w:tc>
        <w:tc>
          <w:tcPr>
            <w:tcW w:w="26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72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70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4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3,760</w:t>
            </w:r>
          </w:p>
        </w:tc>
        <w:tc>
          <w:tcPr>
            <w:tcW w:w="74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per share</w:t>
            </w:r>
          </w:p>
        </w:tc>
        <w:tc>
          <w:tcPr>
            <w:tcW w:w="5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a contingent right to receive one share of the Company's common stock upon settlement.</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7"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upon the earlier of (i) the first anniversary of the date of grant, (ii) the date on which the reporting person's term as a member of the Board of Directors of ExlService Holdings, Inc. (the "Board") expires if the reporting person is not subsequently elected to a new term on the Board, and (iii) the occurrence of a "Change in Control", as defined in the ExlService Holdings, Inc. 2025 Omnibus Incentive Plan (the "Plan"), and such awards settle upon the earlier of (i) the reporting person's death, (ii) the occurrence of a "Change of Control", as defined in the Plan and (iii) the date that is 180 days following the date on which the reporting person ceases to serve as a member of the Board for any reason other than due to such reporting person's death or, if later, the date of the reporting person's separation from service.</w:t>
      </w:r>
    </w:p>
    <w:p>
      <w:pPr>
        <w:spacing w:after="0" w:line="29"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Mr. Ayyappan is the Company's General Counsel.</w:t>
      </w:r>
    </w:p>
    <w:p>
      <w:pPr>
        <w:spacing w:after="0" w:line="5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Ajay Ayyappan, Attorney-</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10/17/2025</w:t>
            </w:r>
          </w:p>
        </w:tc>
        <w:tc>
          <w:tcPr>
            <w:tcW w:w="0" w:type="dxa"/>
            <w:vAlign w:val="bottom"/>
          </w:tcPr>
          <w:p>
            <w:pPr>
              <w:spacing w:after="0"/>
              <w:rPr>
                <w:sz w:val="1"/>
                <w:szCs w:val="1"/>
                <w:color w:val="auto"/>
              </w:rPr>
            </w:pPr>
          </w:p>
        </w:tc>
      </w:tr>
      <w:tr>
        <w:trPr>
          <w:trHeight w:val="89"/>
        </w:trPr>
        <w:tc>
          <w:tcPr>
            <w:tcW w:w="48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5"/>
              </w:rPr>
              <w:t>in-Fact</w:t>
            </w:r>
          </w:p>
        </w:tc>
        <w:tc>
          <w:tcPr>
            <w:tcW w:w="150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480" w:type="dxa"/>
            <w:vAlign w:val="bottom"/>
            <w:tcBorders>
              <w:bottom w:val="single" w:sz="8" w:color="auto"/>
            </w:tcBorders>
            <w:vMerge w:val="continue"/>
          </w:tcPr>
          <w:p>
            <w:pPr>
              <w:spacing w:after="0"/>
              <w:rPr>
                <w:sz w:val="7"/>
                <w:szCs w:val="7"/>
                <w:color w:val="auto"/>
              </w:rPr>
            </w:pPr>
          </w:p>
        </w:tc>
        <w:tc>
          <w:tcPr>
            <w:tcW w:w="150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91399"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2025-10-17T18:22:00Z</dcterms:created>
  <dcterms:modified xsi:type="dcterms:W3CDTF">2025-10-17T18:22:00Z</dcterms:modified>
</cp:coreProperties>
</file>