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November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314" w:right="5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6, 2009, ExlService Holdings, Inc. (the “Company”) reported its results of operations for the three and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2009. A copy of the press release issued by the Company concerning the foregoing is furnished herewith as Exhibit 99.1 and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6, 2009</w:t>
      </w:r>
    </w:p>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16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900" w:type="dxa"/>
            <w:vAlign w:val="bottom"/>
          </w:tcPr>
          <w:p>
            <w:pPr>
              <w:spacing w:after="0"/>
              <w:rPr>
                <w:sz w:val="19"/>
                <w:szCs w:val="19"/>
                <w:color w:val="auto"/>
              </w:rPr>
            </w:pPr>
          </w:p>
        </w:tc>
        <w:tc>
          <w:tcPr>
            <w:tcW w:w="7520" w:type="dxa"/>
            <w:vAlign w:val="bottom"/>
            <w:gridSpan w:val="2"/>
          </w:tcPr>
          <w:p>
            <w:pPr>
              <w:ind w:left="2160"/>
              <w:spacing w:after="0"/>
              <w:rPr>
                <w:sz w:val="20"/>
                <w:szCs w:val="20"/>
                <w:color w:val="auto"/>
              </w:rPr>
            </w:pPr>
            <w:r>
              <w:rPr>
                <w:rFonts w:ascii="Arial" w:cs="Arial" w:eastAsia="Arial" w:hAnsi="Arial"/>
                <w:sz w:val="18"/>
                <w:szCs w:val="18"/>
                <w:color w:val="auto"/>
              </w:rPr>
              <w:t>(Registrant)</w:t>
            </w: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Date: November 6, 2009</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03"/>
        </w:trPr>
        <w:tc>
          <w:tcPr>
            <w:tcW w:w="3900" w:type="dxa"/>
            <w:vAlign w:val="bottom"/>
          </w:tcPr>
          <w:p>
            <w:pPr>
              <w:spacing w:after="0"/>
              <w:rPr>
                <w:sz w:val="17"/>
                <w:szCs w:val="17"/>
                <w:color w:val="auto"/>
              </w:rPr>
            </w:pPr>
          </w:p>
        </w:tc>
        <w:tc>
          <w:tcPr>
            <w:tcW w:w="2640" w:type="dxa"/>
            <w:vAlign w:val="bottom"/>
          </w:tcPr>
          <w:p>
            <w:pPr>
              <w:ind w:left="21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rPr>
                <w:sz w:val="20"/>
                <w:szCs w:val="20"/>
                <w:color w:val="auto"/>
              </w:rPr>
            </w:pPr>
            <w:r>
              <w:rPr>
                <w:rFonts w:ascii="Arial" w:cs="Arial" w:eastAsia="Arial" w:hAnsi="Arial"/>
                <w:sz w:val="14"/>
                <w:szCs w:val="14"/>
                <w:b w:val="1"/>
                <w:bCs w:val="1"/>
                <w:color w:val="auto"/>
              </w:rPr>
              <w:t>Vishal Chhibbar</w:t>
            </w:r>
          </w:p>
        </w:tc>
      </w:tr>
      <w:tr>
        <w:trPr>
          <w:trHeight w:val="237"/>
        </w:trPr>
        <w:tc>
          <w:tcPr>
            <w:tcW w:w="3900" w:type="dxa"/>
            <w:vAlign w:val="bottom"/>
          </w:tcPr>
          <w:p>
            <w:pPr>
              <w:spacing w:after="0"/>
              <w:rPr>
                <w:sz w:val="20"/>
                <w:szCs w:val="20"/>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4"/>
                <w:szCs w:val="14"/>
                <w:b w:val="1"/>
                <w:bCs w:val="1"/>
                <w:color w:val="auto"/>
              </w:rPr>
              <w:t>Vice President &amp;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6, 2009</w:t>
      </w:r>
    </w:p>
    <w:p>
      <w:pPr>
        <w:sectPr>
          <w:pgSz w:w="11900" w:h="16838" w:orient="portrait"/>
          <w:cols w:equalWidth="0" w:num="1">
            <w:col w:w="9979"/>
          </w:cols>
          <w:pgMar w:left="48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Jean Liang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277-7115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EXL REPORTS 2009 THIRD QUARTER RESULTS</w:t>
      </w:r>
    </w:p>
    <w:p>
      <w:pPr>
        <w:spacing w:after="0" w:line="177" w:lineRule="exact"/>
        <w:rPr>
          <w:sz w:val="20"/>
          <w:szCs w:val="20"/>
          <w:color w:val="auto"/>
        </w:rPr>
      </w:pPr>
    </w:p>
    <w:p>
      <w:pPr>
        <w:ind w:left="2980"/>
        <w:spacing w:after="0"/>
        <w:rPr>
          <w:sz w:val="20"/>
          <w:szCs w:val="20"/>
          <w:color w:val="auto"/>
        </w:rPr>
      </w:pPr>
      <w:r>
        <w:rPr>
          <w:rFonts w:ascii="Arial" w:cs="Arial" w:eastAsia="Arial" w:hAnsi="Arial"/>
          <w:sz w:val="18"/>
          <w:szCs w:val="18"/>
          <w:b w:val="1"/>
          <w:bCs w:val="1"/>
          <w:i w:val="1"/>
          <w:iCs w:val="1"/>
          <w:color w:val="auto"/>
        </w:rPr>
        <w:t>Quarterly Revenues of $48.2 million and 14.8% Adjusted Operating Margin</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i w:val="1"/>
          <w:iCs w:val="1"/>
          <w:color w:val="auto"/>
        </w:rPr>
        <w:t>Increasing Calendar Year Revenue and Adjusted Operating Margin Guidance</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i w:val="1"/>
          <w:iCs w:val="1"/>
          <w:color w:val="auto"/>
        </w:rPr>
        <w:t>EXL to Acquire Back-Office Operations of American Express Business Travel in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Gurgaon, India; Enters Multi-Year Services Agreement with American Express</w:t>
      </w:r>
    </w:p>
    <w:p>
      <w:pPr>
        <w:spacing w:after="0" w:line="16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New York, NY – November 6, 2009 – ExlService Holdings, Inc. (NASDAQ: EXLS), a leading provider of outsourcing and transformation services, today announced its financial results for the quarter ended September 30, 2009.</w:t>
      </w:r>
    </w:p>
    <w:p>
      <w:pPr>
        <w:spacing w:after="0" w:line="13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Rohit Kapoor, President and CEO, commented: “We experienced strong revenue growth this quarter and continued momentum in the market place. Our results reflect the investments and efforts that we have directed to execution and client centricity. In our outsourcing business, our team ensured a smooth ramp-up and efficient employee on-boarding for our recently acquired clients. In transformation services, we expanded our existing client relationships while increasing the annuity-based percentage of the business.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also pleased to announce a new eight-year agreement to service the back-office operations of American Express Business Travel and the associated acquisition of American Express’ Global Travel Service Center operations in Gurgaon, India. We estimate achieving more than $160 million in revenues over the life of the contract. Through this transaction, we will deepen our relationship with one of our key clients as well as expand our capability set in analytics, exception processing, and transaction processing. This acquisition also adds an experienced management team and an additional delivery center to EXL. We expect the transaction to close first quarter next year.”</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Vishal Chhibbar, CFO, commented: “The investments we made in expanding our delivery infrastructure in the first half of this year are paying off. Sequential revenue growth was 13.7% quarter on quarter. We delivered outsourcing revenues of $37.7 million and transformation revenues of $10.5 million. We generated $9.7 million in operating cash flows and ended the quarter with a cash balance of $117.5 million versus $114.3 million last quarter. Adjusted operating margin for the quarter increased to 14.8% due to higher utilization of our physical infrastructure and people as well as strong execution across business lines. We are pleased to increase our calendar year 2009 guidance for revenue to $178.0 million - $180.0 million from $170.0 million - $175.0 million and our adjusted operating margin to 13.0% - 13.5% from 10.0% - 12.0%.”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Financial highlights are based on continuing operations of the Company and exclude the sale of the Pune assets providing services to Aviva under the BOT arrangement, which is treated as a discontinued operation as of the third quarter of 2008. Reconciliations of adjusted financial measures to GAAP are included at the end of this release.</w:t>
      </w:r>
    </w:p>
    <w:p>
      <w:pPr>
        <w:spacing w:after="0" w:line="59" w:lineRule="exact"/>
        <w:rPr>
          <w:sz w:val="20"/>
          <w:szCs w:val="20"/>
          <w:color w:val="auto"/>
        </w:rPr>
      </w:pPr>
    </w:p>
    <w:p>
      <w:pPr>
        <w:ind w:left="900" w:right="260" w:hanging="325"/>
        <w:spacing w:after="0" w:line="28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for the quarter ended September 30, 2009 were $48.2 million compared to $46.6 million for the quarter ended September 30, 2008 and $42.4 million for the quarter ended June 30, 2009. Revenues attributable to outsourcing services for the quarter ended September 30, 2009 were $37.7 million compared to $34.5 million in the quarter ended September 30, 2008 and $34.5 million in the quarter ended June 30, 2009.</w:t>
      </w:r>
    </w:p>
    <w:p>
      <w:pPr>
        <w:spacing w:after="0" w:line="1" w:lineRule="exact"/>
        <w:rPr>
          <w:rFonts w:ascii="Arial" w:cs="Arial" w:eastAsia="Arial" w:hAnsi="Arial"/>
          <w:sz w:val="16"/>
          <w:szCs w:val="16"/>
          <w:color w:val="auto"/>
        </w:rPr>
      </w:pPr>
    </w:p>
    <w:p>
      <w:pPr>
        <w:ind w:left="900" w:right="400"/>
        <w:spacing w:after="0" w:line="261" w:lineRule="auto"/>
        <w:rPr>
          <w:rFonts w:ascii="Arial" w:cs="Arial" w:eastAsia="Arial" w:hAnsi="Arial"/>
          <w:sz w:val="16"/>
          <w:szCs w:val="16"/>
          <w:color w:val="auto"/>
        </w:rPr>
      </w:pPr>
      <w:r>
        <w:rPr>
          <w:rFonts w:ascii="Arial" w:cs="Arial" w:eastAsia="Arial" w:hAnsi="Arial"/>
          <w:sz w:val="18"/>
          <w:szCs w:val="18"/>
          <w:color w:val="auto"/>
        </w:rPr>
        <w:t>Transformation services revenues for the quarter ended September 30, 2009 were $10.5 million compared to $12.0 million in the quarter ended September 30, 2008 and $7.9 million in the quarter ended June 30, 2009.</w:t>
      </w:r>
    </w:p>
    <w:p>
      <w:pPr>
        <w:spacing w:after="0" w:line="56" w:lineRule="exact"/>
        <w:rPr>
          <w:rFonts w:ascii="Arial" w:cs="Arial" w:eastAsia="Arial" w:hAnsi="Arial"/>
          <w:sz w:val="16"/>
          <w:szCs w:val="16"/>
          <w:color w:val="auto"/>
        </w:rPr>
      </w:pPr>
    </w:p>
    <w:p>
      <w:pPr>
        <w:jc w:val="both"/>
        <w:ind w:left="9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for the quarter ended September 30, 2009 was 40.2% compared to 39.8% for the quarter ended September 30, 2008 and 39.1% for the quarter ended June 30, 2009. Gross margin for outsourcing services was 41.0% for the quarter ended September 30, 2009 compared to 41.9% for the quarter ended June 30, 2009. Transformation services gross margin was 37.5% for the quarter ended September 30, 2009 compared to 26.8% for the quarter ended June 30, 2009.</w:t>
      </w:r>
    </w:p>
    <w:p>
      <w:pPr>
        <w:spacing w:after="0" w:line="62"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September 30, 2009 was 10.7% compared to 11.3% for the quarter ended September 30, 2008 and 6.6% for the quarter ended June 30, 2009; adjusted operating margin for the quarter ended September 30, 2009, excluding the impact of stock-based compensation expense and amortization of intangibles, was 14.8% compared to 14.7% for the quarter ended September 30, 2008 and 11.3% for the quarter ended June 30, 2009.</w:t>
      </w:r>
    </w:p>
    <w:p>
      <w:pPr>
        <w:spacing w:after="0" w:line="6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to common stockholders for the quarter ended September 30, 2009 were $0.14 compared to $0.01 for the quarter ended September 30, 2008 and $0.04 for the quarter ended June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eight-year agreement with American Express to provide business process services in conjunction with the acquisition of American Express’ Global Travel Service Center operations in Gurgaon, India. The purchase price for this transaction will be approximately $30.0 million net of working capital adjustments at closing.</w:t>
      </w:r>
    </w:p>
    <w:p>
      <w:pPr>
        <w:spacing w:after="0" w:line="59"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Awarded a five-year outsourcing contract with a global P&amp;C and reinsurance company to provide business process services from both our India facilities and our new Romanian facility currently in development.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annuity-based transformation revenues to comprise of approximately one-third of total transformation.</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days sales outstanding in the third quarter of 2009 to 59 days from 68 days in the second quarter of 2009 and 76 days in the third quarter of 2008.</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Experienced quarterly attrition in the third quarter of 22.0% for billable employees compared to 22.0% in the second quarter 2009 and 37.3% for the third 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increasing its guidance for calendar year 2009:</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$178.0 million to $180.0 million from $170.0 million to $175.0 million.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margin, excluding the impact of stock-based compensation expense and amortization of intangibles, of 13.0% and 13.5% from 10.0% and 12.0%.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EXL will host a conference call on Friday, November 6, at 8:00 a.m. (ET) to discuss the company’s quarterly results and operating performance. The conference call will be available live via the internet by accessing the investor relations section of EXL’s website at www.exlservice.com, where the accompanying presentation and an investor factsheet can also be accessed. Please go to the website at least fifteen minutes prior to the call to register, download and install any necessary audio software.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listen to the conference call via phone, please dial 1-800-884-5695 or 1-617-786-2960 and enter “73278987.” For those who cannot access the live broadcast, a replay will be available by dialing 1-888-286-8010 or 1-617-801-6888 and entering “85132426” from two hours after the end of the call until 11:59 p.m. (ET) on November 13, 2009. The replay will also be available on the EXL website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EXL will host its First Annual Investor Day on Friday, November 6, 2009 at 9:30 a.m. (ET) in New York City at the NASDAQ MarketSite in Times Square. To listen to the investor day events via phone, please dial 1-888-452-4007 or 1-719-325-2481 and reference “EXLService Investor Day 2009.” The event will also be made available via live audio webcast on the investor relations section of EXL’s website at www.exlservice.com. Slides will be made available. For those who cannot access the live broadcast, an archived webcast of the presentations will be available on the EXL website (www.exlservice.com) after the end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financial services and transportation and logistics sectors. Find additional information about EXL at www.exlservice.com.</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2008. These risks could cause actual results to differ materially from those implied by forward-looking statements in this release.</w:t>
      </w:r>
    </w:p>
    <w:p>
      <w:pPr>
        <w:spacing w:after="0" w:line="12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51,117</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13,262</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40,314</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continuing operations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Earnings/(loss) per share (a):</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0.29</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number of shares used in computing earnings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28,930,344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28,846,137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28,893,515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28,801,102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29,368,390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29,127,304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29,202,856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29,257,254</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Per share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117,510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$259 at September 30, 2009 and $128 at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December 31, 2008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31,578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Advance income-tax,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159,352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5"/>
              </w:rPr>
              <w:t>Fixed assets, net of accumulated depreciation of $35,787 at September 30, 2009 and $27,727 at December 31, 2008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224,338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9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2,254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12,176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29,966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33,399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92"/>
              </w:rPr>
              <w:t>Common stock, $0.001 par value; 100,000,000 shares authorized, 29,179,013 shares issued and outstanding as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September 30, 2009 and 29,054,145 shares issued and outstanding as of December 31, 2008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122,308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78,150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191,915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Less: 247,030 shares as of September 30, 2009 and 237,080 shares as of December 31, 2008, held in treasury, at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190,939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224,338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9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SFAS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0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 periods ended September 30, 2009, September 30, 2008 and June 30,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jc w:val="center"/>
              <w:ind w:left="316"/>
              <w:spacing w:after="0"/>
              <w:rPr>
                <w:sz w:val="20"/>
                <w:szCs w:val="20"/>
                <w:color w:val="auto"/>
              </w:rPr>
            </w:pPr>
            <w:r>
              <w:rPr>
                <w:rFonts w:ascii="Arial" w:cs="Arial" w:eastAsia="Arial" w:hAnsi="Arial"/>
                <w:sz w:val="14"/>
                <w:szCs w:val="14"/>
                <w:b w:val="1"/>
                <w:bCs w:val="1"/>
                <w:color w:val="auto"/>
                <w:w w:val="87"/>
              </w:rPr>
              <w:t>Three Months Ended September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87"/>
              </w:rPr>
              <w:t>Three Months Ended 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US GAAP</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US GAAP</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$ 48,186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48,186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46,573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46,573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1"/>
              </w:rPr>
              <w:t>Cost of revenues (exclusive of depreciation and amortization)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28,803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400" w:type="dxa"/>
            <w:vAlign w:val="bottom"/>
          </w:tcPr>
          <w:p>
            <w:pPr>
              <w:ind w:left="10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28,462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28,046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500" w:type="dxa"/>
            <w:vAlign w:val="bottom"/>
          </w:tcPr>
          <w:p>
            <w:pPr>
              <w:ind w:left="1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27,650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18,527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18,923</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i w:val="1"/>
                <w:iCs w:val="1"/>
                <w:color w:val="auto"/>
              </w:rPr>
              <w:t>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40.6%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7"/>
              </w:rPr>
              <w:t>11,286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10,430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500" w:type="dxa"/>
            <w:vAlign w:val="bottom"/>
          </w:tcPr>
          <w:p>
            <w:pPr>
              <w:ind w:left="12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i w:val="1"/>
                <w:iCs w:val="1"/>
                <w:color w:val="auto"/>
              </w:rPr>
              <w:t>10.7%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14.7%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center"/>
              <w:ind w:right="32"/>
              <w:spacing w:after="0"/>
              <w:rPr>
                <w:sz w:val="20"/>
                <w:szCs w:val="20"/>
                <w:color w:val="auto"/>
              </w:rPr>
            </w:pPr>
            <w:r>
              <w:rPr>
                <w:rFonts w:ascii="Arial" w:cs="Arial" w:eastAsia="Arial" w:hAnsi="Arial"/>
                <w:sz w:val="14"/>
                <w:szCs w:val="14"/>
                <w:b w:val="1"/>
                <w:bCs w:val="1"/>
                <w:color w:val="auto"/>
                <w:w w:val="88"/>
              </w:rPr>
              <w:t>Three Months Ended June 30,</w:t>
            </w: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US GAAP</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$ 42,385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42,385</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1"/>
              </w:rPr>
              <w:t>Cost of revenues (exclusive of 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25,827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400" w:type="dxa"/>
            <w:vAlign w:val="bottom"/>
          </w:tcPr>
          <w:p>
            <w:pPr>
              <w:ind w:left="10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25,373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i w:val="1"/>
                <w:iCs w:val="1"/>
                <w:color w:val="auto"/>
              </w:rPr>
              <w:t>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9,454</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i w:val="1"/>
                <w:iCs w:val="1"/>
                <w:color w:val="auto"/>
              </w:rPr>
              <w:t>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SFAS 123R.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2019-12-10T22:44:30Z</dcterms:created>
  <dcterms:modified xsi:type="dcterms:W3CDTF">2019-12-10T22:44:30Z</dcterms:modified>
</cp:coreProperties>
</file>