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Pursuant to Sections 13 or 15(d) of the Securities Exchange Act of 1934</w:t>
      </w:r>
    </w:p>
    <w:p>
      <w:pPr>
        <w:spacing w:after="0" w:line="5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7"/>
          <w:szCs w:val="17"/>
          <w:color w:val="auto"/>
        </w:rPr>
        <w:t>April 28, 2026</w:t>
      </w:r>
    </w:p>
    <w:p>
      <w:pPr>
        <w:spacing w:after="0" w:line="5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ectPr>
          <w:pgSz w:w="11900" w:h="16838" w:orient="portrait"/>
          <w:cols w:equalWidth="0" w:num="1">
            <w:col w:w="11240"/>
          </w:cols>
          <w:pgMar w:left="320" w:top="1168" w:right="339" w:bottom="1440" w:gutter="0" w:footer="0" w:header="0"/>
        </w:sectPr>
      </w:pPr>
    </w:p>
    <w:p>
      <w:pPr>
        <w:spacing w:after="0" w:line="121"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82-0572194</w:t>
      </w:r>
    </w:p>
    <w:p>
      <w:pPr>
        <w:spacing w:after="0" w:line="30" w:lineRule="exact"/>
        <w:rPr>
          <w:sz w:val="24"/>
          <w:szCs w:val="24"/>
          <w:color w:val="auto"/>
        </w:rPr>
      </w:pPr>
    </w:p>
    <w:p>
      <w:pPr>
        <w:sectPr>
          <w:pgSz w:w="11900" w:h="16838" w:orient="portrait"/>
          <w:cols w:equalWidth="0" w:num="3">
            <w:col w:w="4540" w:space="720"/>
            <w:col w:w="3000" w:space="720"/>
            <w:col w:w="2260"/>
          </w:cols>
          <w:pgMar w:left="320" w:top="1168" w:right="339" w:bottom="1440" w:gutter="0" w:footer="0" w:header="0"/>
          <w:type w:val="continuous"/>
        </w:sectPr>
      </w:pPr>
    </w:p>
    <w:p>
      <w:pPr>
        <w:jc w:val="center"/>
        <w:ind w:right="260"/>
        <w:spacing w:after="0"/>
        <w:rPr>
          <w:sz w:val="20"/>
          <w:szCs w:val="20"/>
          <w:color w:val="auto"/>
        </w:rPr>
      </w:pPr>
      <w:r>
        <w:rPr>
          <w:rFonts w:ascii="Times New Roman" w:cs="Times New Roman" w:eastAsia="Times New Roman" w:hAnsi="Times New Roman"/>
          <w:sz w:val="16"/>
          <w:szCs w:val="16"/>
          <w:color w:val="auto"/>
        </w:rPr>
        <w:t>(State or other jurisdiction</w:t>
      </w:r>
    </w:p>
    <w:p>
      <w:pPr>
        <w:jc w:val="center"/>
        <w:ind w:right="260"/>
        <w:spacing w:after="0"/>
        <w:rPr>
          <w:sz w:val="20"/>
          <w:szCs w:val="20"/>
          <w:color w:val="auto"/>
        </w:rPr>
      </w:pPr>
      <w:r>
        <w:rPr>
          <w:rFonts w:ascii="Times New Roman" w:cs="Times New Roman" w:eastAsia="Times New Roman" w:hAnsi="Times New Roman"/>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6"/>
          <w:szCs w:val="16"/>
          <w:color w:val="auto"/>
        </w:rPr>
        <w:t>(I.R.S. Employer</w:t>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168" w:right="339" w:bottom="1440" w:gutter="0" w:footer="0" w:header="0"/>
          <w:type w:val="continuous"/>
        </w:sectPr>
      </w:pPr>
    </w:p>
    <w:p>
      <w:pPr>
        <w:spacing w:after="0" w:line="17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320 Park Avenue, 29</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5"/>
          <w:szCs w:val="15"/>
          <w:b w:val="1"/>
          <w:bCs w:val="1"/>
          <w:color w:val="auto"/>
        </w:rPr>
        <w:t xml:space="preserve"> Floor,</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10022</w:t>
      </w:r>
    </w:p>
    <w:p>
      <w:pPr>
        <w:spacing w:after="0" w:line="32" w:lineRule="exact"/>
        <w:rPr>
          <w:sz w:val="24"/>
          <w:szCs w:val="24"/>
          <w:color w:val="auto"/>
        </w:rPr>
      </w:pPr>
    </w:p>
    <w:p>
      <w:pPr>
        <w:sectPr>
          <w:pgSz w:w="11900" w:h="16838" w:orient="portrait"/>
          <w:cols w:equalWidth="0" w:num="2">
            <w:col w:w="7620" w:space="720"/>
            <w:col w:w="2900"/>
          </w:cols>
          <w:pgMar w:left="320" w:top="1168" w:right="339" w:bottom="1440" w:gutter="0" w:footer="0" w:header="0"/>
          <w:type w:val="continuous"/>
        </w:sectPr>
      </w:pPr>
    </w:p>
    <w:p>
      <w:pPr>
        <w:ind w:left="4960"/>
        <w:spacing w:after="0"/>
        <w:rPr>
          <w:sz w:val="20"/>
          <w:szCs w:val="20"/>
          <w:color w:val="auto"/>
        </w:rPr>
      </w:pPr>
      <w:r>
        <w:rPr>
          <w:rFonts w:ascii="Times New Roman" w:cs="Times New Roman" w:eastAsia="Times New Roman" w:hAnsi="Times New Roman"/>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32" w:lineRule="exact"/>
        <w:rPr>
          <w:sz w:val="24"/>
          <w:szCs w:val="24"/>
          <w:color w:val="auto"/>
        </w:rPr>
      </w:pPr>
    </w:p>
    <w:p>
      <w:pPr>
        <w:sectPr>
          <w:pgSz w:w="11900" w:h="16838" w:orient="portrait"/>
          <w:cols w:equalWidth="0" w:num="2">
            <w:col w:w="7480" w:space="720"/>
            <w:col w:w="3040"/>
          </w:cols>
          <w:pgMar w:left="320" w:top="1168" w:right="33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6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(212) 277-7100</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address, if changed since last report)</w:t>
      </w:r>
    </w:p>
    <w:p>
      <w:pPr>
        <w:spacing w:after="0" w:line="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w:t>
      </w:r>
    </w:p>
    <w:p>
      <w:pPr>
        <w:sectPr>
          <w:pgSz w:w="11900" w:h="16838" w:orient="portrait"/>
          <w:cols w:equalWidth="0" w:num="1">
            <w:col w:w="11240"/>
          </w:cols>
          <w:pgMar w:left="320" w:top="1168" w:right="339" w:bottom="1440" w:gutter="0" w:footer="0" w:header="0"/>
          <w:type w:val="continuous"/>
        </w:sect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27"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67"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4"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8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8"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Emerging growth company</w:t>
      </w:r>
    </w:p>
    <w:p>
      <w:pPr>
        <w:spacing w:after="0" w:line="221" w:lineRule="exact"/>
        <w:rPr>
          <w:rFonts w:ascii="MS PGothic" w:cs="MS PGothic" w:eastAsia="MS PGothic" w:hAnsi="MS PGothic"/>
          <w:sz w:val="22"/>
          <w:szCs w:val="22"/>
          <w:color w:val="auto"/>
        </w:rPr>
      </w:pPr>
    </w:p>
    <w:p>
      <w:pPr>
        <w:ind w:left="620" w:right="480" w:hanging="594"/>
        <w:spacing w:after="0" w:line="219" w:lineRule="auto"/>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81280</wp:posOffset>
            </wp:positionV>
            <wp:extent cx="712343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754380"/>
                    </a:xfrm>
                    <a:prstGeom prst="rect">
                      <a:avLst/>
                    </a:prstGeom>
                    <a:noFill/>
                  </pic:spPr>
                </pic:pic>
              </a:graphicData>
            </a:graphic>
          </wp:anchor>
        </w:drawing>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489"/>
        </w:trPr>
        <w:tc>
          <w:tcPr>
            <w:tcW w:w="20" w:type="dxa"/>
            <w:vAlign w:val="bottom"/>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347"/>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2"/>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April 28, 2026, ExlService Holdings, Inc. (the “Company”) reported its results of operations for the three months ended March 31, 2026. A copy of the press release issued by the Company concerning the foregoing is furnished herewith as Exhibit 99.1 and is incorporated herein by reference.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provided in Item 2.02 of this report, including Exhibit 99.1, shall not be deemed to be “filed” for purposes of Section 18 of the Securities Exchange Act of 1934, as amended.</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44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April 28, 2026 (furnished pursuant to Item 2.02).</w:t>
            </w:r>
          </w:p>
        </w:tc>
      </w:tr>
      <w:tr>
        <w:trPr>
          <w:trHeight w:val="205"/>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4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Cover Page Interactive Data File (the cover page XBRL tags are</w:t>
            </w:r>
          </w:p>
        </w:tc>
        <w:tc>
          <w:tcPr>
            <w:tcW w:w="3860" w:type="dxa"/>
            <w:vAlign w:val="bottom"/>
          </w:tcPr>
          <w:p>
            <w:pPr>
              <w:spacing w:after="0"/>
              <w:rPr>
                <w:sz w:val="17"/>
                <w:szCs w:val="17"/>
                <w:color w:val="auto"/>
              </w:rPr>
            </w:pPr>
          </w:p>
        </w:tc>
      </w:tr>
      <w:tr>
        <w:trPr>
          <w:trHeight w:val="234"/>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4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09"/>
        </w:trPr>
        <w:tc>
          <w:tcPr>
            <w:tcW w:w="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4140" w:type="dxa"/>
            <w:vAlign w:val="bottom"/>
            <w:tcBorders>
              <w:bottom w:val="single" w:sz="8" w:color="9A9A9A"/>
            </w:tcBorders>
          </w:tcPr>
          <w:p>
            <w:pPr>
              <w:spacing w:after="0"/>
              <w:rPr>
                <w:sz w:val="18"/>
                <w:szCs w:val="18"/>
                <w:color w:val="auto"/>
              </w:rPr>
            </w:pPr>
          </w:p>
        </w:tc>
        <w:tc>
          <w:tcPr>
            <w:tcW w:w="38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820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020" w:type="dxa"/>
            <w:vAlign w:val="bottom"/>
          </w:tcPr>
          <w:p>
            <w:pPr>
              <w:spacing w:after="0"/>
              <w:rPr>
                <w:sz w:val="20"/>
                <w:szCs w:val="20"/>
                <w:color w:val="auto"/>
              </w:rPr>
            </w:pPr>
          </w:p>
        </w:tc>
        <w:tc>
          <w:tcPr>
            <w:tcW w:w="32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(Registrant)</w:t>
            </w:r>
          </w:p>
        </w:tc>
        <w:tc>
          <w:tcPr>
            <w:tcW w:w="4960" w:type="dxa"/>
            <w:vAlign w:val="bottom"/>
          </w:tcPr>
          <w:p>
            <w:pPr>
              <w:spacing w:after="0"/>
              <w:rPr>
                <w:sz w:val="20"/>
                <w:szCs w:val="20"/>
                <w:color w:val="auto"/>
              </w:rPr>
            </w:pPr>
          </w:p>
        </w:tc>
      </w:tr>
      <w:tr>
        <w:trPr>
          <w:trHeight w:val="75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April 28, 2026</w:t>
            </w:r>
          </w:p>
        </w:tc>
        <w:tc>
          <w:tcPr>
            <w:tcW w:w="32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Maurizio Nicolelli</w:t>
            </w:r>
          </w:p>
        </w:tc>
      </w:tr>
      <w:tr>
        <w:trPr>
          <w:trHeight w:val="27"/>
        </w:trPr>
        <w:tc>
          <w:tcPr>
            <w:tcW w:w="3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2"/>
        </w:trPr>
        <w:tc>
          <w:tcPr>
            <w:tcW w:w="3020" w:type="dxa"/>
            <w:vAlign w:val="bottom"/>
          </w:tcPr>
          <w:p>
            <w:pPr>
              <w:spacing w:after="0"/>
              <w:rPr>
                <w:sz w:val="20"/>
                <w:szCs w:val="20"/>
                <w:color w:val="auto"/>
              </w:rPr>
            </w:pPr>
          </w:p>
        </w:tc>
        <w:tc>
          <w:tcPr>
            <w:tcW w:w="32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Maurizio Nicolelli</w:t>
            </w:r>
          </w:p>
        </w:tc>
      </w:tr>
      <w:tr>
        <w:trPr>
          <w:trHeight w:val="234"/>
        </w:trPr>
        <w:tc>
          <w:tcPr>
            <w:tcW w:w="3020" w:type="dxa"/>
            <w:vAlign w:val="bottom"/>
          </w:tcPr>
          <w:p>
            <w:pPr>
              <w:spacing w:after="0"/>
              <w:rPr>
                <w:sz w:val="20"/>
                <w:szCs w:val="20"/>
                <w:color w:val="auto"/>
              </w:rPr>
            </w:pPr>
          </w:p>
        </w:tc>
        <w:tc>
          <w:tcPr>
            <w:tcW w:w="32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EXL REPORTS 2026 FIRST QUARTER RESULTS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2026 First Quarter Revenue of $570.4 Million, up 13.8% year-over-year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Q1 Diluted EPS (GAAP) of $0.43, up 5.7% from $0.40 in Q1 of 2025</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Q1 Adjusted Diluted EPS (Non-GAAP) </w:t>
      </w:r>
      <w:r>
        <w:rPr>
          <w:rFonts w:ascii="Times New Roman" w:cs="Times New Roman" w:eastAsia="Times New Roman" w:hAnsi="Times New Roman"/>
          <w:sz w:val="28"/>
          <w:szCs w:val="28"/>
          <w:b w:val="1"/>
          <w:bCs w:val="1"/>
          <w:i w:val="1"/>
          <w:iCs w:val="1"/>
          <w:color w:val="auto"/>
          <w:vertAlign w:val="superscript"/>
        </w:rPr>
        <w:t>(1)</w:t>
      </w:r>
      <w:r>
        <w:rPr>
          <w:rFonts w:ascii="Times New Roman" w:cs="Times New Roman" w:eastAsia="Times New Roman" w:hAnsi="Times New Roman"/>
          <w:sz w:val="22"/>
          <w:szCs w:val="22"/>
          <w:b w:val="1"/>
          <w:bCs w:val="1"/>
          <w:i w:val="1"/>
          <w:iCs w:val="1"/>
          <w:color w:val="auto"/>
        </w:rPr>
        <w:t xml:space="preserve"> of $0.58, up 20.2% from $0.48 in Q1 of 2025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New York - April 28, 2026 </w:t>
      </w:r>
      <w:r>
        <w:rPr>
          <w:rFonts w:ascii="Times New Roman" w:cs="Times New Roman" w:eastAsia="Times New Roman" w:hAnsi="Times New Roman"/>
          <w:sz w:val="18"/>
          <w:szCs w:val="18"/>
          <w:color w:val="auto"/>
        </w:rPr>
        <w:t>(GLOBE NEWSWIRE) - ExlService Holdings, Inc. (NASDAQ: EXLS), a global data and AI company, today announced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quarter ended March 31, 2026.</w:t>
      </w:r>
    </w:p>
    <w:p>
      <w:pPr>
        <w:spacing w:after="0" w:line="19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Chairman and Chief Executive Officer Rohit Kapoor said, “We entered 2026 with strong momentum, delivering revenue growth of 14% and increased our adjusted diluted EPS by 20% year-over-year. Our sustained double-digit growth demonstrates the strength of our competitive position as well as strong execution against our data and AI strategy. EXL’s recognized industry expertise and leadership in helping clients adopt AI throughout their enterprise is resonating strongly with the market.”</w:t>
      </w:r>
    </w:p>
    <w:p>
      <w:pPr>
        <w:spacing w:after="0" w:line="200" w:lineRule="exact"/>
        <w:rPr>
          <w:sz w:val="20"/>
          <w:szCs w:val="20"/>
          <w:color w:val="auto"/>
        </w:rPr>
      </w:pPr>
    </w:p>
    <w:p>
      <w:pPr>
        <w:spacing w:after="0" w:line="25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Chief Financial Officer Maurizio Nicolelli said, “While we remain prudent given the evolving macro-economic environment, our strong first quarter performance and continued business momentum give us the confidence to raise guidance. We now expect full-year 2026 revenue in the range of $2.30 billion to $2.33 billion, up from our prior guidance of $2.275 billion to $2.315 billion, reflecting 10% to 12% year-over-year growth on both a reported and constant currency basis. We now expect adjusted diluted earnings per share of $2.18 to $2.23, a 12% to 14% increase over 2025, up from our prior guidance of $2.14 to $2.19.”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w:t>
      </w:r>
    </w:p>
    <w:p>
      <w:pPr>
        <w:spacing w:after="0" w:line="65" w:lineRule="exact"/>
        <w:rPr>
          <w:sz w:val="20"/>
          <w:szCs w:val="20"/>
          <w:color w:val="auto"/>
        </w:rPr>
      </w:pPr>
    </w:p>
    <w:p>
      <w:pPr>
        <w:jc w:val="both"/>
        <w:ind w:left="660" w:hanging="328"/>
        <w:spacing w:after="0" w:line="271"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Highlights: First Quarter 2026</w:t>
      </w:r>
    </w:p>
    <w:p>
      <w:pPr>
        <w:spacing w:after="0" w:line="200" w:lineRule="exact"/>
        <w:rPr>
          <w:sz w:val="20"/>
          <w:szCs w:val="20"/>
          <w:color w:val="auto"/>
        </w:rPr>
      </w:pPr>
    </w:p>
    <w:p>
      <w:pPr>
        <w:spacing w:after="0" w:line="205" w:lineRule="exact"/>
        <w:rPr>
          <w:sz w:val="20"/>
          <w:szCs w:val="20"/>
          <w:color w:val="auto"/>
        </w:rPr>
      </w:pPr>
    </w:p>
    <w:p>
      <w:pPr>
        <w:jc w:val="both"/>
        <w:ind w:left="660" w:hanging="328"/>
        <w:spacing w:after="0" w:line="31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quarter ended March 31, 2026, increased to $570.4 million, compared to $501.0 million for the first quarter of 2025, an increase of 13.8% on a reported basis and 13.4% on a constant currency basis. Revenue increased by 5.1% sequentially, both on a reported basis and on a constant currency basis, from the fourth quarter of 2025.</w:t>
      </w:r>
    </w:p>
    <w:p>
      <w:pPr>
        <w:spacing w:after="0" w:line="70"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1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7"/>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Three months ended</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20" w:type="dxa"/>
            <w:vAlign w:val="bottom"/>
          </w:tcPr>
          <w:p>
            <w:pPr>
              <w:spacing w:after="0"/>
              <w:rPr>
                <w:sz w:val="13"/>
                <w:szCs w:val="13"/>
                <w:color w:val="auto"/>
              </w:rPr>
            </w:pPr>
          </w:p>
        </w:tc>
        <w:tc>
          <w:tcPr>
            <w:tcW w:w="82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3"/>
                <w:szCs w:val="13"/>
                <w:color w:val="auto"/>
              </w:rPr>
            </w:pPr>
          </w:p>
        </w:tc>
        <w:tc>
          <w:tcPr>
            <w:tcW w:w="116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124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31, 2026</w:t>
            </w: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4"/>
        </w:trPr>
        <w:tc>
          <w:tcPr>
            <w:tcW w:w="2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6"/>
          </w:tcPr>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Healthcare and Life Sciences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3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Banking, Capital Markets and</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Diversified Industries</w:t>
            </w: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 Growth Markets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570.4</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542.6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38.9 %</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38.6 %</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38.6 %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660" w:hanging="328"/>
        <w:spacing w:after="0" w:line="31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margin for the quarter ended March 31, 2026 was 16.1%, compared to 15.7% for the first quarter of 2025 and 14.4% for the fourth quarter of 2025. Adjusted operating income margin for the quarter ended March 31, 2026 was 20.5%, compared to 20.1% for the first quarter of 2025 and 18.8% for the fourth quarter of 2025.</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32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quarter ended March 31, 2026 was $0.43, compared to $0.40 for the first quarter of 2025 and $0.38 for the fourth quarter of 2025. Adjusted diluted earnings per share for the quarter ended March 31, 2026 was $0.58, compared to $0.48 for the first quarter of 2025 and $0.50 for the fourth quarter of 2025.</w:t>
      </w:r>
    </w:p>
    <w:p>
      <w:pPr>
        <w:sectPr>
          <w:pgSz w:w="11900" w:h="16838" w:orient="portrait"/>
          <w:cols w:equalWidth="0" w:num="1">
            <w:col w:w="11240"/>
          </w:cols>
          <w:pgMar w:left="320" w:top="10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Business Highlights: First Quarter 2026</w:t>
      </w:r>
    </w:p>
    <w:p>
      <w:pPr>
        <w:spacing w:after="0" w:line="200" w:lineRule="exact"/>
        <w:rPr>
          <w:sz w:val="20"/>
          <w:szCs w:val="20"/>
          <w:color w:val="auto"/>
        </w:rPr>
      </w:pPr>
    </w:p>
    <w:p>
      <w:pPr>
        <w:spacing w:after="0" w:line="28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Won 16 new clients in the first quarter of 2026.</w:t>
      </w:r>
    </w:p>
    <w:p>
      <w:pPr>
        <w:spacing w:after="0" w:line="157" w:lineRule="exact"/>
        <w:rPr>
          <w:rFonts w:ascii="Times New Roman" w:cs="Times New Roman" w:eastAsia="Times New Roman" w:hAnsi="Times New Roman"/>
          <w:sz w:val="18"/>
          <w:szCs w:val="18"/>
          <w:color w:val="auto"/>
        </w:rPr>
      </w:pPr>
    </w:p>
    <w:p>
      <w:pPr>
        <w:ind w:left="660" w:hanging="328"/>
        <w:spacing w:after="0" w:line="34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as "Advanced Technology Partner" of the Year by NVIDIA for EXL’s deep technical expertise on the NVIDIA AI Enterprise stack and co-creating differentiated industry solutions and platforms, integrating NVIDIA’s powerful AI frameworks and GPU-accelerated technologies.</w:t>
      </w:r>
    </w:p>
    <w:p>
      <w:pPr>
        <w:spacing w:after="0" w:line="41"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by AWS as the 2025 AI/ML Market Disruptor of the Year, recognizing EXL’s exceptional innovation and leadership in leveraging AWS AI/ML services and setting new benchmarks for AI excellence in the industry.</w:t>
      </w:r>
    </w:p>
    <w:p>
      <w:pPr>
        <w:spacing w:after="0" w:line="53"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the 2025 Genesys New Partner of the Year, celebrating EXL’s ability to orchestrate AI-powered customer experience (CX) transformation through strategic collaboration with Genesys, advancing transformative solutions with real-world impact.</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by Google Cloud as a global strategic services partner, highlighting EXL’s strengths across data, AI, and customer experience (CX) transformation, and its development of Google's Gemini Enterprise powered solutions and accelerators that enable scalable, AI-driven business transformation.</w:t>
      </w:r>
    </w:p>
    <w:p>
      <w:pPr>
        <w:spacing w:after="0" w:line="67"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a leader in Everest Group Customer Experience Services in Insurance Operations Peak Matrix Assessment 2025, showcasing EXL’s deep domain expertise across both the P&amp;C and L&amp;A lines, robust data and AI capabilities and versatile suite of proprietary tools.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Guidance</w:t>
      </w:r>
    </w:p>
    <w:p>
      <w:pPr>
        <w:spacing w:after="0" w:line="5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auto"/>
        </w:rPr>
        <w:t>Based on current visibility, and a U.S. dollar to Indian rupee exchange rate of 93.0, U.K. pound sterling to U.S. dollar exchange rate of 1.33, U.S. dollar to the Philippine peso exchange rate of 59.5 and all other currencies at current exchange rates, we are providing the following guidance for the full year 2026:</w:t>
      </w:r>
    </w:p>
    <w:p>
      <w:pPr>
        <w:spacing w:after="0" w:line="19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$2.30 billion to $2.33 billion, representing an increase of 10% to 12% on both a reported and constant currency basis from 2025.</w:t>
      </w:r>
    </w:p>
    <w:p>
      <w:pPr>
        <w:spacing w:after="0" w:line="2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of $2.18 to $2.23, representing an increase of 12% to 14% from 2025.</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202"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 xml:space="preserve">ExlService Holdings, Inc. will host a conference call on Wednesday, April 29, 2026 at 10:00 A.M. ET to discuss the Company’s first quarter operating and financial results. The conference call will be available live via the internet by accessing the investor relations section of EXL’s website at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74"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 xml:space="preserve">To join the live call, please register </w:t>
      </w:r>
      <w:r>
        <w:rPr>
          <w:rFonts w:ascii="Times New Roman" w:cs="Times New Roman" w:eastAsia="Times New Roman" w:hAnsi="Times New Roman"/>
          <w:sz w:val="18"/>
          <w:szCs w:val="18"/>
          <w:u w:val="single" w:color="auto"/>
          <w:color w:val="0000FF"/>
        </w:rPr>
        <w:t>here</w:t>
      </w:r>
      <w:r>
        <w:rPr>
          <w:rFonts w:ascii="Times New Roman" w:cs="Times New Roman" w:eastAsia="Times New Roman" w:hAnsi="Times New Roman"/>
          <w:sz w:val="18"/>
          <w:szCs w:val="18"/>
          <w:color w:val="auto"/>
        </w:rPr>
        <w:t xml:space="preserve">. A dial-in and unique PIN will be provided to join the call. For those who cannot access the live broadcast, a replay will be available on the EXL website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 xml:space="preserve"> for a period of twelve months.</w:t>
      </w:r>
    </w:p>
    <w:p>
      <w:pPr>
        <w:sectPr>
          <w:pgSz w:w="11900" w:h="16838" w:orient="portrait"/>
          <w:cols w:equalWidth="0" w:num="1">
            <w:col w:w="11240"/>
          </w:cols>
          <w:pgMar w:left="320" w:top="110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ExlService Holdings, Inc.</w:t>
      </w:r>
    </w:p>
    <w:p>
      <w:pPr>
        <w:spacing w:after="0" w:line="81"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EXL (NASDAQ: EXLS) is a global data and artificial intelligence ("AI") company that offers services and solutions to reinvent client business models, drive better outcomes and unlock growth with speed. EXL harnesses the power of data, AI, and deep industry knowledge to transform businesses,</w:t>
      </w:r>
    </w:p>
    <w:p>
      <w:pPr>
        <w:spacing w:after="0" w:line="1"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including the world’s leading corporations in industries including insurance, healthcare and life sciences, banking and capital markets, retail, communications and media, and energy and infrastructure, among others. EXL was founded in 1999 with the core values of innovation, collaboration, excellence, integrity and respect. We are headquartered in New York and have over 67,000 employees spanning six continents. For more information, visit</w:t>
      </w:r>
    </w:p>
    <w:p>
      <w:pPr>
        <w:spacing w:after="0"/>
        <w:rPr>
          <w:sz w:val="20"/>
          <w:szCs w:val="20"/>
          <w:color w:val="auto"/>
        </w:rPr>
      </w:pPr>
      <w:r>
        <w:rPr>
          <w:rFonts w:ascii="Times New Roman" w:cs="Times New Roman" w:eastAsia="Times New Roman" w:hAnsi="Times New Roman"/>
          <w:sz w:val="18"/>
          <w:szCs w:val="18"/>
          <w:u w:val="single" w:color="auto"/>
          <w:color w:val="0000FF"/>
        </w:rPr>
        <w:t>www.exlservice.com.</w:t>
      </w:r>
    </w:p>
    <w:p>
      <w:pPr>
        <w:spacing w:after="0" w:line="200" w:lineRule="exact"/>
        <w:rPr>
          <w:sz w:val="20"/>
          <w:szCs w:val="20"/>
          <w:color w:val="auto"/>
        </w:rPr>
      </w:pPr>
    </w:p>
    <w:p>
      <w:pPr>
        <w:spacing w:after="0" w:line="22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Cautionary Statement Regarding Forward-Looking Statements </w:t>
      </w:r>
      <w:r>
        <w:rPr>
          <w:rFonts w:ascii="Times New Roman" w:cs="Times New Roman" w:eastAsia="Times New Roman" w:hAnsi="Times New Roman"/>
          <w:sz w:val="18"/>
          <w:szCs w:val="18"/>
          <w:i w:val="1"/>
          <w:iCs w:val="1"/>
          <w:color w:val="auto"/>
        </w:rPr>
        <w:t>This press release contains forward-looking statements within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risks related to the use of AI technology, impact on client demands by our selling cycles, our ability to hire and retain sufficiently trained employees, and our ability to accurately estimate and/or manage costs, and risks related to the international nature of our business and other factors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sectPr>
          <w:pgSz w:w="11900" w:h="16838" w:orient="portrait"/>
          <w:cols w:equalWidth="0" w:num="1">
            <w:col w:w="11240"/>
          </w:cols>
          <w:pgMar w:left="320" w:top="914" w:right="339" w:bottom="1440" w:gutter="0" w:footer="0" w:header="0"/>
        </w:sectPr>
      </w:pPr>
    </w:p>
    <w:bookmarkStart w:id="7" w:name="page8"/>
    <w:bookmarkEnd w:id="7"/>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0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3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8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8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570,351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501,019</w:t>
            </w: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Cost of revenues</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348,270</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307,705</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Gross profit</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222,081</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193,314</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59,417</w:t>
            </w:r>
          </w:p>
        </w:tc>
        <w:tc>
          <w:tcPr>
            <w:tcW w:w="0" w:type="dxa"/>
            <w:vAlign w:val="bottom"/>
          </w:tcPr>
          <w:p>
            <w:pPr>
              <w:spacing w:after="0"/>
              <w:rPr>
                <w:sz w:val="1"/>
                <w:szCs w:val="1"/>
                <w:color w:val="auto"/>
              </w:rPr>
            </w:pPr>
          </w:p>
        </w:tc>
      </w:tr>
      <w:tr>
        <w:trPr>
          <w:trHeight w:val="213"/>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41,925</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14,003</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0" w:type="dxa"/>
            <w:vAlign w:val="bottom"/>
          </w:tcPr>
          <w:p>
            <w:pPr>
              <w:spacing w:after="0"/>
              <w:rPr>
                <w:sz w:val="1"/>
                <w:szCs w:val="1"/>
                <w:color w:val="auto"/>
              </w:rPr>
            </w:pPr>
          </w:p>
        </w:tc>
      </w:tr>
      <w:tr>
        <w:trPr>
          <w:trHeight w:val="207"/>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130,255</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114,899</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91,826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78,415</w:t>
            </w: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gain, net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 expense and earnings from equity affiliates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91,401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80,166</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24,318</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13,496</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earnings from equity affiliates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67,083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66,670</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equity-method investment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67,081</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66,561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13"/>
        </w:trPr>
        <w:tc>
          <w:tcPr>
            <w:tcW w:w="8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6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used in computing earnings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156,049,147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162,490,179</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156,904,203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164,557,333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Exclusive of depreciation and amortization expense.</w:t>
      </w:r>
    </w:p>
    <w:p>
      <w:pPr>
        <w:sectPr>
          <w:pgSz w:w="11900" w:h="16838" w:orient="portrait"/>
          <w:cols w:equalWidth="0" w:num="1">
            <w:col w:w="11120"/>
          </w:cols>
          <w:pgMar w:left="320" w:top="1103" w:right="4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8"/>
        </w:trPr>
        <w:tc>
          <w:tcPr>
            <w:tcW w:w="70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146,326</w:t>
            </w: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182,041</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12,392</w:t>
            </w: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343,105</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142,626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146,093</w:t>
            </w:r>
          </w:p>
        </w:tc>
        <w:tc>
          <w:tcPr>
            <w:tcW w:w="0" w:type="dxa"/>
            <w:vAlign w:val="bottom"/>
          </w:tcPr>
          <w:p>
            <w:pPr>
              <w:spacing w:after="0"/>
              <w:rPr>
                <w:sz w:val="1"/>
                <w:szCs w:val="1"/>
                <w:color w:val="auto"/>
              </w:rPr>
            </w:pPr>
          </w:p>
        </w:tc>
      </w:tr>
      <w:tr>
        <w:trPr>
          <w:trHeight w:val="208"/>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797,361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829,957</w:t>
            </w: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111,821</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97,411</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7,251</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129,968</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419,654</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36,204</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8,198</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59,915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61,771</w:t>
            </w:r>
          </w:p>
        </w:tc>
        <w:tc>
          <w:tcPr>
            <w:tcW w:w="0" w:type="dxa"/>
            <w:vAlign w:val="bottom"/>
          </w:tcPr>
          <w:p>
            <w:pPr>
              <w:spacing w:after="0"/>
              <w:rPr>
                <w:sz w:val="1"/>
                <w:szCs w:val="1"/>
                <w:color w:val="auto"/>
              </w:rPr>
            </w:pPr>
          </w:p>
        </w:tc>
      </w:tr>
      <w:tr>
        <w:trPr>
          <w:trHeight w:val="235"/>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1,676,379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1,702,235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15,356</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employee costs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146,775</w:t>
            </w: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135,498</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16,857</w:t>
            </w:r>
          </w:p>
        </w:tc>
        <w:tc>
          <w:tcPr>
            <w:tcW w:w="0" w:type="dxa"/>
            <w:vAlign w:val="bottom"/>
          </w:tcPr>
          <w:p>
            <w:pPr>
              <w:spacing w:after="0"/>
              <w:rPr>
                <w:sz w:val="1"/>
                <w:szCs w:val="1"/>
                <w:color w:val="auto"/>
              </w:rPr>
            </w:pPr>
          </w:p>
        </w:tc>
      </w:tr>
      <w:tr>
        <w:trPr>
          <w:trHeight w:val="208"/>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299,514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324,125</w:t>
            </w: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borrowings, less current portion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293,712</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88,167</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99,586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81,401</w:t>
            </w: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897,575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789,530</w:t>
            </w:r>
          </w:p>
        </w:tc>
        <w:tc>
          <w:tcPr>
            <w:tcW w:w="0" w:type="dxa"/>
            <w:vAlign w:val="bottom"/>
          </w:tcPr>
          <w:p>
            <w:pPr>
              <w:spacing w:after="0"/>
              <w:rPr>
                <w:sz w:val="1"/>
                <w:szCs w:val="1"/>
                <w:color w:val="auto"/>
              </w:rPr>
            </w:pPr>
          </w:p>
        </w:tc>
      </w:tr>
      <w:tr>
        <w:trPr>
          <w:trHeight w:val="19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none issued</w:t>
            </w:r>
          </w:p>
        </w:tc>
        <w:tc>
          <w:tcPr>
            <w:tcW w:w="2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02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Common stock, $0.001 par value; 400,000,000 shares authorized, 209,929,764 shares issued and</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152,999,425 shares outstanding as of March 31, 2026 and 208,855,566 shares issued and</w:t>
            </w:r>
          </w:p>
        </w:tc>
        <w:tc>
          <w:tcPr>
            <w:tcW w:w="2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156,430,028 shares outstanding as of December 31, 2025</w:t>
            </w:r>
          </w:p>
        </w:tc>
        <w:tc>
          <w:tcPr>
            <w:tcW w:w="2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674,662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677,562</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1,532,979</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(237,374)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(180,727)</w:t>
            </w: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including shares held in treasury</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2,037,558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2,030,023</w:t>
            </w:r>
          </w:p>
        </w:tc>
        <w:tc>
          <w:tcPr>
            <w:tcW w:w="0" w:type="dxa"/>
            <w:vAlign w:val="bottom"/>
          </w:tcPr>
          <w:p>
            <w:pPr>
              <w:spacing w:after="0"/>
              <w:rPr>
                <w:sz w:val="1"/>
                <w:szCs w:val="1"/>
                <w:color w:val="auto"/>
              </w:rPr>
            </w:pPr>
          </w:p>
        </w:tc>
      </w:tr>
      <w:tr>
        <w:trPr>
          <w:trHeight w:val="142"/>
        </w:trPr>
        <w:tc>
          <w:tcPr>
            <w:tcW w:w="70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Less: 56,930,339 shares as of March 31, 2026 and 52,425,538 shares as of December 31, 2025, held in</w:t>
            </w:r>
          </w:p>
        </w:tc>
        <w:tc>
          <w:tcPr>
            <w:tcW w:w="20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(1,258,754)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(1,117,318)</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treasury, at cost</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778,804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912,705</w:t>
            </w: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1,676,379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1,702,235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760" w:top="887" w:right="7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9" w:lineRule="auto"/>
        <w:rPr>
          <w:sz w:val="20"/>
          <w:szCs w:val="20"/>
          <w:color w:val="auto"/>
        </w:rPr>
      </w:pPr>
      <w:r>
        <w:rPr>
          <w:rFonts w:ascii="Times New Roman" w:cs="Times New Roman" w:eastAsia="Times New Roman" w:hAnsi="Times New Roman"/>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1"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and adjusted operating income margin;</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diluted earnings per share; and</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on a constant currency basis.</w:t>
      </w:r>
    </w:p>
    <w:p>
      <w:pPr>
        <w:spacing w:after="0" w:line="306" w:lineRule="exact"/>
        <w:rPr>
          <w:sz w:val="20"/>
          <w:szCs w:val="20"/>
          <w:color w:val="auto"/>
        </w:rPr>
      </w:pPr>
    </w:p>
    <w:p>
      <w:pPr>
        <w:jc w:val="both"/>
        <w:ind w:firstLine="405"/>
        <w:spacing w:after="0" w:line="303" w:lineRule="auto"/>
        <w:rPr>
          <w:sz w:val="20"/>
          <w:szCs w:val="20"/>
          <w:color w:val="auto"/>
        </w:rPr>
      </w:pPr>
      <w:r>
        <w:rPr>
          <w:rFonts w:ascii="Times New Roman" w:cs="Times New Roman" w:eastAsia="Times New Roman" w:hAnsi="Times New Roman"/>
          <w:sz w:val="18"/>
          <w:szCs w:val="18"/>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future acquisitions and the currency fluctuations and associated tax effects. As such, the Company presents guidance with respect to adjusted diluted earnings per share. The Company also incurs significant non-cash charges for depreciation that may not be indicative of the Company’s ability to generate cash flow.</w:t>
      </w:r>
    </w:p>
    <w:p>
      <w:pPr>
        <w:spacing w:after="0" w:line="212" w:lineRule="exact"/>
        <w:rPr>
          <w:sz w:val="20"/>
          <w:szCs w:val="20"/>
          <w:color w:val="auto"/>
        </w:rPr>
      </w:pPr>
    </w:p>
    <w:p>
      <w:pPr>
        <w:jc w:val="both"/>
        <w:ind w:firstLine="405"/>
        <w:spacing w:after="0" w:line="306" w:lineRule="auto"/>
        <w:rPr>
          <w:sz w:val="20"/>
          <w:szCs w:val="20"/>
          <w:color w:val="auto"/>
        </w:rPr>
      </w:pPr>
      <w:r>
        <w:rPr>
          <w:rFonts w:ascii="Times New Roman" w:cs="Times New Roman" w:eastAsia="Times New Roman" w:hAnsi="Times New Roman"/>
          <w:sz w:val="18"/>
          <w:szCs w:val="18"/>
          <w:color w:val="auto"/>
        </w:rPr>
        <w:t>EXL non-GAAP financial measures exclude, where applicable, stock-based compensation expense, amortization of acquisition-related intangible assets, certain defined social security contributions,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spacing w:after="0" w:line="212" w:lineRule="exact"/>
        <w:rPr>
          <w:sz w:val="20"/>
          <w:szCs w:val="20"/>
          <w:color w:val="auto"/>
        </w:rPr>
      </w:pPr>
    </w:p>
    <w:p>
      <w:pPr>
        <w:jc w:val="both"/>
        <w:ind w:firstLine="405"/>
        <w:spacing w:after="0" w:line="309" w:lineRule="auto"/>
        <w:rPr>
          <w:sz w:val="20"/>
          <w:szCs w:val="20"/>
          <w:color w:val="auto"/>
        </w:rPr>
      </w:pPr>
      <w:r>
        <w:rPr>
          <w:rFonts w:ascii="Times New Roman" w:cs="Times New Roman" w:eastAsia="Times New Roman" w:hAnsi="Times New Roman"/>
          <w:sz w:val="18"/>
          <w:szCs w:val="18"/>
          <w:color w:val="auto"/>
        </w:rPr>
        <w:t>EXL provides information about revenues on a constant currency basis so that the revenues may be viewed without the impact of foreign currency exchange rate fluctuations compared to prior fiscal periods, thereby facilitating period-to-period comparisons of the Company's underlying business performance. Revenue growth on a constant currency basis is calculated by restating current-period activity using the prior fiscal period's foreign currency exchange rates adjusted for hedging gains/losses in such period. Foreign currency translation impacted revenue growth, primarily driven by movements in the U.S. dollar against the Indian rupee (INR), the U.K. pound sterling (GBP), and Australian dollar (AUD).</w:t>
      </w:r>
    </w:p>
    <w:p>
      <w:pPr>
        <w:spacing w:after="0" w:line="207" w:lineRule="exact"/>
        <w:rPr>
          <w:sz w:val="20"/>
          <w:szCs w:val="20"/>
          <w:color w:val="auto"/>
        </w:rPr>
      </w:pPr>
    </w:p>
    <w:p>
      <w:pPr>
        <w:jc w:val="both"/>
        <w:ind w:firstLine="405"/>
        <w:spacing w:after="0" w:line="309" w:lineRule="auto"/>
        <w:rPr>
          <w:sz w:val="20"/>
          <w:szCs w:val="20"/>
          <w:color w:val="auto"/>
        </w:rPr>
      </w:pPr>
      <w:r>
        <w:rPr>
          <w:rFonts w:ascii="Times New Roman" w:cs="Times New Roman" w:eastAsia="Times New Roman" w:hAnsi="Times New Roman"/>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ectPr>
          <w:pgSz w:w="11900" w:h="16838" w:orient="portrait"/>
          <w:cols w:equalWidth="0" w:num="1">
            <w:col w:w="11240"/>
          </w:cols>
          <w:pgMar w:left="320" w:top="927" w:right="339" w:bottom="1440" w:gutter="0" w:footer="0" w:header="0"/>
        </w:sectPr>
      </w:pPr>
    </w:p>
    <w:bookmarkStart w:id="10" w:name="page11"/>
    <w:bookmarkEnd w:id="10"/>
    <w:p>
      <w:pPr>
        <w:ind w:firstLine="405"/>
        <w:spacing w:after="0" w:line="329" w:lineRule="auto"/>
        <w:rPr>
          <w:sz w:val="20"/>
          <w:szCs w:val="20"/>
          <w:color w:val="auto"/>
        </w:rPr>
      </w:pPr>
      <w:r>
        <w:rPr>
          <w:rFonts w:ascii="Times New Roman" w:cs="Times New Roman" w:eastAsia="Times New Roman" w:hAnsi="Times New Roman"/>
          <w:sz w:val="18"/>
          <w:szCs w:val="18"/>
          <w:color w:val="auto"/>
        </w:rPr>
        <w:t>The following table shows the reconciliation of these non-GAAP financial measures for the three months ended March 31, 2026 and March 31, 2025, and the three months ended December 31, 2025: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and Adjusted EBITDA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128"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6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67,081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66,561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60,246</w:t>
            </w:r>
          </w:p>
        </w:tc>
        <w:tc>
          <w:tcPr>
            <w:tcW w:w="0" w:type="dxa"/>
            <w:vAlign w:val="bottom"/>
          </w:tcPr>
          <w:p>
            <w:pPr>
              <w:spacing w:after="0"/>
              <w:rPr>
                <w:sz w:val="1"/>
                <w:szCs w:val="1"/>
                <w:color w:val="auto"/>
              </w:rPr>
            </w:pPr>
          </w:p>
        </w:tc>
      </w:tr>
      <w:tr>
        <w:trPr>
          <w:trHeight w:val="213"/>
        </w:trPr>
        <w:tc>
          <w:tcPr>
            <w:tcW w:w="6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 Income tax expense</w:t>
            </w:r>
          </w:p>
        </w:tc>
        <w:tc>
          <w:tcPr>
            <w:tcW w:w="2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15,230</w:t>
            </w:r>
          </w:p>
        </w:tc>
        <w:tc>
          <w:tcPr>
            <w:tcW w:w="0" w:type="dxa"/>
            <w:vAlign w:val="bottom"/>
          </w:tcPr>
          <w:p>
            <w:pPr>
              <w:spacing w:after="0"/>
              <w:rPr>
                <w:sz w:val="1"/>
                <w:szCs w:val="1"/>
                <w:color w:val="auto"/>
              </w:rPr>
            </w:pPr>
          </w:p>
        </w:tc>
      </w:tr>
      <w:tr>
        <w:trPr>
          <w:trHeight w:val="165"/>
        </w:trPr>
        <w:tc>
          <w:tcPr>
            <w:tcW w:w="6660" w:type="dxa"/>
            <w:vAlign w:val="bottom"/>
            <w:shd w:val="clear" w:color="auto" w:fill="CCEEFF"/>
          </w:tcPr>
          <w:p>
            <w:pPr>
              <w:ind w:left="320"/>
              <w:spacing w:after="0" w:line="165" w:lineRule="exact"/>
              <w:rPr>
                <w:sz w:val="20"/>
                <w:szCs w:val="20"/>
                <w:color w:val="auto"/>
              </w:rPr>
            </w:pPr>
            <w:r>
              <w:rPr>
                <w:rFonts w:ascii="Times New Roman" w:cs="Times New Roman" w:eastAsia="Times New Roman" w:hAnsi="Times New Roman"/>
                <w:sz w:val="16"/>
                <w:szCs w:val="16"/>
                <w:color w:val="auto"/>
              </w:rPr>
              <w:t>add/(subtract): Foreign exchange gain/(loss), net, interest expense, gain/(loss) from equity-</w:t>
            </w: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2,547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method investment and other income/(loss), net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 (GAAP)</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91,826</w:t>
            </w:r>
          </w:p>
        </w:tc>
        <w:tc>
          <w:tcPr>
            <w:tcW w:w="1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78,415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78,023</w:t>
            </w:r>
          </w:p>
        </w:tc>
        <w:tc>
          <w:tcPr>
            <w:tcW w:w="0" w:type="dxa"/>
            <w:vAlign w:val="bottom"/>
          </w:tcPr>
          <w:p>
            <w:pPr>
              <w:spacing w:after="0"/>
              <w:rPr>
                <w:sz w:val="1"/>
                <w:szCs w:val="1"/>
                <w:color w:val="auto"/>
              </w:rPr>
            </w:pPr>
          </w:p>
        </w:tc>
      </w:tr>
      <w:tr>
        <w:trPr>
          <w:trHeight w:val="218"/>
        </w:trPr>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20,751</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add: Amortization of acquisition-related intangibles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3,226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3,246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3,307</w:t>
            </w:r>
          </w:p>
        </w:tc>
        <w:tc>
          <w:tcPr>
            <w:tcW w:w="0" w:type="dxa"/>
            <w:vAlign w:val="bottom"/>
          </w:tcPr>
          <w:p>
            <w:pPr>
              <w:spacing w:after="0"/>
              <w:rPr>
                <w:sz w:val="1"/>
                <w:szCs w:val="1"/>
                <w:color w:val="auto"/>
              </w:rPr>
            </w:pPr>
          </w:p>
        </w:tc>
      </w:tr>
      <w:tr>
        <w:trPr>
          <w:trHeight w:val="235"/>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operating income (Non-GAAP)</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117,153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100,848</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102,081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Adjusted operating income margin as a % of Revenue (Non-GAAP)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20.5%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20.1%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rPr>
              <w:t>18.8%</w:t>
            </w:r>
          </w:p>
        </w:tc>
        <w:tc>
          <w:tcPr>
            <w:tcW w:w="0" w:type="dxa"/>
            <w:vAlign w:val="bottom"/>
          </w:tcPr>
          <w:p>
            <w:pPr>
              <w:spacing w:after="0"/>
              <w:rPr>
                <w:sz w:val="1"/>
                <w:szCs w:val="1"/>
                <w:color w:val="auto"/>
              </w:rPr>
            </w:pPr>
          </w:p>
        </w:tc>
      </w:tr>
      <w:tr>
        <w:trPr>
          <w:trHeight w:val="218"/>
        </w:trPr>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 Depreciation on long-lived assets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10,777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10,311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13,037</w:t>
            </w: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127,930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111,159</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115,118</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Adjusted EBITDA margin as a % of revenue (Non-GAAP)</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22.4%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22.2%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rPr>
              <w:t>21.2%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Adjusted Diluted Earnings Per Share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per share amount)</w:t>
      </w:r>
    </w:p>
    <w:p>
      <w:pPr>
        <w:spacing w:after="0" w:line="128"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4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0"/>
        </w:trPr>
        <w:tc>
          <w:tcPr>
            <w:tcW w:w="64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67,081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66,561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60,246</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22,101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20,751</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Amortization of acquisition-related intangibles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Changes in fair value of contingent consideration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add/(subtract): Other tax expenses/(benefits) (a)</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Amortization of prior service cost (b)</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subtract: Tax impact on stock-based compensation expense (c)</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subtract: Tax impact on amortization of acquisition-related intangibles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subtract: Tax impact on amortization of prior service cost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(Non-GAAP)</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90,668</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79,090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80,084</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diluted earnings per share (Non-GAAP)</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0.50</w:t>
            </w:r>
          </w:p>
        </w:tc>
      </w:tr>
    </w:tbl>
    <w:p>
      <w:pPr>
        <w:spacing w:after="0" w:line="297" w:lineRule="exact"/>
        <w:rPr>
          <w:sz w:val="20"/>
          <w:szCs w:val="20"/>
          <w:color w:val="auto"/>
        </w:rPr>
      </w:pPr>
    </w:p>
    <w:p>
      <w:pPr>
        <w:ind w:left="720" w:hanging="226"/>
        <w:spacing w:after="0"/>
        <w:tabs>
          <w:tab w:leader="none" w:pos="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exclude tax expenses related to certain deferred tax assets and liabilities.</w:t>
      </w:r>
    </w:p>
    <w:p>
      <w:pPr>
        <w:spacing w:after="0" w:line="248"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exclude amortization of prior service cost arising from the implementation of the new Labor Codes in India.</w:t>
      </w:r>
    </w:p>
    <w:p>
      <w:pPr>
        <w:spacing w:after="0" w:line="248" w:lineRule="exact"/>
        <w:rPr>
          <w:rFonts w:ascii="Times New Roman" w:cs="Times New Roman" w:eastAsia="Times New Roman" w:hAnsi="Times New Roman"/>
          <w:sz w:val="16"/>
          <w:szCs w:val="16"/>
          <w:color w:val="auto"/>
        </w:rPr>
      </w:pPr>
    </w:p>
    <w:p>
      <w:pPr>
        <w:ind w:left="500" w:hanging="6"/>
        <w:spacing w:after="0" w:line="280" w:lineRule="auto"/>
        <w:tabs>
          <w:tab w:leader="none" w:pos="72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impact includes $1,280 and $14,526 for the three months ended March 31, 2026 and 2025, respectively, and $1,138 for the three months ended December 31, 2025, related to discrete benefit recognized in income tax expense in accordance with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Contacts</w:t>
      </w:r>
      <w:r>
        <w:rPr>
          <w:rFonts w:ascii="Times New Roman" w:cs="Times New Roman" w:eastAsia="Times New Roman" w:hAnsi="Times New Roman"/>
          <w:sz w:val="17"/>
          <w:szCs w:val="17"/>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Andrew Thut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Investor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+1 617 413 0069</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ir@exlservice.com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Keith Little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Assistant Vice President, Media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+1 703 598 0980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media.relations@exlservice.com</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2026-04-28T15:49:00Z</dcterms:created>
  <dcterms:modified xsi:type="dcterms:W3CDTF">2026-04-28T15:49:00Z</dcterms:modified>
</cp:coreProperties>
</file>