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1,402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485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917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2,400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3,317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831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2,486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93"/>
              </w:rPr>
              <w:t>231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2,717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79"/>
              </w:rPr>
              <w:t>80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2,637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1,400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2,400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5"/>
              </w:rPr>
              <w:t>3,200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231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78"/>
              <w:spacing w:after="0" w:line="149" w:lineRule="exact"/>
              <w:rPr>
                <w:sz w:val="20"/>
                <w:szCs w:val="20"/>
                <w:color w:val="auto"/>
              </w:rPr>
            </w:pPr>
            <w:r>
              <w:rPr>
                <w:rFonts w:ascii="Arial" w:cs="Arial" w:eastAsia="Arial" w:hAnsi="Arial"/>
                <w:sz w:val="14"/>
                <w:szCs w:val="14"/>
                <w:color w:val="0000FF"/>
                <w:w w:val="85"/>
              </w:rPr>
              <w:t>231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3,500 restricted stock units. 10 percent of the restricted stock units became vested on February 7, 2013, an additional 20 percent of the restricted stock units became vested on February 7, 2014, an additional 30 percent of the restricted stock units became vested on February 7, 2015, and the remaining balance i/n/o 1,400 restricted stock units became vested on February 7, 2016.</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8,000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i/n/o 3,200 restricted stock units will vest on February 8, 2017.</w:t>
      </w:r>
    </w:p>
    <w:p>
      <w:pPr>
        <w:spacing w:after="0" w:line="30" w:lineRule="exact"/>
        <w:rPr>
          <w:rFonts w:ascii="Arial" w:cs="Arial" w:eastAsia="Arial" w:hAnsi="Arial"/>
          <w:sz w:val="14"/>
          <w:szCs w:val="14"/>
          <w:color w:val="008000"/>
        </w:rPr>
      </w:pPr>
    </w:p>
    <w:p>
      <w:pPr>
        <w:ind w:left="40" w:right="3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8, 2013, the reporting person was granted 690 restricted stock units, vesting in three annual installments beginning on the first anniversary of the grant date. 229 restricted stock units became vested on February 8, 2014, an additional 230 restricted stock units became vested on February 8, 2015, and the remaining balance i/n/o 231 restricted stock units became vested on February 8, 2016.</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520"/>
          </w:cols>
          <w:pgMar w:left="240" w:top="226" w:right="1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 Lazbart Oseni, Attorney-in-  02/09/2016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2019-12-08T02:16:42Z</dcterms:created>
  <dcterms:modified xsi:type="dcterms:W3CDTF">2019-12-08T02:16:42Z</dcterms:modified>
</cp:coreProperties>
</file>