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256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25614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EXLSERVICE HOLDINGS,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10/27/2017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CEO &amp; Vice Chairman</w:t>
      </w:r>
    </w:p>
    <w:p>
      <w:pPr>
        <w:spacing w:after="0" w:line="427"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21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10022</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68" w:lineRule="exact"/>
        <w:rPr>
          <w:sz w:val="24"/>
          <w:szCs w:val="24"/>
          <w:color w:val="auto"/>
        </w:rPr>
      </w:pPr>
    </w:p>
    <w:p>
      <w:pPr>
        <w:sectPr>
          <w:pgSz w:w="11900" w:h="16838"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3"/>
                <w:szCs w:val="13"/>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gridSpan w:val="4"/>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0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10/27/2017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24,925</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24.77</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197,611</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0"/>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(2)</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0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10/27/2017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(3)</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24,925</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62.54</w:t>
            </w:r>
            <w:r>
              <w:rPr>
                <w:rFonts w:ascii="Arial" w:cs="Arial" w:eastAsia="Arial" w:hAnsi="Arial"/>
                <w:sz w:val="22"/>
                <w:szCs w:val="22"/>
                <w:color w:val="008000"/>
                <w:w w:val="91"/>
                <w:vertAlign w:val="superscript"/>
              </w:rPr>
              <w:t>(4)</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172,686</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0"/>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(2)</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4"/>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40,219</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4"/>
            <w:vMerge w:val="continue"/>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4"/>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333,185</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4"/>
            <w:vMerge w:val="continue"/>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4"/>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177,134</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4"/>
            <w:vMerge w:val="continue"/>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4"/>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4"/>
            <w:vMerge w:val="continue"/>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(8)</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4"/>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4"/>
            <w:vMerge w:val="continue"/>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09"/>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40" w:type="dxa"/>
            <w:vAlign w:val="bottom"/>
            <w:gridSpan w:val="12"/>
          </w:tcPr>
          <w:p>
            <w:pPr>
              <w:jc w:val="center"/>
              <w:ind w:righ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140" w:type="dxa"/>
            <w:vAlign w:val="bottom"/>
            <w:gridSpan w:val="9"/>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760" w:type="dxa"/>
            <w:vAlign w:val="bottom"/>
          </w:tcPr>
          <w:p>
            <w:pPr>
              <w:spacing w:after="0"/>
              <w:rPr>
                <w:sz w:val="12"/>
                <w:szCs w:val="12"/>
                <w:color w:val="auto"/>
              </w:rPr>
            </w:pPr>
          </w:p>
        </w:tc>
        <w:tc>
          <w:tcPr>
            <w:tcW w:w="6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24,925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24.77</w:t>
            </w:r>
          </w:p>
        </w:tc>
        <w:tc>
          <w:tcPr>
            <w:tcW w:w="1080" w:type="dxa"/>
            <w:vAlign w:val="bottom"/>
          </w:tcPr>
          <w:p>
            <w:pPr>
              <w:jc w:val="right"/>
              <w:ind w:right="138"/>
              <w:spacing w:after="0" w:line="148" w:lineRule="exact"/>
              <w:rPr>
                <w:sz w:val="20"/>
                <w:szCs w:val="20"/>
                <w:color w:val="auto"/>
              </w:rPr>
            </w:pPr>
            <w:r>
              <w:rPr>
                <w:rFonts w:ascii="Arial" w:cs="Arial" w:eastAsia="Arial" w:hAnsi="Arial"/>
                <w:sz w:val="13"/>
                <w:szCs w:val="13"/>
                <w:color w:val="0000FF"/>
              </w:rPr>
              <w:t>10/27/2017</w:t>
            </w: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ind w:left="380"/>
              <w:spacing w:after="0" w:line="148" w:lineRule="exact"/>
              <w:rPr>
                <w:sz w:val="20"/>
                <w:szCs w:val="20"/>
                <w:color w:val="auto"/>
              </w:rPr>
            </w:pPr>
            <w:r>
              <w:rPr>
                <w:rFonts w:ascii="Arial" w:cs="Arial" w:eastAsia="Arial" w:hAnsi="Arial"/>
                <w:sz w:val="13"/>
                <w:szCs w:val="13"/>
                <w:color w:val="0000FF"/>
              </w:rPr>
              <w:t>24,925</w:t>
            </w:r>
          </w:p>
        </w:tc>
        <w:tc>
          <w:tcPr>
            <w:tcW w:w="800" w:type="dxa"/>
            <w:vAlign w:val="bottom"/>
            <w:vMerge w:val="continue"/>
          </w:tcPr>
          <w:p>
            <w:pPr>
              <w:spacing w:after="0"/>
              <w:rPr>
                <w:sz w:val="12"/>
                <w:szCs w:val="12"/>
                <w:color w:val="auto"/>
              </w:rPr>
            </w:pPr>
          </w:p>
        </w:tc>
        <w:tc>
          <w:tcPr>
            <w:tcW w:w="760" w:type="dxa"/>
            <w:vAlign w:val="bottom"/>
          </w:tcPr>
          <w:p>
            <w:pPr>
              <w:ind w:left="80"/>
              <w:spacing w:after="0" w:line="148" w:lineRule="exact"/>
              <w:rPr>
                <w:sz w:val="20"/>
                <w:szCs w:val="20"/>
                <w:color w:val="auto"/>
              </w:rPr>
            </w:pPr>
            <w:r>
              <w:rPr>
                <w:rFonts w:ascii="Arial" w:cs="Arial" w:eastAsia="Arial" w:hAnsi="Arial"/>
                <w:sz w:val="13"/>
                <w:szCs w:val="13"/>
                <w:color w:val="0000FF"/>
              </w:rPr>
              <w:t>02/07/2022</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0000FF"/>
                <w:w w:val="97"/>
              </w:rPr>
              <w:t>par value</w:t>
            </w: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tcPr>
          <w:p>
            <w:pPr>
              <w:ind w:left="260"/>
              <w:spacing w:after="0" w:line="148" w:lineRule="exact"/>
              <w:rPr>
                <w:sz w:val="20"/>
                <w:szCs w:val="20"/>
                <w:color w:val="auto"/>
              </w:rPr>
            </w:pPr>
            <w:r>
              <w:rPr>
                <w:rFonts w:ascii="Arial" w:cs="Arial" w:eastAsia="Arial" w:hAnsi="Arial"/>
                <w:sz w:val="13"/>
                <w:szCs w:val="13"/>
                <w:color w:val="0000FF"/>
              </w:rPr>
              <w:t>56,369</w:t>
            </w:r>
          </w:p>
        </w:tc>
        <w:tc>
          <w:tcPr>
            <w:tcW w:w="580" w:type="dxa"/>
            <w:vAlign w:val="bottom"/>
          </w:tcPr>
          <w:p>
            <w:pPr>
              <w:ind w:left="400"/>
              <w:spacing w:after="0" w:line="148" w:lineRule="exact"/>
              <w:rPr>
                <w:sz w:val="20"/>
                <w:szCs w:val="20"/>
                <w:color w:val="auto"/>
              </w:rPr>
            </w:pPr>
            <w:r>
              <w:rPr>
                <w:rFonts w:ascii="Arial" w:cs="Arial" w:eastAsia="Arial" w:hAnsi="Arial"/>
                <w:sz w:val="13"/>
                <w:szCs w:val="13"/>
                <w:color w:val="0000FF"/>
              </w:rPr>
              <w:t>D</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3"/>
                <w:szCs w:val="13"/>
                <w:color w:val="0000FF"/>
                <w:w w:val="90"/>
              </w:rPr>
              <w:t>per share</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October 27, 2017 the reporting person exercised previously issued options to purchase an aggregate of 24,925 shares of common stock of ExlService Holdings, Inc.</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Rohit Kapoor.</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1" w:lineRule="exact"/>
        <w:rPr>
          <w:rFonts w:ascii="Arial" w:cs="Arial" w:eastAsia="Arial" w:hAnsi="Arial"/>
          <w:sz w:val="13"/>
          <w:szCs w:val="13"/>
          <w:color w:val="008000"/>
        </w:rPr>
      </w:pPr>
    </w:p>
    <w:p>
      <w:pPr>
        <w:jc w:val="both"/>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$62.50 to $62.82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2016 Family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51" w:lineRule="exact"/>
        <w:rPr>
          <w:rFonts w:ascii="Arial" w:cs="Arial" w:eastAsia="Arial" w:hAnsi="Arial"/>
          <w:sz w:val="13"/>
          <w:szCs w:val="13"/>
          <w:color w:val="008000"/>
        </w:rPr>
      </w:pPr>
    </w:p>
    <w:p>
      <w:pPr>
        <w:ind w:left="40" w:right="460" w:firstLine="8"/>
        <w:spacing w:after="0" w:line="296" w:lineRule="auto"/>
        <w:tabs>
          <w:tab w:leader="none" w:pos="24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7, 2012, the reporting person was granted 97,500 stock options. 25 percent of these options became vested and exercisable on February 7, 2013, an additional 25 percent became vested and exercisable on February 7, 2014, an additional 25 percent became vested and exercisable on February 7, 2015, and the balance of 25 percent became vested and exercisable on February 7, 2016.</w:t>
      </w: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ectPr>
          <w:pgSz w:w="11900" w:h="16838" w:orient="portrait"/>
          <w:cols w:equalWidth="0" w:num="1">
            <w:col w:w="11520"/>
          </w:cols>
          <w:pgMar w:left="240" w:top="225" w:right="139" w:bottom="0" w:gutter="0" w:footer="0" w:header="0"/>
          <w:type w:val="continuous"/>
        </w:sectPr>
      </w:pPr>
    </w:p>
    <w:p>
      <w:pPr>
        <w:spacing w:after="0" w:line="8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/s/ Lazbart Oseni, Attorney-in-</w:t>
      </w:r>
      <w:r>
        <w:rPr>
          <w:sz w:val="20"/>
          <w:szCs w:val="20"/>
          <w:color w:val="auto"/>
        </w:rPr>
        <w:tab/>
      </w:r>
      <w:r>
        <w:rPr>
          <w:rFonts w:ascii="Arial" w:cs="Arial" w:eastAsia="Arial" w:hAnsi="Arial"/>
          <w:sz w:val="15"/>
          <w:szCs w:val="15"/>
          <w:color w:val="0000FF"/>
        </w:rPr>
        <w:t>10/31/2017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9608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sectPr>
          <w:pgSz w:w="11900" w:h="16838" w:orient="portrait"/>
          <w:cols w:equalWidth="0" w:num="1">
            <w:col w:w="11520"/>
          </w:cols>
          <w:pgMar w:left="240" w:top="225"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-7620</wp:posOffset>
            </wp:positionV>
            <wp:extent cx="19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500" cy="8255"/>
                    </a:xfrm>
                    <a:prstGeom prst="rect">
                      <a:avLst/>
                    </a:prstGeom>
                    <a:noFill/>
                  </pic:spPr>
                </pic:pic>
              </a:graphicData>
            </a:graphic>
          </wp:anchor>
        </w:drawing>
      </w:r>
    </w:p>
    <w:p>
      <w:pPr>
        <w:spacing w:after="0" w:line="60"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31"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2019-12-04T00:58:10Z</dcterms:created>
  <dcterms:modified xsi:type="dcterms:W3CDTF">2019-12-04T00:58:10Z</dcterms:modified>
</cp:coreProperties>
</file>