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7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879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879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615,394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615,194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614,594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614,294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613,994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613,794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613,194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730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612,464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612,364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612,360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612,260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611,960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611,460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611,360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610,960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610,560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610,460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610,459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610,359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609,759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609,559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609,359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19.38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609,257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609,034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608,834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879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2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8000"/>
              </w:rPr>
              <w:t>1. This sale was made pursuant to a 10b5-1 plan previously entered into by the reporting person.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Mr. Oseni is the Company's Head of Administration and Accounts. Form 2 of 2 Form 4's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2"/>
              </w:rPr>
              <w:t>/s/ Lazbart Oseni,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highlight w:val="white"/>
              </w:rPr>
              <w:t>07/16/2007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611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61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2019-12-16T12:49:40Z</dcterms:created>
  <dcterms:modified xsi:type="dcterms:W3CDTF">2019-12-16T12:49:40Z</dcterms:modified>
</cp:coreProperties>
</file>