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87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726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jc w:val="center"/>
              <w:ind w:left="388"/>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8"/>
              <w:spacing w:after="0"/>
              <w:rPr>
                <w:sz w:val="20"/>
                <w:szCs w:val="20"/>
                <w:color w:val="auto"/>
              </w:rPr>
            </w:pPr>
            <w:r>
              <w:rPr>
                <w:rFonts w:ascii="Arial" w:cs="Arial" w:eastAsia="Arial" w:hAnsi="Arial"/>
                <w:sz w:val="17"/>
                <w:szCs w:val="17"/>
                <w:color w:val="0000FF"/>
                <w:w w:val="93"/>
              </w:rPr>
              <w:t>09/22/2014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right"/>
              <w:ind w:right="89"/>
              <w:spacing w:after="0"/>
              <w:rPr>
                <w:sz w:val="20"/>
                <w:szCs w:val="20"/>
                <w:color w:val="auto"/>
              </w:rPr>
            </w:pPr>
            <w:r>
              <w:rPr>
                <w:rFonts w:ascii="Arial" w:cs="Arial" w:eastAsia="Arial" w:hAnsi="Arial"/>
                <w:sz w:val="17"/>
                <w:szCs w:val="17"/>
                <w:color w:val="0000FF"/>
              </w:rPr>
              <w:t>10,101</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8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117,672</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8"/>
              <w:spacing w:after="0"/>
              <w:rPr>
                <w:sz w:val="20"/>
                <w:szCs w:val="20"/>
                <w:color w:val="auto"/>
              </w:rPr>
            </w:pPr>
            <w:r>
              <w:rPr>
                <w:rFonts w:ascii="Arial" w:cs="Arial" w:eastAsia="Arial" w:hAnsi="Arial"/>
                <w:sz w:val="17"/>
                <w:szCs w:val="17"/>
                <w:color w:val="0000FF"/>
                <w:w w:val="93"/>
              </w:rPr>
              <w:t>09/22/2014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right"/>
              <w:ind w:right="89"/>
              <w:spacing w:after="0"/>
              <w:rPr>
                <w:sz w:val="20"/>
                <w:szCs w:val="20"/>
                <w:color w:val="auto"/>
              </w:rPr>
            </w:pPr>
            <w:r>
              <w:rPr>
                <w:rFonts w:ascii="Arial" w:cs="Arial" w:eastAsia="Arial" w:hAnsi="Arial"/>
                <w:sz w:val="17"/>
                <w:szCs w:val="17"/>
                <w:color w:val="0000FF"/>
              </w:rPr>
              <w:t>10,101</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25.5751</w:t>
            </w:r>
            <w:r>
              <w:rPr>
                <w:rFonts w:ascii="Arial" w:cs="Arial" w:eastAsia="Arial" w:hAnsi="Arial"/>
                <w:sz w:val="22"/>
                <w:szCs w:val="22"/>
                <w:color w:val="008000"/>
                <w:w w:val="90"/>
                <w:vertAlign w:val="superscript"/>
              </w:rPr>
              <w:t>(3)</w:t>
            </w: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8"/>
              <w:spacing w:after="0"/>
              <w:rPr>
                <w:sz w:val="20"/>
                <w:szCs w:val="20"/>
                <w:color w:val="auto"/>
              </w:rPr>
            </w:pPr>
            <w:r>
              <w:rPr>
                <w:rFonts w:ascii="Arial" w:cs="Arial" w:eastAsia="Arial" w:hAnsi="Arial"/>
                <w:sz w:val="17"/>
                <w:szCs w:val="17"/>
                <w:color w:val="0000FF"/>
                <w:w w:val="93"/>
              </w:rPr>
              <w:t>09/23/2014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00" w:type="dxa"/>
            <w:vAlign w:val="bottom"/>
            <w:vMerge w:val="restart"/>
          </w:tcPr>
          <w:p>
            <w:pPr>
              <w:jc w:val="right"/>
              <w:ind w:right="109"/>
              <w:spacing w:after="0"/>
              <w:rPr>
                <w:sz w:val="20"/>
                <w:szCs w:val="20"/>
                <w:color w:val="auto"/>
              </w:rPr>
            </w:pPr>
            <w:r>
              <w:rPr>
                <w:rFonts w:ascii="Arial" w:cs="Arial" w:eastAsia="Arial" w:hAnsi="Arial"/>
                <w:sz w:val="17"/>
                <w:szCs w:val="17"/>
                <w:color w:val="0000FF"/>
              </w:rPr>
              <w:t>11,336</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ind w:left="6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18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118,907</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jc w:val="center"/>
              <w:ind w:left="388"/>
              <w:spacing w:after="0"/>
              <w:rPr>
                <w:sz w:val="20"/>
                <w:szCs w:val="20"/>
                <w:color w:val="auto"/>
              </w:rPr>
            </w:pPr>
            <w:r>
              <w:rPr>
                <w:rFonts w:ascii="Arial" w:cs="Arial" w:eastAsia="Arial" w:hAnsi="Arial"/>
                <w:sz w:val="17"/>
                <w:szCs w:val="17"/>
                <w:color w:val="0000FF"/>
                <w:w w:val="93"/>
              </w:rPr>
              <w:t>09/23/2014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right"/>
              <w:ind w:right="109"/>
              <w:spacing w:after="0"/>
              <w:rPr>
                <w:sz w:val="20"/>
                <w:szCs w:val="20"/>
                <w:color w:val="auto"/>
              </w:rPr>
            </w:pPr>
            <w:r>
              <w:rPr>
                <w:rFonts w:ascii="Arial" w:cs="Arial" w:eastAsia="Arial" w:hAnsi="Arial"/>
                <w:sz w:val="17"/>
                <w:szCs w:val="17"/>
                <w:color w:val="0000FF"/>
              </w:rPr>
              <w:t>11,336</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25.3847</w:t>
            </w:r>
            <w:r>
              <w:rPr>
                <w:rFonts w:ascii="Arial" w:cs="Arial" w:eastAsia="Arial" w:hAnsi="Arial"/>
                <w:sz w:val="22"/>
                <w:szCs w:val="22"/>
                <w:color w:val="008000"/>
                <w:w w:val="90"/>
                <w:vertAlign w:val="superscript"/>
              </w:rPr>
              <w:t>(5)</w:t>
            </w: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10,101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jc w:val="right"/>
              <w:ind w:right="233"/>
              <w:spacing w:after="0" w:line="148" w:lineRule="exact"/>
              <w:rPr>
                <w:sz w:val="20"/>
                <w:szCs w:val="20"/>
                <w:color w:val="auto"/>
              </w:rPr>
            </w:pPr>
            <w:r>
              <w:rPr>
                <w:rFonts w:ascii="Arial" w:cs="Arial" w:eastAsia="Arial" w:hAnsi="Arial"/>
                <w:sz w:val="13"/>
                <w:szCs w:val="13"/>
                <w:color w:val="0000FF"/>
              </w:rPr>
              <w:t>09/22/2014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10,101</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44,899</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60"/>
              <w:spacing w:after="0"/>
              <w:rPr>
                <w:sz w:val="20"/>
                <w:szCs w:val="20"/>
                <w:color w:val="auto"/>
              </w:rPr>
            </w:pPr>
            <w:r>
              <w:rPr>
                <w:rFonts w:ascii="Arial" w:cs="Arial" w:eastAsia="Arial" w:hAnsi="Arial"/>
                <w:sz w:val="17"/>
                <w:szCs w:val="17"/>
                <w:color w:val="0000FF"/>
                <w:w w:val="99"/>
              </w:rPr>
              <w:t>11,336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jc w:val="right"/>
              <w:ind w:right="233"/>
              <w:spacing w:after="0" w:line="148" w:lineRule="exact"/>
              <w:rPr>
                <w:sz w:val="20"/>
                <w:szCs w:val="20"/>
                <w:color w:val="auto"/>
              </w:rPr>
            </w:pPr>
            <w:r>
              <w:rPr>
                <w:rFonts w:ascii="Arial" w:cs="Arial" w:eastAsia="Arial" w:hAnsi="Arial"/>
                <w:sz w:val="13"/>
                <w:szCs w:val="13"/>
                <w:color w:val="0000FF"/>
              </w:rPr>
              <w:t>09/23/2014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11,336</w:t>
            </w:r>
          </w:p>
        </w:tc>
        <w:tc>
          <w:tcPr>
            <w:tcW w:w="820" w:type="dxa"/>
            <w:vAlign w:val="bottom"/>
            <w:vMerge w:val="continue"/>
          </w:tcPr>
          <w:p>
            <w:pPr>
              <w:spacing w:after="0"/>
              <w:rPr>
                <w:sz w:val="12"/>
                <w:szCs w:val="12"/>
                <w:color w:val="auto"/>
              </w:rPr>
            </w:pPr>
          </w:p>
        </w:tc>
        <w:tc>
          <w:tcPr>
            <w:tcW w:w="800" w:type="dxa"/>
            <w:vAlign w:val="bottom"/>
          </w:tcPr>
          <w:p>
            <w:pPr>
              <w:ind w:left="120"/>
              <w:spacing w:after="0" w:line="148" w:lineRule="exact"/>
              <w:rPr>
                <w:sz w:val="20"/>
                <w:szCs w:val="20"/>
                <w:color w:val="auto"/>
              </w:rPr>
            </w:pPr>
            <w:r>
              <w:rPr>
                <w:rFonts w:ascii="Arial" w:cs="Arial" w:eastAsia="Arial" w:hAnsi="Arial"/>
                <w:sz w:val="13"/>
                <w:szCs w:val="13"/>
                <w:color w:val="0000FF"/>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33,563</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22, 2014 the reporting person exercised previously issued options to purchase an aggregate of 10,101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$25.27 to $25.75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23, 2014 the reporting person exercised previously issued options to purchase an aggregate of 11,336 shares of common stock of ExlService Holdings, Inc.</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$25.22 to $25.63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33,563 of these options are currently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2019-12-16T15:30:00Z</dcterms:created>
  <dcterms:modified xsi:type="dcterms:W3CDTF">2019-12-16T15:30:00Z</dcterms:modified>
</cp:coreProperties>
</file>