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6"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559"/>
        <w:spacing w:after="0"/>
        <w:rPr>
          <w:sz w:val="20"/>
          <w:szCs w:val="20"/>
          <w:color w:val="auto"/>
        </w:rPr>
      </w:pPr>
      <w:r>
        <w:rPr>
          <w:rFonts w:ascii="Arial" w:cs="Arial" w:eastAsia="Arial" w:hAnsi="Arial"/>
          <w:sz w:val="19"/>
          <w:szCs w:val="19"/>
          <w:b w:val="1"/>
          <w:bCs w:val="1"/>
          <w:color w:val="auto"/>
        </w:rPr>
        <w:t>Pursuant to Sections 13 or 15(d) of the Securities Exchange Act of 1934</w:t>
      </w:r>
    </w:p>
    <w:p>
      <w:pPr>
        <w:spacing w:after="0" w:line="24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Date of Report (Date of earliest event reported): February 24,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156845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sectPr>
      </w:pPr>
    </w:p>
    <w:p>
      <w:pPr>
        <w:spacing w:after="0" w:line="394"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001-33089</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82-0572194</w:t>
      </w:r>
    </w:p>
    <w:p>
      <w:pPr>
        <w:spacing w:after="0" w:line="31" w:lineRule="exact"/>
        <w:rPr>
          <w:sz w:val="24"/>
          <w:szCs w:val="24"/>
          <w:color w:val="auto"/>
        </w:rPr>
      </w:pPr>
    </w:p>
    <w:p>
      <w:pPr>
        <w:sectPr>
          <w:pgSz w:w="11900" w:h="16838" w:orient="portrait"/>
          <w:cols w:equalWidth="0" w:num="3">
            <w:col w:w="4740" w:space="720"/>
            <w:col w:w="2980" w:space="720"/>
            <w:col w:w="1700"/>
          </w:cols>
          <w:pgMar w:left="240" w:top="368" w:right="79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1820"/>
          </w:cols>
          <w:pgMar w:left="240" w:top="368" w:right="799" w:bottom="1440" w:gutter="0" w:footer="0" w:header="0"/>
          <w:type w:val="continuous"/>
        </w:sectPr>
      </w:pPr>
    </w:p>
    <w:p>
      <w:pPr>
        <w:spacing w:after="0" w:line="6"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10017</w:t>
      </w:r>
    </w:p>
    <w:p>
      <w:pPr>
        <w:spacing w:after="0" w:line="2" w:lineRule="exact"/>
        <w:rPr>
          <w:sz w:val="24"/>
          <w:szCs w:val="24"/>
          <w:color w:val="auto"/>
        </w:rPr>
      </w:pPr>
    </w:p>
    <w:p>
      <w:pPr>
        <w:jc w:val="center"/>
        <w:ind w:right="-55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Registrant’s telephone number, including area code: (212) 277-7100</w:t>
      </w:r>
    </w:p>
    <w:p>
      <w:pPr>
        <w:spacing w:after="0" w:line="24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(Former name or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p>
      <w:pPr>
        <w:spacing w:after="0" w:line="34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368" w:right="79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w:t>
      </w:r>
    </w:p>
    <w:p>
      <w:pPr>
        <w:spacing w:after="0" w:line="2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1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On February 24, 2015, ExlService Holdings, Inc. (the “Company”) reported its results of operations for the three months and twelve months ended December 31, 2014.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9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On February 24, 2015, the Company issued a press release announcing that the Company’s Board of Directors authorized a three-year $20 million annual common stock repurchase program. Shares may be purchased through December 31, 2017. A copy of the press release is attached as Exhibit 99.2 to this report and is incorporated by reference into this Item 8.01.</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gridSpan w:val="2"/>
          </w:tcPr>
          <w:p>
            <w:pPr>
              <w:ind w:left="460"/>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59"/>
        </w:trPr>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540" w:type="dxa"/>
            <w:vAlign w:val="bottom"/>
            <w:gridSpan w:val="3"/>
          </w:tcPr>
          <w:p>
            <w:pPr>
              <w:ind w:left="2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700" w:type="dxa"/>
            <w:vAlign w:val="bottom"/>
          </w:tcPr>
          <w:p>
            <w:pPr>
              <w:spacing w:after="0"/>
              <w:rPr>
                <w:sz w:val="24"/>
                <w:szCs w:val="24"/>
                <w:color w:val="auto"/>
              </w:rPr>
            </w:pPr>
          </w:p>
        </w:tc>
        <w:tc>
          <w:tcPr>
            <w:tcW w:w="5540" w:type="dxa"/>
            <w:vAlign w:val="bottom"/>
            <w:gridSpan w:val="3"/>
          </w:tcPr>
          <w:p>
            <w:pPr>
              <w:ind w:left="280"/>
              <w:spacing w:after="0"/>
              <w:rPr>
                <w:sz w:val="20"/>
                <w:szCs w:val="20"/>
                <w:color w:val="auto"/>
              </w:rPr>
            </w:pPr>
            <w:r>
              <w:rPr>
                <w:rFonts w:ascii="Arial" w:cs="Arial" w:eastAsia="Arial" w:hAnsi="Arial"/>
                <w:sz w:val="18"/>
                <w:szCs w:val="18"/>
                <w:color w:val="auto"/>
                <w:w w:val="88"/>
              </w:rPr>
              <w:t>Press Release, dated February 24, 2015 (furnished pursuant to Item 2.02)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700" w:type="dxa"/>
            <w:vAlign w:val="bottom"/>
          </w:tcPr>
          <w:p>
            <w:pPr>
              <w:spacing w:after="0"/>
              <w:rPr>
                <w:sz w:val="24"/>
                <w:szCs w:val="24"/>
                <w:color w:val="auto"/>
              </w:rPr>
            </w:pPr>
          </w:p>
        </w:tc>
        <w:tc>
          <w:tcPr>
            <w:tcW w:w="5540" w:type="dxa"/>
            <w:vAlign w:val="bottom"/>
            <w:gridSpan w:val="3"/>
          </w:tcPr>
          <w:p>
            <w:pPr>
              <w:ind w:left="280"/>
              <w:spacing w:after="0"/>
              <w:rPr>
                <w:sz w:val="20"/>
                <w:szCs w:val="20"/>
                <w:color w:val="auto"/>
              </w:rPr>
            </w:pPr>
            <w:r>
              <w:rPr>
                <w:rFonts w:ascii="Arial" w:cs="Arial" w:eastAsia="Arial" w:hAnsi="Arial"/>
                <w:sz w:val="18"/>
                <w:szCs w:val="18"/>
                <w:color w:val="auto"/>
                <w:w w:val="88"/>
              </w:rPr>
              <w:t>Press Release, dated February 24, 2015 (furnished pursuant to Item 8.01)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7800" w:type="dxa"/>
            <w:vAlign w:val="bottom"/>
            <w:gridSpan w:val="2"/>
          </w:tcPr>
          <w:p>
            <w:pPr>
              <w:ind w:left="1840"/>
              <w:spacing w:after="0"/>
              <w:rPr>
                <w:sz w:val="20"/>
                <w:szCs w:val="20"/>
                <w:color w:val="auto"/>
              </w:rPr>
            </w:pPr>
            <w:r>
              <w:rPr>
                <w:rFonts w:ascii="Arial" w:cs="Arial" w:eastAsia="Arial" w:hAnsi="Arial"/>
                <w:sz w:val="18"/>
                <w:szCs w:val="18"/>
                <w:color w:val="auto"/>
              </w:rPr>
              <w:t>EXLSERVICE HOLDINGS, INC.</w:t>
            </w:r>
          </w:p>
        </w:tc>
      </w:tr>
      <w:tr>
        <w:trPr>
          <w:trHeight w:val="230"/>
        </w:trPr>
        <w:tc>
          <w:tcPr>
            <w:tcW w:w="3620" w:type="dxa"/>
            <w:vAlign w:val="bottom"/>
          </w:tcPr>
          <w:p>
            <w:pPr>
              <w:spacing w:after="0"/>
              <w:rPr>
                <w:sz w:val="20"/>
                <w:szCs w:val="20"/>
                <w:color w:val="auto"/>
              </w:rPr>
            </w:pPr>
          </w:p>
        </w:tc>
        <w:tc>
          <w:tcPr>
            <w:tcW w:w="7800" w:type="dxa"/>
            <w:vAlign w:val="bottom"/>
            <w:gridSpan w:val="2"/>
          </w:tcPr>
          <w:p>
            <w:pPr>
              <w:ind w:left="1840"/>
              <w:spacing w:after="0"/>
              <w:rPr>
                <w:sz w:val="20"/>
                <w:szCs w:val="20"/>
                <w:color w:val="auto"/>
              </w:rPr>
            </w:pPr>
            <w:r>
              <w:rPr>
                <w:rFonts w:ascii="Arial" w:cs="Arial" w:eastAsia="Arial" w:hAnsi="Arial"/>
                <w:sz w:val="18"/>
                <w:szCs w:val="18"/>
                <w:color w:val="auto"/>
              </w:rPr>
              <w:t>(Registrant)</w:t>
            </w:r>
          </w:p>
        </w:tc>
      </w:tr>
      <w:tr>
        <w:trPr>
          <w:trHeight w:val="554"/>
        </w:trPr>
        <w:tc>
          <w:tcPr>
            <w:tcW w:w="3620" w:type="dxa"/>
            <w:vAlign w:val="bottom"/>
          </w:tcPr>
          <w:p>
            <w:pPr>
              <w:spacing w:after="0"/>
              <w:rPr>
                <w:sz w:val="20"/>
                <w:szCs w:val="20"/>
                <w:color w:val="auto"/>
              </w:rPr>
            </w:pPr>
            <w:r>
              <w:rPr>
                <w:rFonts w:ascii="Arial" w:cs="Arial" w:eastAsia="Arial" w:hAnsi="Arial"/>
                <w:sz w:val="18"/>
                <w:szCs w:val="18"/>
                <w:color w:val="auto"/>
              </w:rPr>
              <w:t>Date: February 24, 2015</w:t>
            </w:r>
          </w:p>
        </w:tc>
        <w:tc>
          <w:tcPr>
            <w:tcW w:w="2440" w:type="dxa"/>
            <w:vAlign w:val="bottom"/>
          </w:tcPr>
          <w:p>
            <w:pPr>
              <w:ind w:left="18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Nancy Saltzman</w:t>
            </w:r>
          </w:p>
        </w:tc>
      </w:tr>
      <w:tr>
        <w:trPr>
          <w:trHeight w:val="209"/>
        </w:trPr>
        <w:tc>
          <w:tcPr>
            <w:tcW w:w="3620" w:type="dxa"/>
            <w:vAlign w:val="bottom"/>
          </w:tcPr>
          <w:p>
            <w:pPr>
              <w:spacing w:after="0"/>
              <w:rPr>
                <w:sz w:val="18"/>
                <w:szCs w:val="18"/>
                <w:color w:val="auto"/>
              </w:rPr>
            </w:pPr>
          </w:p>
        </w:tc>
        <w:tc>
          <w:tcPr>
            <w:tcW w:w="2440" w:type="dxa"/>
            <w:vAlign w:val="bottom"/>
          </w:tcPr>
          <w:p>
            <w:pPr>
              <w:ind w:left="184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Nancy Saltzman</w:t>
            </w:r>
          </w:p>
        </w:tc>
      </w:tr>
      <w:tr>
        <w:trPr>
          <w:trHeight w:val="216"/>
        </w:trPr>
        <w:tc>
          <w:tcPr>
            <w:tcW w:w="3620" w:type="dxa"/>
            <w:vAlign w:val="bottom"/>
          </w:tcPr>
          <w:p>
            <w:pPr>
              <w:spacing w:after="0"/>
              <w:rPr>
                <w:sz w:val="18"/>
                <w:szCs w:val="18"/>
                <w:color w:val="auto"/>
              </w:rPr>
            </w:pPr>
          </w:p>
        </w:tc>
        <w:tc>
          <w:tcPr>
            <w:tcW w:w="2440" w:type="dxa"/>
            <w:vAlign w:val="bottom"/>
          </w:tcPr>
          <w:p>
            <w:pPr>
              <w:ind w:left="184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30"/>
        </w:trPr>
        <w:tc>
          <w:tcPr>
            <w:tcW w:w="36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274"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380" w:type="dxa"/>
            <w:vAlign w:val="bottom"/>
          </w:tcPr>
          <w:p>
            <w:pPr>
              <w:ind w:left="2280"/>
              <w:spacing w:after="0"/>
              <w:rPr>
                <w:sz w:val="20"/>
                <w:szCs w:val="20"/>
                <w:color w:val="auto"/>
              </w:rPr>
            </w:pPr>
            <w:r>
              <w:rPr>
                <w:rFonts w:ascii="Arial" w:cs="Arial" w:eastAsia="Arial" w:hAnsi="Arial"/>
                <w:sz w:val="18"/>
                <w:szCs w:val="18"/>
                <w:b w:val="1"/>
                <w:bCs w:val="1"/>
                <w:color w:val="auto"/>
              </w:rPr>
              <w:t>EXHIBIT INDEX</w:t>
            </w:r>
          </w:p>
        </w:tc>
      </w:tr>
      <w:tr>
        <w:trPr>
          <w:trHeight w:val="44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5740" w:type="dxa"/>
            <w:vAlign w:val="bottom"/>
            <w:gridSpan w:val="3"/>
          </w:tcPr>
          <w:p>
            <w:pPr>
              <w:ind w:left="48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500" w:type="dxa"/>
            <w:vAlign w:val="bottom"/>
          </w:tcPr>
          <w:p>
            <w:pPr>
              <w:spacing w:after="0"/>
              <w:rPr>
                <w:sz w:val="24"/>
                <w:szCs w:val="24"/>
                <w:color w:val="auto"/>
              </w:rPr>
            </w:pPr>
          </w:p>
        </w:tc>
        <w:tc>
          <w:tcPr>
            <w:tcW w:w="5740" w:type="dxa"/>
            <w:vAlign w:val="bottom"/>
            <w:gridSpan w:val="3"/>
          </w:tcPr>
          <w:p>
            <w:pPr>
              <w:ind w:left="480"/>
              <w:spacing w:after="0"/>
              <w:rPr>
                <w:sz w:val="20"/>
                <w:szCs w:val="20"/>
                <w:color w:val="auto"/>
              </w:rPr>
            </w:pPr>
            <w:r>
              <w:rPr>
                <w:rFonts w:ascii="Arial" w:cs="Arial" w:eastAsia="Arial" w:hAnsi="Arial"/>
                <w:sz w:val="18"/>
                <w:szCs w:val="18"/>
                <w:color w:val="auto"/>
                <w:w w:val="88"/>
              </w:rPr>
              <w:t>Press Release, dated February 24, 2015 (furnished pursuant to Item 2.02)</w:t>
            </w:r>
          </w:p>
        </w:tc>
      </w:tr>
      <w:tr>
        <w:trPr>
          <w:trHeight w:val="324"/>
        </w:trPr>
        <w:tc>
          <w:tcPr>
            <w:tcW w:w="880" w:type="dxa"/>
            <w:vAlign w:val="bottom"/>
          </w:tcPr>
          <w:p>
            <w:pPr>
              <w:spacing w:after="0"/>
              <w:rPr>
                <w:sz w:val="20"/>
                <w:szCs w:val="20"/>
                <w:color w:val="auto"/>
              </w:rPr>
            </w:pPr>
            <w:r>
              <w:rPr>
                <w:rFonts w:ascii="Arial" w:cs="Arial" w:eastAsia="Arial" w:hAnsi="Arial"/>
                <w:sz w:val="18"/>
                <w:szCs w:val="18"/>
                <w:color w:val="auto"/>
              </w:rPr>
              <w:t>99.2</w:t>
            </w:r>
          </w:p>
        </w:tc>
        <w:tc>
          <w:tcPr>
            <w:tcW w:w="500" w:type="dxa"/>
            <w:vAlign w:val="bottom"/>
          </w:tcPr>
          <w:p>
            <w:pPr>
              <w:spacing w:after="0"/>
              <w:rPr>
                <w:sz w:val="24"/>
                <w:szCs w:val="24"/>
                <w:color w:val="auto"/>
              </w:rPr>
            </w:pPr>
          </w:p>
        </w:tc>
        <w:tc>
          <w:tcPr>
            <w:tcW w:w="5740" w:type="dxa"/>
            <w:vAlign w:val="bottom"/>
            <w:gridSpan w:val="3"/>
          </w:tcPr>
          <w:p>
            <w:pPr>
              <w:ind w:left="480"/>
              <w:spacing w:after="0"/>
              <w:rPr>
                <w:sz w:val="20"/>
                <w:szCs w:val="20"/>
                <w:color w:val="auto"/>
              </w:rPr>
            </w:pPr>
            <w:r>
              <w:rPr>
                <w:rFonts w:ascii="Arial" w:cs="Arial" w:eastAsia="Arial" w:hAnsi="Arial"/>
                <w:sz w:val="18"/>
                <w:szCs w:val="18"/>
                <w:color w:val="auto"/>
                <w:w w:val="88"/>
              </w:rPr>
              <w:t>Press Release, dated February 24, 2015 (furnished pursuant to Item 8.01)</w:t>
            </w:r>
          </w:p>
        </w:tc>
      </w:tr>
    </w:tbl>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ExlService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280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right="1006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auto"/>
        </w:rPr>
        <w:t>ir@exlservice.com</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2014 FOURTH QUARTER AND FULL YEAR RESULTS AND PROVIDES GUIDANCE FOR CALENDAR YEAR 2015</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2014 Fourth Quarter Revenues of $135.3 Million and Adjusted Diluted EPS of $0.48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2014 Revenues of $499.3 Million and Adjusted Diluted EPS of $1.82</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2015 Revenue Guidance of $570 million to $590 million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i w:val="1"/>
          <w:iCs w:val="1"/>
          <w:color w:val="auto"/>
        </w:rPr>
        <w:t>2015 Adjusted Diluted EPS Guidance of $1.85 to $1.95</w:t>
      </w:r>
    </w:p>
    <w:p>
      <w:pPr>
        <w:spacing w:after="0" w:line="225" w:lineRule="exact"/>
        <w:rPr>
          <w:sz w:val="20"/>
          <w:szCs w:val="20"/>
          <w:color w:val="auto"/>
        </w:rPr>
      </w:pPr>
    </w:p>
    <w:p>
      <w:pPr>
        <w:ind w:right="560"/>
        <w:spacing w:after="0" w:line="342" w:lineRule="auto"/>
        <w:rPr>
          <w:sz w:val="20"/>
          <w:szCs w:val="20"/>
          <w:color w:val="auto"/>
        </w:rPr>
      </w:pPr>
      <w:r>
        <w:rPr>
          <w:rFonts w:ascii="Arial" w:cs="Arial" w:eastAsia="Arial" w:hAnsi="Arial"/>
          <w:sz w:val="16"/>
          <w:szCs w:val="16"/>
          <w:color w:val="auto"/>
        </w:rPr>
        <w:t>New York, NY – February 24, 2015 – ExlService Holdings, Inc. (NASDAQ: EXLS), a leading provider of Operations Management and Analytics and Business Transformation services, today announced its financial results for the fourth quarter of 2014 and the year ended December 31, 2014.</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Rohit Kapoor, Vice Chairman and CEO, commented: “EXL had a strong finish to 2014 with record annual revenues and earnings. In 2014, we achieved revenues, excluding reimbursement of disentanglement costs, of $525.6 million and $1.82 of adjusted diluted EPS. Our revenue growth this year was led by our Analytics and Business Transformation segment and specifically Analytics, which grew 44% year over year. Operations Management made progress with the implementation of our proprietary Business EXLerator Framework™ across client relationships while adding to our suite of BPaaS offerings that integrate process management and technology platforms. The integration of our recent acquisitions is proceeding well, and we are starting to actively take our combined capabilities to market.</w:t>
      </w:r>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 am pleased to announce the signing of an agreement to acquire analytics firm RPM Direct. This strategic acquisition combines EXL’s large-scale analytics team with RPM’s leading data-driven marketing analytics expertise and proprietary data assets focused on insurance and healthcare. RPM maintains its own database on over 250 million consumers in the U.S. in order to drive optimal data-driven decision making and predictive analytics through a flexible, on-demand service model. With the acquisition of RPM, Analytics is now expected to represent more than 20% of EXL’s revenues.</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Looking at the year ahead, I am optimistic about the demand environment, and see EXL extremely well positioned with a range of solutions to help our clients look deeper to find innovative solutions to their business challenges.”</w:t>
      </w:r>
    </w:p>
    <w:p>
      <w:pPr>
        <w:spacing w:after="0" w:line="170"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Vishal Chhibbar, EXL’s CFO, commented: “In the fourth quarter, EXL achieved record revenues of $135.3 million, or $143.8 million, excluding reimbursement of disentanglement costs representing growth of 15.5% year-over year. Robust quarterly revenue growth combined with stable adjusted operating margins results in adjusted diluted earnings per share of $0.48, up 8.8% from the prior quarter.</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announced today that our Board of Directors authorized a three-year, $20 million annual common stock repurchase program, effective immediately. The share repurchase program will allow us to use our strong balance sheet, including $188 million of cash and short-term investments at December 31, 2014, to limit dilution from equity-based compensation.</w:t>
      </w:r>
    </w:p>
    <w:p>
      <w:pPr>
        <w:spacing w:after="0" w:line="18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2015, we are providing revenue guidance of $570 million to $590 million, representing annual revenue growth of 8.5% to 12.5%, and adjusted diluted earnings per share of $1.85 to $1.95. Our guidance excludes any contribution from the pending acquisition of RPM Direct.”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 w:name="page5"/>
    <w:bookmarkEnd w:id="4"/>
    <w:p>
      <w:pPr>
        <w:ind w:right="260"/>
        <w:spacing w:after="0" w:line="264"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business is divided into two reporting segments: Operations Management (previously Outsourcing) and Analytics and Business Transformation (previously Transformation). We changed our reporting segment nomenclature for 2014 in order to better describe the nature of our engagements with our clients. The business composition of each reporting segment remains unchanged.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Reconciliations of adjusted financial measures to GAAP are included at the end of this release.</w:t>
      </w:r>
    </w:p>
    <w:p>
      <w:pPr>
        <w:spacing w:after="0" w:line="131" w:lineRule="exact"/>
        <w:rPr>
          <w:sz w:val="20"/>
          <w:szCs w:val="20"/>
          <w:color w:val="auto"/>
        </w:rPr>
      </w:pPr>
    </w:p>
    <w:p>
      <w:pPr>
        <w:ind w:left="900" w:right="140" w:hanging="325"/>
        <w:spacing w:after="0" w:line="293"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for the quarter ended December 31, 2014 were $135.3 million compared to $124.1 million for the quarter ended December 31, 2013 and $122.5 million for the quarter ended September 30, 2014. Revenues for the quarter ended December 31, 2014 were reduced by approximately $8.5 million due to the reimbursement of disentanglement costs. Operations Management revenues for the quarter ended December 31, 2014 were $103.1 million compared to $100.4 million for the quarter ended December 31, 2013 and $91.2 million for the quarter ended September 30, 2014. Analytics and Business Transformation revenues for the quarter ended December 31, 2014 were $32.2 million compared to $23.7 million for the quarter ended December 31, 2013 and $31.3 million for the quarter ended September 30, 2014.</w:t>
      </w:r>
    </w:p>
    <w:p>
      <w:pPr>
        <w:spacing w:after="0" w:line="70" w:lineRule="exact"/>
        <w:rPr>
          <w:rFonts w:ascii="Arial" w:cs="Arial" w:eastAsia="Arial" w:hAnsi="Arial"/>
          <w:sz w:val="16"/>
          <w:szCs w:val="16"/>
          <w:color w:val="auto"/>
        </w:rPr>
      </w:pPr>
    </w:p>
    <w:p>
      <w:pPr>
        <w:ind w:left="900" w:right="140" w:hanging="325"/>
        <w:spacing w:after="0" w:line="25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for the quarter ended December 31, 2014 was 32.5% compared to 42.0% for the quarter ended December 31, 2013 and 30.6% for the quarter ended September 30, 2014. Operations Management gross margin for the quarter ended December 31, 2014 was 32.8% compared to 43.4% for the quarter ended December 31, 2013 and 31.0% for the quarter ended September 30, 2014. Analytics and Business Transformation gross margin for the quarter ended December 31, 2014 was 31.5% compared to 35.7% for the quarter ended December 31, 2013 and 29.4% for the quarter ended September 30, 2014.</w:t>
      </w:r>
    </w:p>
    <w:p>
      <w:pPr>
        <w:spacing w:after="0" w:line="93" w:lineRule="exact"/>
        <w:rPr>
          <w:rFonts w:ascii="Arial" w:cs="Arial" w:eastAsia="Arial" w:hAnsi="Arial"/>
          <w:sz w:val="18"/>
          <w:szCs w:val="18"/>
          <w:color w:val="auto"/>
        </w:rPr>
      </w:pPr>
    </w:p>
    <w:p>
      <w:pPr>
        <w:ind w:left="900" w:right="40" w:hanging="325"/>
        <w:spacing w:after="0" w:line="25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margin for the quarter ended December 31, 2014 was 5.2% compared to 18.5% for the quarter ended December 31, 2013 and 4.4% for the quarter ended September 30, 2014. Adjusted operating margin for the quarter ended December 31, 2014 was 14.1% compared to 21.9% for the quarter ended December 31, 2013 and 14.3% for the quarter ended September 30, 2014. Adjusted EBITDA for the quarter ended December 31, 2014 was $26.1 million compared to $31.8 million for the quarter ended December 31, 2013 and $24.4 million for the quarter ended September 30, 2014.</w:t>
      </w:r>
    </w:p>
    <w:p>
      <w:pPr>
        <w:spacing w:after="0" w:line="93"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income for the quarter ended December 31, 2014 was $7.5 million compared to $15.9 million for the quarter ended December 31, 2013 and $6.1 million for the quarter ended September 30, 2014.</w:t>
      </w:r>
    </w:p>
    <w:p>
      <w:pPr>
        <w:spacing w:after="0" w:line="75" w:lineRule="exact"/>
        <w:rPr>
          <w:rFonts w:ascii="Arial" w:cs="Arial" w:eastAsia="Arial" w:hAnsi="Arial"/>
          <w:sz w:val="18"/>
          <w:szCs w:val="18"/>
          <w:color w:val="auto"/>
        </w:rPr>
      </w:pPr>
    </w:p>
    <w:p>
      <w:pPr>
        <w:ind w:left="900" w:hanging="325"/>
        <w:spacing w:after="0" w:line="286"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Diluted earnings per share for the quarter ended December 31, 2014 were $0.22, compared to $0.47 for the quarter ended December 31, 2013 and $0.18 for the quarter ended September 30, 2014. Adjusted diluted earnings per share for the quarter ended December 31, 2014 was $0.48 compared to $0.56 for the quarter ended December 31, 2013 and $0.44 for the quarter ended September 30,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w:t>
      </w:r>
    </w:p>
    <w:p>
      <w:pPr>
        <w:spacing w:after="0" w:line="135" w:lineRule="exact"/>
        <w:rPr>
          <w:sz w:val="20"/>
          <w:szCs w:val="20"/>
          <w:color w:val="auto"/>
        </w:rPr>
      </w:pPr>
    </w:p>
    <w:p>
      <w:pPr>
        <w:ind w:left="900" w:right="340" w:hanging="325"/>
        <w:spacing w:after="0" w:line="28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Signed an agreement to acquire analytics firm RPM Direct. The merger consideration for RPM is $47 million in cash plus contingent cash consideration of up to $23 million and approximately $4 million of restricted stock. The acquisition is expected to close in the first quarter of 2015, subject to the fulfillment of certain closing conditions and is expected to be accretive to adjusted EPS.</w:t>
      </w:r>
    </w:p>
    <w:p>
      <w:pPr>
        <w:spacing w:after="0" w:line="70" w:lineRule="exact"/>
        <w:rPr>
          <w:rFonts w:ascii="Arial" w:cs="Arial" w:eastAsia="Arial" w:hAnsi="Arial"/>
          <w:sz w:val="17"/>
          <w:szCs w:val="17"/>
          <w:color w:val="auto"/>
        </w:rPr>
      </w:pPr>
    </w:p>
    <w:p>
      <w:pPr>
        <w:ind w:left="900" w:right="5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Exercised our option to increase credit commitments by $50 million with the same terms and conditions which were available in the credit agreement dated October 27, 2014.</w:t>
      </w:r>
    </w:p>
    <w:p>
      <w:pPr>
        <w:spacing w:after="0" w:line="75" w:lineRule="exact"/>
        <w:rPr>
          <w:rFonts w:ascii="Arial" w:cs="Arial" w:eastAsia="Arial" w:hAnsi="Arial"/>
          <w:sz w:val="18"/>
          <w:szCs w:val="18"/>
          <w:color w:val="auto"/>
        </w:rPr>
      </w:pPr>
    </w:p>
    <w:p>
      <w:pPr>
        <w:ind w:left="900" w:right="600" w:hanging="325"/>
        <w:spacing w:after="0" w:line="342"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Authorized a three-year, $20 million annual common stock repurchase program, effective immediately. Shares may be purchased through December 31, 2017 by the Company on the open market and through private transactions as determined by EXL’s management.</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Elected Deborah Kerr to the Board of Directors effective January 1,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the appointment of Nalin Miglani in the role of EVP, Chief Human Resource Officer.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26 new clients for the year.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5" w:name="page6"/>
    <w:bookmarkEnd w:id="5"/>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Expanded multiple operations management relationships, including migrating 25 new processes in the fourth quarter of 2014.</w:t>
      </w:r>
    </w:p>
    <w:p>
      <w:pPr>
        <w:spacing w:after="0" w:line="130" w:lineRule="exact"/>
        <w:rPr>
          <w:rFonts w:ascii="Arial" w:cs="Arial" w:eastAsia="Arial" w:hAnsi="Arial"/>
          <w:sz w:val="18"/>
          <w:szCs w:val="18"/>
          <w:color w:val="auto"/>
        </w:rPr>
      </w:pPr>
    </w:p>
    <w:p>
      <w:pPr>
        <w:ind w:left="900" w:right="9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Awarded as an “Industry Leader” for security in the business process management (BPM) sector for major, industry-first initiatives in information security by NASSCOM-DSCI.</w:t>
      </w:r>
    </w:p>
    <w:p>
      <w:pPr>
        <w:spacing w:after="0" w:line="75"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Named a leader in the transportation management segment of the 2014 “HfS Blueprint Report: Supply Chain Management BPO,” published by HfS Research.</w:t>
      </w:r>
    </w:p>
    <w:p>
      <w:pPr>
        <w:spacing w:after="0" w:line="75"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an integrated Accounts Receivables Management solution, which combines benchmarking and best practices with state-of-the-art technology and powerful analytics.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Recorded headcount as of December 31, 2014 of 22,800, compared to 23,050 as of September 30, 2014 and 22,200 as of December 31, 2013.</w:t>
      </w:r>
    </w:p>
    <w:p>
      <w:pPr>
        <w:spacing w:after="0" w:line="153" w:lineRule="exact"/>
        <w:rPr>
          <w:rFonts w:ascii="Arial" w:cs="Arial" w:eastAsia="Arial" w:hAnsi="Arial"/>
          <w:sz w:val="16"/>
          <w:szCs w:val="16"/>
          <w:color w:val="auto"/>
        </w:rPr>
      </w:pPr>
    </w:p>
    <w:p>
      <w:pPr>
        <w:ind w:left="900" w:right="8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Reported employee attrition for the quarter ended December 31, 2014 of 33.5%, compared with 38.0% for the quarter ended September 30, 2014 and 25.0% for the quarter ended December 31,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Based on current visibility and an Indian rupee to U.S. dollar exchange rate of 62, the Company is providing the following guidance for calendar year 2015:</w:t>
      </w:r>
    </w:p>
    <w:p>
      <w:pPr>
        <w:spacing w:after="0" w:line="154"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of $570 million to $590 million.</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diluted earnings per share, excluding the impact of stock-based compensation expense, amortization of intangibles and associated tax impacts, of $1.85 to $1.95.</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Guidance excludes any contribution from the pending acquisition of RPM Direct.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17" w:lineRule="exact"/>
        <w:rPr>
          <w:sz w:val="20"/>
          <w:szCs w:val="20"/>
          <w:color w:val="auto"/>
        </w:rPr>
      </w:pPr>
    </w:p>
    <w:p>
      <w:pPr>
        <w:ind w:right="500"/>
        <w:spacing w:after="0" w:line="279" w:lineRule="auto"/>
        <w:rPr>
          <w:sz w:val="20"/>
          <w:szCs w:val="20"/>
          <w:color w:val="auto"/>
        </w:rPr>
      </w:pPr>
      <w:r>
        <w:rPr>
          <w:rFonts w:ascii="Arial" w:cs="Arial" w:eastAsia="Arial" w:hAnsi="Arial"/>
          <w:sz w:val="17"/>
          <w:szCs w:val="17"/>
          <w:color w:val="auto"/>
        </w:rPr>
        <w:t xml:space="preserve">ExlService Holdings, Inc. will host a conference call on Tuesday, February 24, 2015 at 8:00 a.m. (ET) to discuss the Company’s quarterly and annual operating and financial results. The conference call will be available live via the internet by accessing the investor relations section of EXL’s website at </w:t>
      </w:r>
      <w:r>
        <w:rPr>
          <w:rFonts w:ascii="Arial" w:cs="Arial" w:eastAsia="Arial" w:hAnsi="Arial"/>
          <w:sz w:val="17"/>
          <w:szCs w:val="17"/>
          <w:u w:val="single" w:color="auto"/>
          <w:color w:val="auto"/>
        </w:rPr>
        <w:t>ir.exlservice.com</w:t>
      </w:r>
      <w:r>
        <w:rPr>
          <w:rFonts w:ascii="Arial" w:cs="Arial" w:eastAsia="Arial" w:hAnsi="Arial"/>
          <w:sz w:val="17"/>
          <w:szCs w:val="17"/>
          <w:color w:val="auto"/>
        </w:rPr>
        <w:t>, where an accompanying investor-friendly spreadsheet of historical operating and financial data can also be accessed. Please go to the website at least fifteen minutes prior to the call to register, download and install any necessary audio software.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To listen to the conference call via phone, please dial 1-877-303-6384 or 1-224-357-2191 and an operator will assist you. For those who cannot access the live broadcast, a replay will be available on the EXL website </w:t>
      </w:r>
      <w:r>
        <w:rPr>
          <w:rFonts w:ascii="Arial" w:cs="Arial" w:eastAsia="Arial" w:hAnsi="Arial"/>
          <w:sz w:val="18"/>
          <w:szCs w:val="18"/>
          <w:u w:val="single" w:color="auto"/>
          <w:color w:val="auto"/>
        </w:rPr>
        <w:t>ir.exlservice.com</w:t>
      </w:r>
      <w:r>
        <w:rPr>
          <w:rFonts w:ascii="Arial" w:cs="Arial" w:eastAsia="Arial" w:hAnsi="Arial"/>
          <w:sz w:val="18"/>
          <w:szCs w:val="18"/>
          <w:color w:val="auto"/>
        </w:rPr>
        <w: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(Audited)</w:t>
            </w: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1"/>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499,278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478,452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332,535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290,942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91,371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72,050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187,510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52,073</w:t>
            </w:r>
          </w:p>
        </w:tc>
        <w:tc>
          <w:tcPr>
            <w:tcW w:w="0" w:type="dxa"/>
            <w:vAlign w:val="bottom"/>
          </w:tcPr>
          <w:p>
            <w:pPr>
              <w:spacing w:after="0"/>
              <w:rPr>
                <w:sz w:val="1"/>
                <w:szCs w:val="1"/>
                <w:color w:val="auto"/>
              </w:rPr>
            </w:pPr>
          </w:p>
        </w:tc>
      </w:tr>
      <w:tr>
        <w:trPr>
          <w:trHeight w:val="223"/>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65,381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39,294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36,376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10,482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24,917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6,074</w:t>
            </w:r>
          </w:p>
        </w:tc>
        <w:tc>
          <w:tcPr>
            <w:tcW w:w="0" w:type="dxa"/>
            <w:vAlign w:val="bottom"/>
          </w:tcPr>
          <w:p>
            <w:pPr>
              <w:spacing w:after="0"/>
              <w:rPr>
                <w:sz w:val="1"/>
                <w:szCs w:val="1"/>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132,703</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6"/>
              </w:rPr>
              <w:t>120,090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36,850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67,420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income/(expense) :</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loss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Interest and other income, net</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3,603</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2,547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743</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37,638</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64,977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8,131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5,193</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16,880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32,445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48,097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15,859</w:t>
            </w: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324"/>
        </w:trPr>
        <w:tc>
          <w:tcPr>
            <w:tcW w:w="552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0.96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1.42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0.22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90"/>
              </w:rPr>
              <w:t>Weighted-average number of shares used in computing earnings per share:</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340"/>
              <w:spacing w:after="0"/>
              <w:rPr>
                <w:sz w:val="20"/>
                <w:szCs w:val="20"/>
                <w:color w:val="auto"/>
              </w:rPr>
            </w:pPr>
            <w:r>
              <w:rPr>
                <w:rFonts w:ascii="Arial" w:cs="Arial" w:eastAsia="Arial" w:hAnsi="Arial"/>
                <w:sz w:val="18"/>
                <w:szCs w:val="18"/>
                <w:color w:val="auto"/>
              </w:rPr>
              <w:t>Basic</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32,804,606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32,750,178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32,986,276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32,788,489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33,636,593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6"/>
              </w:rPr>
              <w:t>33,842,938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33,761,462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33,792,757</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60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176,499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11,577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80,244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12,533</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302,391</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45,369</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34,564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11,985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46,979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139,599</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23,975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18,897</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573,556</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7,690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employee cost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37,606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40,206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90,968</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Long term borrowings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Capital lease obligations, less current portion</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560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12,870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19,812</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154,398</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tcPr>
          <w:p>
            <w:pPr>
              <w:spacing w:after="0" w:line="201" w:lineRule="exact"/>
              <w:rPr>
                <w:sz w:val="20"/>
                <w:szCs w:val="20"/>
                <w:color w:val="auto"/>
              </w:rPr>
            </w:pPr>
            <w:r>
              <w:rPr>
                <w:rFonts w:ascii="Arial" w:cs="Arial" w:eastAsia="Arial" w:hAnsi="Arial"/>
                <w:sz w:val="18"/>
                <w:szCs w:val="18"/>
                <w:color w:val="auto"/>
                <w:w w:val="98"/>
              </w:rPr>
              <w:t>Common stock, $0.001 par value; 100,000,000 shares authorized, 34,203,352 shares issued and 32,905,467 shares</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outstanding as of December 31, 2014 and 33,342,312 shares issued and 32,172,183 shares outstanding as of</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tcPr>
          <w:p>
            <w:pPr>
              <w:ind w:left="160"/>
              <w:spacing w:after="0"/>
              <w:rPr>
                <w:sz w:val="20"/>
                <w:szCs w:val="20"/>
                <w:color w:val="auto"/>
              </w:rPr>
            </w:pPr>
            <w:r>
              <w:rPr>
                <w:rFonts w:ascii="Arial" w:cs="Arial" w:eastAsia="Arial" w:hAnsi="Arial"/>
                <w:sz w:val="18"/>
                <w:szCs w:val="18"/>
                <w:color w:val="auto"/>
              </w:rPr>
              <w:t>December 31, 2013</w:t>
            </w: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paid-in-capital</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233,173</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269,424</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(55,509)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(60,718)</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447,122</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390,816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w w:val="93"/>
              </w:rPr>
              <w:t>Less: 1,297,885 shares as of December 31, 2014 and 1,170,129 shares as of December 31, 2013, held in treasury, at cost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(27,964)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(24,642)</w:t>
            </w:r>
          </w:p>
        </w:tc>
        <w:tc>
          <w:tcPr>
            <w:tcW w:w="0" w:type="dxa"/>
            <w:vAlign w:val="bottom"/>
          </w:tcPr>
          <w:p>
            <w:pPr>
              <w:spacing w:after="0"/>
              <w:rPr>
                <w:sz w:val="1"/>
                <w:szCs w:val="1"/>
                <w:color w:val="auto"/>
              </w:rPr>
            </w:pPr>
          </w:p>
        </w:tc>
      </w:tr>
      <w:tr>
        <w:trPr>
          <w:trHeight w:val="230"/>
        </w:trPr>
        <w:tc>
          <w:tcPr>
            <w:tcW w:w="92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419,158</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573,556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463,432</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5660"/>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adjusted financial measures (adjusted EBITDA, adjusted net income and adjusted diluted earnings per share) that the Securities and Exchange Commission defines as “non-GAAP financial measures.” The adjusted financial measures disclosed by the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adjusted measures may help investors better understand EXL’s underlying financial performance. Management also believes that these adjusted financial measures, when read in conjunction with EXL’s reported results, can provide useful supplemental information for investors analyzing period to period comparisons of the Company’s results and comparisons of the Company’s results with the results of other companies. EXL believes that it is unreasonably difficult to provide its financial outlook in accordance with GAAP for a number of reasons including, without limitation, EXL’s inability to predict its future stock-based compensation expense under ASC Topic 718 and the amortization of intangibles associated with further acquisitions, and the uncertainty around the reimbursement of transition and disentanglement costs for a disclosed client issue. EXL also incurs significant non-cash charges for depreciation that may not be indicative of the Company’s ability to generate cash flow.</w:t>
      </w:r>
    </w:p>
    <w:p>
      <w:pPr>
        <w:spacing w:after="0" w:line="180"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Additionally, EXL provides certain information on a constant currency basis, which reflects a comparison of current period results translated at the prior period currency rates. This information is provided because EXL believes that it provides useful incremental information to investors regarding EXL’s operating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reconciliation of these adjusted financial measures from GAAP measures for the year ended December 31, 2014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2013, the three months ended December 31, 2014 and December 31, 2013 and for the three months ended September 30, 2014: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vMerge w:val="restart"/>
          </w:tcPr>
          <w:p>
            <w:pPr>
              <w:jc w:val="right"/>
              <w:ind w:right="96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vMerge w:val="restart"/>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2014</w:t>
            </w:r>
          </w:p>
        </w:tc>
        <w:tc>
          <w:tcPr>
            <w:tcW w:w="4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(GAAP)</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499,278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478,452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135,286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124,123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122,457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w w:val="95"/>
              </w:rPr>
              <w:t>add: Reimbursement of transition and disentanglement costs (a)</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26,347</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8,532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9,626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 (Non-GAAP)</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95"/>
              </w:rPr>
              <w:t>525,625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5"/>
              </w:rPr>
              <w:t>478,803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143,818</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w w:val="86"/>
              </w:rPr>
              <w:t>124,474</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subtract: Cost of revenues (GAAP)</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w w:val="88"/>
              </w:rPr>
              <w:t>(332,535)</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(290,942)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(91,371)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w w:val="92"/>
              </w:rPr>
              <w:t>(72,050)</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(84,983)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subtract: Operating expenses (GAAP)</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(132,703)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(120,090)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(36,850)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2"/>
              </w:rPr>
              <w:t>(29,098)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(32,083)</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Income from operations (Non-GAAP)</w:t>
            </w: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60,387</w:t>
            </w:r>
          </w:p>
        </w:tc>
        <w:tc>
          <w:tcPr>
            <w:tcW w:w="4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67,771</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15,597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23,326</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15,017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Stock-based compensation expense (b)</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11,011</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2,360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340"/>
              <w:spacing w:after="0"/>
              <w:rPr>
                <w:sz w:val="20"/>
                <w:szCs w:val="20"/>
                <w:color w:val="auto"/>
              </w:rPr>
            </w:pPr>
            <w:r>
              <w:rPr>
                <w:rFonts w:ascii="Arial" w:cs="Arial" w:eastAsia="Arial" w:hAnsi="Arial"/>
                <w:sz w:val="18"/>
                <w:szCs w:val="18"/>
                <w:color w:val="auto"/>
              </w:rPr>
              <w:t>add: Amortization of acquisition-related intangibles (c)</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6,623</w:t>
            </w: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1,536</w:t>
            </w:r>
          </w:p>
        </w:tc>
        <w:tc>
          <w:tcPr>
            <w:tcW w:w="1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income (Non-GAAP)</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78,021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85,903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20,247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27,222</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18,834</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6"/>
              </w:rPr>
              <w:t>Adjusted operating income margin as a % of Revenues (Non-GAAP)</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14.8%</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i w:val="1"/>
                <w:iCs w:val="1"/>
                <w:color w:val="auto"/>
              </w:rPr>
              <w:t>14.1%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21.9%</w:t>
            </w: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i w:val="1"/>
                <w:iCs w:val="1"/>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 Depreciation</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21,405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18,617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4,538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5,573</w:t>
            </w:r>
          </w:p>
        </w:tc>
        <w:tc>
          <w:tcPr>
            <w:tcW w:w="0" w:type="dxa"/>
            <w:vAlign w:val="bottom"/>
          </w:tcPr>
          <w:p>
            <w:pPr>
              <w:spacing w:after="0"/>
              <w:rPr>
                <w:sz w:val="1"/>
                <w:szCs w:val="1"/>
                <w:color w:val="auto"/>
              </w:rPr>
            </w:pPr>
          </w:p>
        </w:tc>
      </w:tr>
      <w:tr>
        <w:trPr>
          <w:trHeight w:val="223"/>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Adjusted EBITDA (Non-GAAP)</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99,426</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104,520</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26,069</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31,760</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24,407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Adjusted EBITDA margin as a % of Revenues (Non-GAAP)</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18.9%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21.8%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18.1%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25.5%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18.5%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reimbursement of transition and disentanglement costs for a disclosed client issue.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vMerge w:val="restart"/>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580" w:type="dxa"/>
            <w:vAlign w:val="bottom"/>
            <w:gridSpan w:val="6"/>
            <w:vMerge w:val="restart"/>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4"/>
                <w:szCs w:val="14"/>
                <w:color w:val="auto"/>
              </w:rPr>
            </w:pPr>
          </w:p>
        </w:tc>
        <w:tc>
          <w:tcPr>
            <w:tcW w:w="15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7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3"/>
              </w:rPr>
              <w:t>32,445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48,097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15,859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add: Stock-based compensation expense (a)</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11,011</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11,832</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2,360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 Amortization of acquisition-related intangibles (b)</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add: reimbursement of transition and disentanglement costs (c)</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26,347</w:t>
            </w: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351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9,626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subtract: Tax impact on stock-based compensation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(4,520)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subtract: Tax impact on amortization of acquisition-related intangibles</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subtract: Tax impact on reimbursement of transition and disentanglement costs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(10,012)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(3,242)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(3,658)</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b w:val="1"/>
                <w:bCs w:val="1"/>
                <w:color w:val="auto"/>
              </w:rPr>
              <w:t>Adjusted net income (Non-GAAP)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b w:val="1"/>
                <w:bCs w:val="1"/>
                <w:color w:val="auto"/>
                <w:w w:val="83"/>
              </w:rPr>
              <w:t>61,330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61,213</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16,102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18,903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diluted earnings per share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0.56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exclude stock-based compensation expense under ASC Topic 718.</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exclude amortization of acquisition-related intangibles.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exclude reimbursement of transition and disentanglement costs for a disclosed client issue.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EXL</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EXL (NASDAQ: EXLS) is a leading business process solutions company that looks deeper to drive business impact through integrated services and industry knowledge. EXL provides operations management, decision analytics and technology platforms to organizations in insurance, healthcare, banking and financial services, utilities, travel, and transportation and logistics, among others. We work as a strategic partner to help our clients streamline business operations, improve corporate finance, manage compliance, create new channels for growth and better adapt to change. Headquartered in New York and in business since 1999, EXL has approximately 23,000 professionals in locations throughout the U.S., Europe and Asia. For more information, visit </w:t>
      </w:r>
      <w:r>
        <w:rPr>
          <w:rFonts w:ascii="Arial" w:cs="Arial" w:eastAsia="Arial" w:hAnsi="Arial"/>
          <w:sz w:val="18"/>
          <w:szCs w:val="18"/>
          <w:u w:val="single" w:color="auto"/>
          <w:color w:val="auto"/>
        </w:rPr>
        <w:t>www.exlservice.com.</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2014.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0" w:right="25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b w:val="1"/>
          <w:bCs w:val="1"/>
          <w:color w:val="auto"/>
        </w:rPr>
        <w:t>Exhibit 99.2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EXL Announces Three-Year $20 Million Annual Share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Repurchase Program</w:t>
      </w:r>
    </w:p>
    <w:p>
      <w:pPr>
        <w:spacing w:after="0" w:line="202"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NEW YORK, February 24, 2015 </w:t>
      </w:r>
      <w:r>
        <w:rPr>
          <w:rFonts w:ascii="Arial" w:cs="Arial" w:eastAsia="Arial" w:hAnsi="Arial"/>
          <w:sz w:val="18"/>
          <w:szCs w:val="18"/>
          <w:color w:val="auto"/>
        </w:rPr>
        <w:t>— ExlService Holdings, Inc. (NASDAQ: EXLS) today announced that its Board of Directors has authorized a three-year</w:t>
      </w:r>
      <w:r>
        <w:rPr>
          <w:rFonts w:ascii="Arial" w:cs="Arial" w:eastAsia="Arial" w:hAnsi="Arial"/>
          <w:sz w:val="18"/>
          <w:szCs w:val="18"/>
          <w:b w:val="1"/>
          <w:bCs w:val="1"/>
          <w:color w:val="auto"/>
        </w:rPr>
        <w:t xml:space="preserve"> </w:t>
      </w:r>
      <w:r>
        <w:rPr>
          <w:rFonts w:ascii="Arial" w:cs="Arial" w:eastAsia="Arial" w:hAnsi="Arial"/>
          <w:sz w:val="18"/>
          <w:szCs w:val="18"/>
          <w:color w:val="auto"/>
        </w:rPr>
        <w:t>$20 million annual common stock repurchase program, effective immediately. The intent of the repurchase program is to offset dilution from annual employee equity grants.</w:t>
      </w:r>
    </w:p>
    <w:p>
      <w:pPr>
        <w:spacing w:after="0" w:line="180"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“We have a strong balance sheet with cash and cash equivalents of $188 million as of December 31, 2014, and our business generates over $100 million of adjusted EBITDA each year,” commented Rohit Kapoor, Vice Chairman and CEO of EXL. “This repurchase program demonstrates our confidence in our long-term growth outlook, while also allowing us the flexibility to continue to make strategic investments and acquisitions.”</w:t>
      </w:r>
    </w:p>
    <w:p>
      <w:pPr>
        <w:spacing w:after="0" w:line="16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Shares may be purchased through December 31, 2017 by the Company on the open market and through private transactions as determined by EXL’s management. The Company expects that open market repurchases under the repurchase program will be structured to comply with Rule 10b-18 under the Securities Exchange Act of 1934, as amended, which sets certain restrictions on the method, timing, price and volume of open market stock repurchases. The Company may discontinue repurchases at any time that management determines additional purchases are not warranted.</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EXL (NASDAQ: EXLS) is a leading business process solutions company that looks deeper to drive business impact through integrated services and industry knowledge. EXL provides operations management, decision analytics and technology platforms to organizations in insurance, healthcare, banking and financial services, utilities, travel, and transportation and logistics, among others. We work as a strategic partner to help our clients streamline business operations, improve corporate finance, manage compliance, create new channels for growth and better adapt to change. Headquartered in New York and in business since 1999, EXL has more than 23,000 professionals in locations throughout the U.S., Europe and Asia. For more information, visit </w:t>
      </w:r>
      <w:r>
        <w:rPr>
          <w:rFonts w:ascii="Arial" w:cs="Arial" w:eastAsia="Arial" w:hAnsi="Arial"/>
          <w:sz w:val="18"/>
          <w:szCs w:val="18"/>
          <w:u w:val="single" w:color="auto"/>
          <w:color w:val="auto"/>
        </w:rPr>
        <w:t>www.exlservice.com</w:t>
      </w:r>
      <w:r>
        <w:rPr>
          <w:rFonts w:ascii="Arial" w:cs="Arial" w:eastAsia="Arial" w:hAnsi="Arial"/>
          <w:sz w:val="18"/>
          <w:szCs w:val="18"/>
          <w:color w:val="auto"/>
        </w:rPr>
        <w:t>.</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This press release contains forward-looking statements. You should not place undue reliance on those statements because they are subject to numerous uncertainties and factors relating to the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2014.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Steven N. Barlow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212-624-5913</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steven.barlow@exlservice.com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212"/>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2019-12-08T12:02:34Z</dcterms:created>
  <dcterms:modified xsi:type="dcterms:W3CDTF">2019-12-08T12:02:34Z</dcterms:modified>
</cp:coreProperties>
</file>