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Meckey Samuel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02/20/2020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02/20/2020</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1,342</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0000FF"/>
              </w:rPr>
              <w:t>2,817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02/20/2020</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467</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78.56</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2,350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1,342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02/20/2020</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1,342</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w w:val="96"/>
              </w:rPr>
              <w:t>4,028</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3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20, 2020.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jc w:val="both"/>
        <w:ind w:left="40" w:right="28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20, 2019, the reporting person was granted 5,370 restricted stock units, vesting in four annual installments beginning on the first anniversary of the grant date. 25 percent of the restricted stock units became vested on February 20, 2020, an additional twenty-five percent of the restricted stock units will vest on February 20, 2021, an additional twenty-five percent of the restricted stock units will vest on February 20, 2022; and the remaining balance of twenty-five percent of the restricted stock units will vest on February 20, 2023.</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5855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2020-02-24T16:48:19Z</dcterms:created>
  <dcterms:modified xsi:type="dcterms:W3CDTF">2020-02-24T16:48:19Z</dcterms:modified>
</cp:coreProperties>
</file>