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5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508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94"/>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Times New Roman" w:cs="Times New Roman" w:eastAsia="Times New Roman" w:hAnsi="Times New Roman"/>
                <w:sz w:val="17"/>
                <w:szCs w:val="17"/>
                <w:color w:val="0000FF"/>
              </w:rPr>
              <w:t>02/27/2026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9,579</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169,031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Times New Roman" w:cs="Times New Roman" w:eastAsia="Times New Roman" w:hAnsi="Times New Roman"/>
                <w:sz w:val="17"/>
                <w:szCs w:val="17"/>
                <w:color w:val="0000FF"/>
              </w:rPr>
              <w:t>02/27/2026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3,736</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30.99</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165,295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9,579</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02/27/2026</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9,579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19,158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the reporting person was granted 38,316 restricted stock units, vesting in four equal annual installments beginning on the first anniversary of the grant date. 25 percent of the restricted stock units became vested on February 27, 2025, an additional 25 percent of the restricted stock units became vested on February 27, 2026, an additional 25 percent of the restricted stock units will vest on February 27, 2027, and the remaining balance of 25 percent of the restricted stock units will vest on February 27,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2026-03-03T16:43:14Z</dcterms:created>
  <dcterms:modified xsi:type="dcterms:W3CDTF">2026-03-03T16:43:14Z</dcterms:modified>
</cp:coreProperties>
</file>