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7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560705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WASHINGTON, D.C. 20549</w:t>
      </w:r>
    </w:p>
    <w:p>
      <w:pPr>
        <w:spacing w:after="0" w:line="7"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1" w:lineRule="exact"/>
        <w:rPr>
          <w:sz w:val="24"/>
          <w:szCs w:val="24"/>
          <w:color w:val="auto"/>
        </w:rPr>
      </w:pPr>
    </w:p>
    <w:p>
      <w:pPr>
        <w:jc w:val="center"/>
        <w:ind w:right="-579"/>
        <w:spacing w:after="0"/>
        <w:rPr>
          <w:sz w:val="20"/>
          <w:szCs w:val="20"/>
          <w:color w:val="auto"/>
        </w:rPr>
      </w:pPr>
      <w:r>
        <w:rPr>
          <w:rFonts w:ascii="Arial" w:cs="Arial" w:eastAsia="Arial" w:hAnsi="Arial"/>
          <w:sz w:val="29"/>
          <w:szCs w:val="29"/>
          <w:b w:val="1"/>
          <w:bCs w:val="1"/>
          <w:color w:val="auto"/>
        </w:rPr>
        <w:t>FORM 8-K</w:t>
      </w:r>
    </w:p>
    <w:p>
      <w:pPr>
        <w:spacing w:after="0" w:line="6"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25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CURRENT REPORT</w:t>
      </w:r>
    </w:p>
    <w:p>
      <w:pPr>
        <w:spacing w:after="0" w:line="266" w:lineRule="exact"/>
        <w:rPr>
          <w:sz w:val="24"/>
          <w:szCs w:val="24"/>
          <w:color w:val="auto"/>
        </w:rPr>
      </w:pPr>
    </w:p>
    <w:p>
      <w:pPr>
        <w:ind w:left="2980"/>
        <w:spacing w:after="0"/>
        <w:rPr>
          <w:sz w:val="20"/>
          <w:szCs w:val="20"/>
          <w:color w:val="auto"/>
        </w:rPr>
      </w:pPr>
      <w:r>
        <w:rPr>
          <w:rFonts w:ascii="Arial" w:cs="Arial" w:eastAsia="Arial" w:hAnsi="Arial"/>
          <w:sz w:val="17"/>
          <w:szCs w:val="17"/>
          <w:b w:val="1"/>
          <w:bCs w:val="1"/>
          <w:color w:val="auto"/>
        </w:rPr>
        <w:t>Pursuant to Sections 13 or 15(d) of the Securities Exchange Act of 1934</w:t>
      </w:r>
    </w:p>
    <w:p>
      <w:pPr>
        <w:spacing w:after="0" w:line="6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Date of Report (Date of earliest event reported): May 2, 2017</w:t>
      </w:r>
    </w:p>
    <w:p>
      <w:pPr>
        <w:spacing w:after="0" w:line="59" w:lineRule="exact"/>
        <w:rPr>
          <w:sz w:val="24"/>
          <w:szCs w:val="24"/>
          <w:color w:val="auto"/>
        </w:rPr>
      </w:pPr>
    </w:p>
    <w:p>
      <w:pPr>
        <w:ind w:left="318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pacing w:after="0" w:line="39" w:lineRule="exact"/>
        <w:rPr>
          <w:sz w:val="24"/>
          <w:szCs w:val="24"/>
          <w:color w:val="auto"/>
        </w:rPr>
      </w:pPr>
    </w:p>
    <w:p>
      <w:pPr>
        <w:jc w:val="center"/>
        <w:ind w:right="-579"/>
        <w:spacing w:after="0"/>
        <w:rPr>
          <w:sz w:val="20"/>
          <w:szCs w:val="20"/>
          <w:color w:val="auto"/>
        </w:rPr>
      </w:pPr>
      <w:r>
        <w:rPr>
          <w:rFonts w:ascii="Arial" w:cs="Arial" w:eastAsia="Arial" w:hAnsi="Arial"/>
          <w:sz w:val="36"/>
          <w:szCs w:val="36"/>
          <w:b w:val="1"/>
          <w:bCs w:val="1"/>
          <w:color w:val="auto"/>
        </w:rPr>
        <w:t>EXLSERVICE HOLDINGS, INC.</w:t>
      </w:r>
    </w:p>
    <w:p>
      <w:pPr>
        <w:spacing w:after="0" w:line="36" w:lineRule="exact"/>
        <w:rPr>
          <w:sz w:val="24"/>
          <w:szCs w:val="24"/>
          <w:color w:val="auto"/>
        </w:rPr>
      </w:pPr>
    </w:p>
    <w:p>
      <w:pPr>
        <w:jc w:val="center"/>
        <w:ind w:right="-57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 w:lineRule="exact"/>
        <w:rPr>
          <w:sz w:val="24"/>
          <w:szCs w:val="24"/>
          <w:color w:val="auto"/>
        </w:rPr>
      </w:pPr>
    </w:p>
    <w:p>
      <w:pPr>
        <w:ind w:left="3140"/>
        <w:spacing w:after="0"/>
        <w:rPr>
          <w:sz w:val="20"/>
          <w:szCs w:val="20"/>
          <w:color w:val="auto"/>
        </w:rPr>
      </w:pPr>
      <w:r>
        <w:rPr>
          <w:rFonts w:ascii="Arial" w:cs="Arial" w:eastAsia="Arial" w:hAnsi="Arial"/>
          <w:sz w:val="17"/>
          <w:szCs w:val="17"/>
          <w:b w:val="1"/>
          <w:bCs w:val="1"/>
          <w:color w:val="auto"/>
        </w:rPr>
        <w:t>_________________________________________________________</w:t>
      </w:r>
    </w:p>
    <w:p>
      <w:pPr>
        <w:sectPr>
          <w:pgSz w:w="11900" w:h="16838" w:orient="portrait"/>
          <w:cols w:equalWidth="0" w:num="1">
            <w:col w:w="10860"/>
          </w:cols>
          <w:pgMar w:left="240" w:top="999" w:right="799" w:bottom="1440" w:gutter="0" w:footer="0" w:header="0"/>
        </w:sectPr>
      </w:pPr>
    </w:p>
    <w:p>
      <w:pPr>
        <w:spacing w:after="0" w:line="200" w:lineRule="exact"/>
        <w:rPr>
          <w:sz w:val="24"/>
          <w:szCs w:val="24"/>
          <w:color w:val="auto"/>
        </w:rPr>
      </w:pPr>
    </w:p>
    <w:p>
      <w:pPr>
        <w:spacing w:after="0" w:line="219" w:lineRule="exact"/>
        <w:rPr>
          <w:sz w:val="24"/>
          <w:szCs w:val="24"/>
          <w:color w:val="auto"/>
        </w:rPr>
      </w:pPr>
    </w:p>
    <w:p>
      <w:pPr>
        <w:ind w:left="15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0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1380"/>
        <w:spacing w:after="0"/>
        <w:rPr>
          <w:sz w:val="20"/>
          <w:szCs w:val="20"/>
          <w:color w:val="auto"/>
        </w:rPr>
      </w:pPr>
      <w:r>
        <w:rPr>
          <w:rFonts w:ascii="Arial" w:cs="Arial" w:eastAsia="Arial" w:hAnsi="Arial"/>
          <w:sz w:val="18"/>
          <w:szCs w:val="18"/>
          <w:b w:val="1"/>
          <w:bCs w:val="1"/>
          <w:color w:val="auto"/>
        </w:rPr>
        <w:t>001-33089</w:t>
      </w:r>
    </w:p>
    <w:p>
      <w:pPr>
        <w:spacing w:after="0" w:line="27" w:lineRule="exact"/>
        <w:rPr>
          <w:sz w:val="24"/>
          <w:szCs w:val="24"/>
          <w:color w:val="auto"/>
        </w:rPr>
      </w:pPr>
    </w:p>
    <w:p>
      <w:pPr>
        <w:jc w:val="center"/>
        <w:ind w:right="13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82-0572194</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6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060" w:space="720"/>
            <w:col w:w="3380" w:space="720"/>
            <w:col w:w="1980"/>
          </w:cols>
          <w:pgMar w:left="240" w:top="999" w:right="799" w:bottom="1440" w:gutter="0" w:footer="0" w:header="0"/>
          <w:type w:val="continuous"/>
        </w:sectPr>
      </w:pPr>
    </w:p>
    <w:p>
      <w:pPr>
        <w:spacing w:after="0" w:line="236"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280 Park Avenue, 38th Floor</w:t>
      </w:r>
    </w:p>
    <w:p>
      <w:pPr>
        <w:spacing w:after="0" w:line="27"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New York, New York 10017</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8"/>
          <w:szCs w:val="18"/>
          <w:color w:val="auto"/>
        </w:rPr>
        <w:t>(Address of principal executive offices)</w:t>
      </w:r>
    </w:p>
    <w:p>
      <w:pPr>
        <w:spacing w:after="0" w:line="274" w:lineRule="exact"/>
        <w:rPr>
          <w:sz w:val="24"/>
          <w:szCs w:val="24"/>
          <w:color w:val="auto"/>
        </w:rPr>
      </w:pPr>
    </w:p>
    <w:p>
      <w:pPr>
        <w:ind w:left="32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(212) 277-7100</w:t>
      </w:r>
    </w:p>
    <w:p>
      <w:pPr>
        <w:spacing w:after="0" w:line="28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579"/>
        <w:spacing w:after="0"/>
        <w:rPr>
          <w:sz w:val="20"/>
          <w:szCs w:val="20"/>
          <w:color w:val="auto"/>
        </w:rPr>
      </w:pPr>
      <w:r>
        <w:rPr>
          <w:rFonts w:ascii="Arial" w:cs="Arial" w:eastAsia="Arial" w:hAnsi="Arial"/>
          <w:sz w:val="18"/>
          <w:szCs w:val="18"/>
          <w:color w:val="auto"/>
        </w:rPr>
        <w:t>(Former name or address, if changed since last report)</w:t>
      </w:r>
    </w:p>
    <w:p>
      <w:pPr>
        <w:spacing w:after="0" w:line="9"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____________________________________________</w:t>
      </w:r>
    </w:p>
    <w:p>
      <w:pPr>
        <w:sectPr>
          <w:pgSz w:w="11900" w:h="16838" w:orient="portrait"/>
          <w:cols w:equalWidth="0" w:num="1">
            <w:col w:w="10860"/>
          </w:cols>
          <w:pgMar w:left="240" w:top="999" w:right="799" w:bottom="1440" w:gutter="0" w:footer="0" w:header="0"/>
          <w:type w:val="continuous"/>
        </w:sectPr>
      </w:pPr>
    </w:p>
    <w:p>
      <w:pPr>
        <w:spacing w:after="0" w:line="25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obligation of the registrant under any of the following provisions:</w:t>
      </w:r>
    </w:p>
    <w:p>
      <w:pPr>
        <w:spacing w:after="0" w:line="373" w:lineRule="exact"/>
        <w:rPr>
          <w:sz w:val="24"/>
          <w:szCs w:val="24"/>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Arial" w:cs="Arial" w:eastAsia="Arial" w:hAnsi="Arial"/>
          <w:sz w:val="18"/>
          <w:szCs w:val="18"/>
          <w:color w:val="auto"/>
        </w:rPr>
      </w:pPr>
    </w:p>
    <w:p>
      <w:pPr>
        <w:ind w:left="620" w:hanging="585"/>
        <w:spacing w:after="0"/>
        <w:tabs>
          <w:tab w:leader="none" w:pos="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60"/>
          </w:cols>
          <w:pgMar w:left="240" w:top="999" w:right="79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4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May 2, 2017, ExlService Holdings, Inc. (the “Company”) reported its results of operations for the three months ended March 31, 2017. A copy of the press release issued by the Company concerning the foregoing is furnished herewith as Exhibit 99.1 and is incorporated herein by reference. The information provided in Item 2.02 of this report, including Exhibit 99.1, shall not be deemed to be “filed” for purposes of Section 18 of the Securities Exchange Act of 1934, as amended.</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620" w:type="dxa"/>
            <w:vAlign w:val="bottom"/>
            <w:gridSpan w:val="3"/>
          </w:tcPr>
          <w:p>
            <w:pPr>
              <w:ind w:left="540"/>
              <w:spacing w:after="0"/>
              <w:rPr>
                <w:sz w:val="20"/>
                <w:szCs w:val="20"/>
                <w:color w:val="auto"/>
              </w:rPr>
            </w:pPr>
            <w:r>
              <w:rPr>
                <w:rFonts w:ascii="Arial" w:cs="Arial" w:eastAsia="Arial" w:hAnsi="Arial"/>
                <w:sz w:val="18"/>
                <w:szCs w:val="18"/>
                <w:b w:val="1"/>
                <w:bCs w:val="1"/>
                <w:color w:val="auto"/>
              </w:rPr>
              <w:t>Description</w:t>
            </w:r>
          </w:p>
        </w:tc>
      </w:tr>
      <w:tr>
        <w:trPr>
          <w:trHeight w:val="453"/>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180" w:type="dxa"/>
            <w:vAlign w:val="bottom"/>
          </w:tcPr>
          <w:p>
            <w:pPr>
              <w:ind w:left="280"/>
              <w:spacing w:after="0"/>
              <w:rPr>
                <w:sz w:val="20"/>
                <w:szCs w:val="20"/>
                <w:color w:val="auto"/>
              </w:rPr>
            </w:pPr>
            <w:r>
              <w:rPr>
                <w:rFonts w:ascii="Arial" w:cs="Arial" w:eastAsia="Arial" w:hAnsi="Arial"/>
                <w:sz w:val="18"/>
                <w:szCs w:val="18"/>
                <w:color w:val="auto"/>
                <w:w w:val="89"/>
              </w:rPr>
              <w:t>Press Release, dated May 2, 2017 (furnished pursuant to Item 2.02).</w:t>
            </w:r>
          </w:p>
        </w:tc>
      </w:tr>
    </w:tbl>
    <w:p>
      <w:pPr>
        <w:sectPr>
          <w:pgSz w:w="11900" w:h="16838" w:orient="portrait"/>
          <w:cols w:equalWidth="0" w:num="1">
            <w:col w:w="11420"/>
          </w:cols>
          <w:pgMar w:left="240" w:top="850"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3200" w:type="dxa"/>
            <w:vAlign w:val="bottom"/>
          </w:tcPr>
          <w:p>
            <w:pPr>
              <w:spacing w:after="0"/>
              <w:rPr>
                <w:sz w:val="19"/>
                <w:szCs w:val="19"/>
                <w:color w:val="auto"/>
              </w:rPr>
            </w:pPr>
          </w:p>
        </w:tc>
        <w:tc>
          <w:tcPr>
            <w:tcW w:w="8180" w:type="dxa"/>
            <w:vAlign w:val="bottom"/>
            <w:gridSpan w:val="2"/>
          </w:tcPr>
          <w:p>
            <w:pPr>
              <w:ind w:left="1820"/>
              <w:spacing w:after="0"/>
              <w:rPr>
                <w:sz w:val="20"/>
                <w:szCs w:val="20"/>
                <w:color w:val="auto"/>
              </w:rPr>
            </w:pPr>
            <w:r>
              <w:rPr>
                <w:rFonts w:ascii="Arial" w:cs="Arial" w:eastAsia="Arial" w:hAnsi="Arial"/>
                <w:sz w:val="18"/>
                <w:szCs w:val="18"/>
                <w:b w:val="1"/>
                <w:bCs w:val="1"/>
                <w:color w:val="auto"/>
              </w:rPr>
              <w:t>EXLSERVICE HOLDINGS, INC.</w:t>
            </w:r>
          </w:p>
        </w:tc>
      </w:tr>
      <w:tr>
        <w:trPr>
          <w:trHeight w:val="230"/>
        </w:trPr>
        <w:tc>
          <w:tcPr>
            <w:tcW w:w="3200" w:type="dxa"/>
            <w:vAlign w:val="bottom"/>
          </w:tcPr>
          <w:p>
            <w:pPr>
              <w:spacing w:after="0"/>
              <w:rPr>
                <w:sz w:val="20"/>
                <w:szCs w:val="20"/>
                <w:color w:val="auto"/>
              </w:rPr>
            </w:pPr>
          </w:p>
        </w:tc>
        <w:tc>
          <w:tcPr>
            <w:tcW w:w="3160" w:type="dxa"/>
            <w:vAlign w:val="bottom"/>
          </w:tcPr>
          <w:p>
            <w:pPr>
              <w:ind w:left="1820"/>
              <w:spacing w:after="0"/>
              <w:rPr>
                <w:sz w:val="20"/>
                <w:szCs w:val="20"/>
                <w:color w:val="auto"/>
              </w:rPr>
            </w:pPr>
            <w:r>
              <w:rPr>
                <w:rFonts w:ascii="Arial" w:cs="Arial" w:eastAsia="Arial" w:hAnsi="Arial"/>
                <w:sz w:val="18"/>
                <w:szCs w:val="18"/>
                <w:color w:val="auto"/>
              </w:rPr>
              <w:t>(Registrant)</w:t>
            </w:r>
          </w:p>
        </w:tc>
        <w:tc>
          <w:tcPr>
            <w:tcW w:w="5020" w:type="dxa"/>
            <w:vAlign w:val="bottom"/>
          </w:tcPr>
          <w:p>
            <w:pPr>
              <w:spacing w:after="0"/>
              <w:rPr>
                <w:sz w:val="20"/>
                <w:szCs w:val="20"/>
                <w:color w:val="auto"/>
              </w:rPr>
            </w:pPr>
          </w:p>
        </w:tc>
      </w:tr>
      <w:tr>
        <w:trPr>
          <w:trHeight w:val="864"/>
        </w:trPr>
        <w:tc>
          <w:tcPr>
            <w:tcW w:w="3200" w:type="dxa"/>
            <w:vAlign w:val="bottom"/>
          </w:tcPr>
          <w:p>
            <w:pPr>
              <w:spacing w:after="0"/>
              <w:rPr>
                <w:sz w:val="20"/>
                <w:szCs w:val="20"/>
                <w:color w:val="auto"/>
              </w:rPr>
            </w:pPr>
            <w:r>
              <w:rPr>
                <w:rFonts w:ascii="Arial" w:cs="Arial" w:eastAsia="Arial" w:hAnsi="Arial"/>
                <w:sz w:val="18"/>
                <w:szCs w:val="18"/>
                <w:color w:val="auto"/>
              </w:rPr>
              <w:t>Date: May 2, 2017</w:t>
            </w:r>
          </w:p>
        </w:tc>
        <w:tc>
          <w:tcPr>
            <w:tcW w:w="3160" w:type="dxa"/>
            <w:vAlign w:val="bottom"/>
          </w:tcPr>
          <w:p>
            <w:pPr>
              <w:ind w:left="1820"/>
              <w:spacing w:after="0"/>
              <w:rPr>
                <w:sz w:val="20"/>
                <w:szCs w:val="20"/>
                <w:color w:val="auto"/>
              </w:rPr>
            </w:pPr>
            <w:r>
              <w:rPr>
                <w:rFonts w:ascii="Arial" w:cs="Arial" w:eastAsia="Arial" w:hAnsi="Arial"/>
                <w:sz w:val="18"/>
                <w:szCs w:val="18"/>
                <w:color w:val="auto"/>
              </w:rPr>
              <w:t>By:</w:t>
            </w:r>
          </w:p>
        </w:tc>
        <w:tc>
          <w:tcPr>
            <w:tcW w:w="5020" w:type="dxa"/>
            <w:vAlign w:val="bottom"/>
          </w:tcPr>
          <w:p>
            <w:pPr>
              <w:ind w:left="40"/>
              <w:spacing w:after="0"/>
              <w:rPr>
                <w:sz w:val="20"/>
                <w:szCs w:val="20"/>
                <w:color w:val="auto"/>
              </w:rPr>
            </w:pPr>
            <w:r>
              <w:rPr>
                <w:rFonts w:ascii="Arial" w:cs="Arial" w:eastAsia="Arial" w:hAnsi="Arial"/>
                <w:sz w:val="18"/>
                <w:szCs w:val="18"/>
                <w:color w:val="auto"/>
              </w:rPr>
              <w:t>/s/ Nancy Saltzman</w:t>
            </w:r>
          </w:p>
        </w:tc>
      </w:tr>
      <w:tr>
        <w:trPr>
          <w:trHeight w:val="41"/>
        </w:trPr>
        <w:tc>
          <w:tcPr>
            <w:tcW w:w="3200" w:type="dxa"/>
            <w:vAlign w:val="bottom"/>
          </w:tcPr>
          <w:p>
            <w:pPr>
              <w:spacing w:after="0"/>
              <w:rPr>
                <w:sz w:val="3"/>
                <w:szCs w:val="3"/>
                <w:color w:val="auto"/>
              </w:rPr>
            </w:pPr>
          </w:p>
        </w:tc>
        <w:tc>
          <w:tcPr>
            <w:tcW w:w="3160" w:type="dxa"/>
            <w:vAlign w:val="bottom"/>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r>
        <w:trPr>
          <w:trHeight w:val="250"/>
        </w:trPr>
        <w:tc>
          <w:tcPr>
            <w:tcW w:w="3200" w:type="dxa"/>
            <w:vAlign w:val="bottom"/>
          </w:tcPr>
          <w:p>
            <w:pPr>
              <w:spacing w:after="0"/>
              <w:rPr>
                <w:sz w:val="21"/>
                <w:szCs w:val="21"/>
                <w:color w:val="auto"/>
              </w:rPr>
            </w:pPr>
          </w:p>
        </w:tc>
        <w:tc>
          <w:tcPr>
            <w:tcW w:w="3160" w:type="dxa"/>
            <w:vAlign w:val="bottom"/>
          </w:tcPr>
          <w:p>
            <w:pPr>
              <w:ind w:left="1820"/>
              <w:spacing w:after="0"/>
              <w:rPr>
                <w:sz w:val="20"/>
                <w:szCs w:val="20"/>
                <w:color w:val="auto"/>
              </w:rPr>
            </w:pPr>
            <w:r>
              <w:rPr>
                <w:rFonts w:ascii="Arial" w:cs="Arial" w:eastAsia="Arial" w:hAnsi="Arial"/>
                <w:sz w:val="18"/>
                <w:szCs w:val="18"/>
                <w:color w:val="auto"/>
              </w:rPr>
              <w:t>Name:</w:t>
            </w:r>
          </w:p>
        </w:tc>
        <w:tc>
          <w:tcPr>
            <w:tcW w:w="5020" w:type="dxa"/>
            <w:vAlign w:val="bottom"/>
          </w:tcPr>
          <w:p>
            <w:pPr>
              <w:ind w:left="40"/>
              <w:spacing w:after="0"/>
              <w:rPr>
                <w:sz w:val="20"/>
                <w:szCs w:val="20"/>
                <w:color w:val="auto"/>
              </w:rPr>
            </w:pPr>
            <w:r>
              <w:rPr>
                <w:rFonts w:ascii="Arial" w:cs="Arial" w:eastAsia="Arial" w:hAnsi="Arial"/>
                <w:sz w:val="18"/>
                <w:szCs w:val="18"/>
                <w:color w:val="auto"/>
              </w:rPr>
              <w:t>Nancy Saltzman</w:t>
            </w:r>
          </w:p>
        </w:tc>
      </w:tr>
      <w:tr>
        <w:trPr>
          <w:trHeight w:val="256"/>
        </w:trPr>
        <w:tc>
          <w:tcPr>
            <w:tcW w:w="3200" w:type="dxa"/>
            <w:vAlign w:val="bottom"/>
          </w:tcPr>
          <w:p>
            <w:pPr>
              <w:spacing w:after="0"/>
              <w:rPr>
                <w:sz w:val="22"/>
                <w:szCs w:val="22"/>
                <w:color w:val="auto"/>
              </w:rPr>
            </w:pPr>
          </w:p>
        </w:tc>
        <w:tc>
          <w:tcPr>
            <w:tcW w:w="3160" w:type="dxa"/>
            <w:vAlign w:val="bottom"/>
          </w:tcPr>
          <w:p>
            <w:pPr>
              <w:ind w:left="1820"/>
              <w:spacing w:after="0"/>
              <w:rPr>
                <w:sz w:val="20"/>
                <w:szCs w:val="20"/>
                <w:color w:val="auto"/>
              </w:rPr>
            </w:pPr>
            <w:r>
              <w:rPr>
                <w:rFonts w:ascii="Arial" w:cs="Arial" w:eastAsia="Arial" w:hAnsi="Arial"/>
                <w:sz w:val="18"/>
                <w:szCs w:val="18"/>
                <w:color w:val="auto"/>
              </w:rPr>
              <w:t>Title:</w:t>
            </w:r>
          </w:p>
        </w:tc>
        <w:tc>
          <w:tcPr>
            <w:tcW w:w="5020" w:type="dxa"/>
            <w:vAlign w:val="bottom"/>
          </w:tcPr>
          <w:p>
            <w:pPr>
              <w:ind w:left="40"/>
              <w:spacing w:after="0"/>
              <w:rPr>
                <w:sz w:val="20"/>
                <w:szCs w:val="20"/>
                <w:color w:val="auto"/>
              </w:rPr>
            </w:pPr>
            <w:r>
              <w:rPr>
                <w:rFonts w:ascii="Arial" w:cs="Arial" w:eastAsia="Arial" w:hAnsi="Arial"/>
                <w:sz w:val="18"/>
                <w:szCs w:val="18"/>
                <w:color w:val="auto"/>
              </w:rPr>
              <w:t>Executive Vice President,</w:t>
            </w:r>
          </w:p>
        </w:tc>
      </w:tr>
      <w:tr>
        <w:trPr>
          <w:trHeight w:val="230"/>
        </w:trPr>
        <w:tc>
          <w:tcPr>
            <w:tcW w:w="32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General Counsel and Secretary</w:t>
            </w:r>
          </w:p>
        </w:tc>
      </w:tr>
    </w:tbl>
    <w:p>
      <w:pPr>
        <w:sectPr>
          <w:pgSz w:w="11900" w:h="16838" w:orient="portrait"/>
          <w:cols w:equalWidth="0" w:num="1">
            <w:col w:w="11420"/>
          </w:cols>
          <w:pgMar w:left="240" w:top="621"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40" w:type="dxa"/>
            <w:vAlign w:val="bottom"/>
          </w:tcPr>
          <w:p>
            <w:pPr>
              <w:ind w:left="2520"/>
              <w:spacing w:after="0"/>
              <w:rPr>
                <w:sz w:val="20"/>
                <w:szCs w:val="20"/>
                <w:color w:val="auto"/>
              </w:rPr>
            </w:pPr>
            <w:r>
              <w:rPr>
                <w:rFonts w:ascii="Arial" w:cs="Arial" w:eastAsia="Arial" w:hAnsi="Arial"/>
                <w:sz w:val="22"/>
                <w:szCs w:val="22"/>
                <w:b w:val="1"/>
                <w:bCs w:val="1"/>
                <w:color w:val="auto"/>
              </w:rPr>
              <w:t>EXHIBIT INDEX</w:t>
            </w:r>
          </w:p>
        </w:tc>
      </w:tr>
      <w:tr>
        <w:trPr>
          <w:trHeight w:val="422"/>
        </w:trPr>
        <w:tc>
          <w:tcPr>
            <w:tcW w:w="880" w:type="dxa"/>
            <w:vAlign w:val="bottom"/>
          </w:tcPr>
          <w:p>
            <w:pPr>
              <w:spacing w:after="0"/>
              <w:rPr>
                <w:sz w:val="20"/>
                <w:szCs w:val="20"/>
                <w:color w:val="auto"/>
              </w:rPr>
            </w:pPr>
            <w:r>
              <w:rPr>
                <w:rFonts w:ascii="Arial" w:cs="Arial" w:eastAsia="Arial" w:hAnsi="Arial"/>
                <w:sz w:val="18"/>
                <w:szCs w:val="18"/>
                <w:b w:val="1"/>
                <w:bCs w:val="1"/>
                <w:color w:val="auto"/>
                <w:w w:val="91"/>
              </w:rPr>
              <w:t>Exhibit No.</w:t>
            </w:r>
          </w:p>
        </w:tc>
        <w:tc>
          <w:tcPr>
            <w:tcW w:w="600" w:type="dxa"/>
            <w:vAlign w:val="bottom"/>
          </w:tcPr>
          <w:p>
            <w:pPr>
              <w:spacing w:after="0"/>
              <w:rPr>
                <w:sz w:val="24"/>
                <w:szCs w:val="24"/>
                <w:color w:val="auto"/>
              </w:rPr>
            </w:pPr>
          </w:p>
        </w:tc>
        <w:tc>
          <w:tcPr>
            <w:tcW w:w="602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399"/>
        </w:trPr>
        <w:tc>
          <w:tcPr>
            <w:tcW w:w="8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0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w w:val="89"/>
              </w:rPr>
              <w:t>Press Release, dated May 2, 2017 (furnished pursuant to Item 2.02).</w:t>
            </w:r>
          </w:p>
        </w:tc>
      </w:tr>
    </w:tbl>
    <w:p>
      <w:pPr>
        <w:sectPr>
          <w:pgSz w:w="11900" w:h="16838" w:orient="portrait"/>
          <w:cols w:equalWidth="0" w:num="1">
            <w:col w:w="10219"/>
          </w:cols>
          <w:pgMar w:left="240" w:top="6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 REPORTS 2017 FIRST QUARTER RESULTS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2017 First Quarter Revenues of $183.0 Million, up 9.6% year over year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Diluted EPS (GAAP) of $0.48, up from $0.40 in Q1 of 2016</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Q1 Adjusted Diluted EPS (Non-GAAP) of $0.60, up from $0.56 in Q1 of 2016</w:t>
      </w:r>
    </w:p>
    <w:p>
      <w:pPr>
        <w:spacing w:after="0" w:line="200" w:lineRule="exact"/>
        <w:rPr>
          <w:sz w:val="20"/>
          <w:szCs w:val="20"/>
          <w:color w:val="auto"/>
        </w:rPr>
      </w:pPr>
    </w:p>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NY - May 2, 2017 - ExlService Holdings, Inc. (NASDAQ: EXLS), a leading operations management and analytics company, today announced its financial results for the quarter ended March 31, 2017.</w:t>
      </w:r>
    </w:p>
    <w:p>
      <w:pPr>
        <w:spacing w:after="0" w:line="6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Rohit Kapoor, Vice Chairman and CEO, commented, “Our first quarter 2017 revenues increased 9.6% year-over-year, or 9.9% on a constant currency basis (non-GAAP), to $183.0 million. Our revenue growth was led by our Analytics segment which grew 25.8% year-over-year, or 26.4% on a constant currency basis. Our operations management businesses, which consist of our Insurance, Healthcare, Travel,Transportation and Logistics, Finance and Accounting and All Other (Banking and Financial Services, Utilities and Consulting) reportable segments, grew 4.7% year-over-year, or 4.9% on a constant currency basis.</w:t>
      </w:r>
    </w:p>
    <w:p>
      <w:pPr>
        <w:spacing w:after="0" w:line="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competitive positioning with our integrated solutions across operations management and analytics continues to be well received in the marketplace. Our demand pipeline is strong and the ramp-ups of 2016 new business wins are tracking to plan giving us confidence that we will achieve our 2017 goals.”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Vishal Chhibbar, CFO, commented, “We have updated our revenue guidance for 2017 to $740 million - $760 million from $735 million - $760 million to reflect better performance in the first quarter and favorable exchange rates versus the U.S. dollar. Our guidance represents annual revenue growth of 8% to 11% on a constant currency basis. Our adjusted diluted EPS guidance for 2017 is unchanged. Our balance sheet remains strong with cash and short-term investments of $218 million.”</w:t>
      </w:r>
    </w:p>
    <w:p>
      <w:pPr>
        <w:sectPr>
          <w:pgSz w:w="11900" w:h="16838" w:orient="portrait"/>
          <w:cols w:equalWidth="0" w:num="1">
            <w:col w:w="11420"/>
          </w:cols>
          <w:pgMar w:left="240" w:top="702"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Financial Highlights: First Quarter 2017</w:t>
      </w:r>
    </w:p>
    <w:p>
      <w:pPr>
        <w:spacing w:after="0" w:line="189" w:lineRule="exact"/>
        <w:rPr>
          <w:sz w:val="20"/>
          <w:szCs w:val="20"/>
          <w:color w:val="auto"/>
        </w:rPr>
      </w:pPr>
    </w:p>
    <w:p>
      <w:pPr>
        <w:jc w:val="both"/>
        <w:spacing w:after="0" w:line="373" w:lineRule="auto"/>
        <w:rPr>
          <w:sz w:val="20"/>
          <w:szCs w:val="20"/>
          <w:color w:val="auto"/>
        </w:rPr>
      </w:pPr>
      <w:r>
        <w:rPr>
          <w:rFonts w:ascii="Arial" w:cs="Arial" w:eastAsia="Arial" w:hAnsi="Arial"/>
          <w:sz w:val="18"/>
          <w:szCs w:val="18"/>
          <w:i w:val="1"/>
          <w:iCs w:val="1"/>
          <w:color w:val="auto"/>
        </w:rPr>
        <w:t>We have six reportable segments: Insurance, Healthcare, Travel, Transportation and Logistics, Finance and Accounting, All Other (Banking and Financial Services, Utilities and Consulting) and Analytics. Reconciliations of adjusted (non-GAAP) financial measures, including those reflecting constant currency, to GAAP measures are included at the end of this release.</w:t>
      </w:r>
    </w:p>
    <w:p>
      <w:pPr>
        <w:spacing w:after="0" w:line="331"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Revenues for the quarter ended March 31, 2017 increased to $183.0 million compared to $167.0 million for the first quarter of 2016, an increase of 9.6% (or 9.9% on a constant currency basis) from the first quarter of 2016, and an increase of 3.2% sequentially from the quarter ended December 31, 2016.</w:t>
      </w:r>
    </w:p>
    <w:p>
      <w:pPr>
        <w:spacing w:after="0" w:line="357" w:lineRule="exact"/>
        <w:rPr>
          <w:sz w:val="20"/>
          <w:szCs w:val="20"/>
          <w:color w:val="auto"/>
        </w:rPr>
      </w:pPr>
    </w:p>
    <w:tbl>
      <w:tblPr>
        <w:tblLayout w:type="fixed"/>
        <w:tblInd w:w="128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3"/>
          </w:tcPr>
          <w:p>
            <w:pPr>
              <w:jc w:val="center"/>
              <w:ind w:left="719"/>
              <w:spacing w:after="0"/>
              <w:rPr>
                <w:sz w:val="20"/>
                <w:szCs w:val="20"/>
                <w:color w:val="auto"/>
              </w:rPr>
            </w:pPr>
            <w:r>
              <w:rPr>
                <w:rFonts w:ascii="Arial" w:cs="Arial" w:eastAsia="Arial" w:hAnsi="Arial"/>
                <w:sz w:val="16"/>
                <w:szCs w:val="16"/>
                <w:b w:val="1"/>
                <w:bCs w:val="1"/>
                <w:color w:val="auto"/>
                <w:w w:val="87"/>
              </w:rPr>
              <w:t>Revenues</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gridSpan w:val="3"/>
          </w:tcPr>
          <w:p>
            <w:pPr>
              <w:ind w:left="1060"/>
              <w:spacing w:after="0"/>
              <w:rPr>
                <w:sz w:val="20"/>
                <w:szCs w:val="20"/>
                <w:color w:val="auto"/>
              </w:rPr>
            </w:pPr>
            <w:r>
              <w:rPr>
                <w:rFonts w:ascii="Arial" w:cs="Arial" w:eastAsia="Arial" w:hAnsi="Arial"/>
                <w:sz w:val="16"/>
                <w:szCs w:val="16"/>
                <w:b w:val="1"/>
                <w:bCs w:val="1"/>
                <w:color w:val="auto"/>
                <w:w w:val="96"/>
              </w:rPr>
              <w:t>Gross Margin</w:t>
            </w:r>
          </w:p>
        </w:tc>
        <w:tc>
          <w:tcPr>
            <w:tcW w:w="980" w:type="dxa"/>
            <w:vAlign w:val="bottom"/>
          </w:tcPr>
          <w:p>
            <w:pPr>
              <w:spacing w:after="0"/>
              <w:rPr>
                <w:sz w:val="18"/>
                <w:szCs w:val="18"/>
                <w:color w:val="auto"/>
              </w:rPr>
            </w:pPr>
          </w:p>
        </w:tc>
      </w:tr>
      <w:tr>
        <w:trPr>
          <w:trHeight w:val="33"/>
        </w:trPr>
        <w:tc>
          <w:tcPr>
            <w:tcW w:w="3340" w:type="dxa"/>
            <w:vAlign w:val="bottom"/>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3060" w:type="dxa"/>
            <w:vAlign w:val="bottom"/>
            <w:tcBorders>
              <w:bottom w:val="single" w:sz="8" w:color="auto"/>
            </w:tcBorders>
            <w:gridSpan w:val="4"/>
          </w:tcPr>
          <w:p>
            <w:pPr>
              <w:spacing w:after="0"/>
              <w:rPr>
                <w:sz w:val="2"/>
                <w:szCs w:val="2"/>
                <w:color w:val="auto"/>
              </w:rPr>
            </w:pPr>
          </w:p>
        </w:tc>
      </w:tr>
      <w:tr>
        <w:trPr>
          <w:trHeight w:val="217"/>
        </w:trPr>
        <w:tc>
          <w:tcPr>
            <w:tcW w:w="3340" w:type="dxa"/>
            <w:vAlign w:val="bottom"/>
            <w:gridSpan w:val="2"/>
          </w:tcPr>
          <w:p>
            <w:pPr>
              <w:ind w:left="20"/>
              <w:spacing w:after="0"/>
              <w:rPr>
                <w:sz w:val="20"/>
                <w:szCs w:val="20"/>
                <w:color w:val="auto"/>
              </w:rPr>
            </w:pPr>
            <w:r>
              <w:rPr>
                <w:rFonts w:ascii="Arial" w:cs="Arial" w:eastAsia="Arial" w:hAnsi="Arial"/>
                <w:sz w:val="16"/>
                <w:szCs w:val="16"/>
                <w:b w:val="1"/>
                <w:bCs w:val="1"/>
                <w:color w:val="auto"/>
              </w:rPr>
              <w:t>Reportable Segments</w:t>
            </w:r>
          </w:p>
        </w:tc>
        <w:tc>
          <w:tcPr>
            <w:tcW w:w="280" w:type="dxa"/>
            <w:vAlign w:val="bottom"/>
          </w:tcPr>
          <w:p>
            <w:pPr>
              <w:spacing w:after="0"/>
              <w:rPr>
                <w:sz w:val="18"/>
                <w:szCs w:val="18"/>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Three months ended March 31,</w:t>
            </w:r>
          </w:p>
        </w:tc>
        <w:tc>
          <w:tcPr>
            <w:tcW w:w="30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Three months ended March 31,</w:t>
            </w:r>
          </w:p>
        </w:tc>
      </w:tr>
      <w:tr>
        <w:trPr>
          <w:trHeight w:val="33"/>
        </w:trPr>
        <w:tc>
          <w:tcPr>
            <w:tcW w:w="316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14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3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6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1"/>
              </w:rPr>
              <w:t>(dollars in millions)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Insurance</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29.0%</w:t>
            </w:r>
          </w:p>
        </w:tc>
      </w:tr>
      <w:tr>
        <w:trPr>
          <w:trHeight w:val="237"/>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Healthcare</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16.4</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Travel, Transportation and Logistics</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40.4%</w:t>
            </w:r>
          </w:p>
        </w:tc>
      </w:tr>
      <w:tr>
        <w:trPr>
          <w:trHeight w:val="237"/>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Finance and Accounting</w:t>
            </w:r>
          </w:p>
        </w:tc>
        <w:tc>
          <w:tcPr>
            <w:tcW w:w="28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38.6%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42.3%</w:t>
            </w:r>
          </w:p>
        </w:tc>
      </w:tr>
      <w:tr>
        <w:trPr>
          <w:trHeight w:val="33"/>
        </w:trPr>
        <w:tc>
          <w:tcPr>
            <w:tcW w:w="3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All Other</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35.1%</w:t>
            </w:r>
          </w:p>
        </w:tc>
      </w:tr>
      <w:tr>
        <w:trPr>
          <w:trHeight w:val="324"/>
        </w:trPr>
        <w:tc>
          <w:tcPr>
            <w:tcW w:w="3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Analytics</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49.0</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36.4%</w:t>
            </w:r>
          </w:p>
        </w:tc>
      </w:tr>
      <w:tr>
        <w:trPr>
          <w:trHeight w:val="244"/>
        </w:trPr>
        <w:tc>
          <w:tcPr>
            <w:tcW w:w="33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11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183.0</w:t>
            </w:r>
          </w:p>
        </w:tc>
        <w:tc>
          <w:tcPr>
            <w:tcW w:w="120" w:type="dxa"/>
            <w:vAlign w:val="bottom"/>
          </w:tcPr>
          <w:p>
            <w:pPr>
              <w:spacing w:after="0"/>
              <w:rPr>
                <w:sz w:val="21"/>
                <w:szCs w:val="21"/>
                <w:color w:val="auto"/>
              </w:rPr>
            </w:pP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167.0</w:t>
            </w:r>
          </w:p>
        </w:tc>
        <w:tc>
          <w:tcPr>
            <w:tcW w:w="100" w:type="dxa"/>
            <w:vAlign w:val="bottom"/>
          </w:tcPr>
          <w:p>
            <w:pPr>
              <w:spacing w:after="0"/>
              <w:rPr>
                <w:sz w:val="21"/>
                <w:szCs w:val="21"/>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21"/>
                <w:szCs w:val="21"/>
                <w:color w:val="auto"/>
              </w:rPr>
            </w:pPr>
          </w:p>
        </w:tc>
        <w:tc>
          <w:tcPr>
            <w:tcW w:w="50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35.1%</w:t>
            </w: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income margin for the quarter ended March 31, 2017 was 8.7% compared to 9.8% in the first quarter of 2016 and 8.0% for the quarter ended December 31, 2016. Adjusted operating income margin for the quarter ending March 31, 2017 was 13.9% compared to 15.0% in the first quarter of 2016 and 12.9% for the quarter ended December 31, 2016.</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Diluted earnings per share for the quarter ended March 31, 2017 was $0.48 compared to $0.40 in the first quarter of 2016 and $0.45 for the quarter ended December 31, 2016. Adjusted diluted earnings per share was $0.60 compared to $0.56 in the first quarter of 2016 and $0.61 for the quarter ended December 31,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Highlights: First Quarter 2017</w:t>
      </w:r>
    </w:p>
    <w:p>
      <w:pPr>
        <w:spacing w:after="0" w:line="229" w:lineRule="exact"/>
        <w:rPr>
          <w:sz w:val="20"/>
          <w:szCs w:val="20"/>
          <w:color w:val="auto"/>
        </w:rPr>
      </w:pPr>
    </w:p>
    <w:p>
      <w:pPr>
        <w:ind w:left="340" w:hanging="26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Won eight new clients, consisting of three new clients in our operations management businesses and five new clients in Analytics.</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Announced an additional $100 million share repurchase authorization for the years 2017 -2019.</w:t>
      </w:r>
    </w:p>
    <w:p>
      <w:pPr>
        <w:spacing w:after="0" w:line="225" w:lineRule="exact"/>
        <w:rPr>
          <w:rFonts w:ascii="Arial" w:cs="Arial" w:eastAsia="Arial" w:hAnsi="Arial"/>
          <w:sz w:val="18"/>
          <w:szCs w:val="18"/>
          <w:color w:val="auto"/>
        </w:rPr>
      </w:pPr>
    </w:p>
    <w:p>
      <w:pPr>
        <w:ind w:left="340" w:hanging="264"/>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Named as the Best Company of the Year, Best Health Information Management Company and Best First Time Nominated Company by the Information and Business Process Association of the Philippines and the Canadian Chamber of Commerce of the Philippines.</w:t>
      </w:r>
    </w:p>
    <w:p>
      <w:pPr>
        <w:spacing w:after="0" w:line="170" w:lineRule="exact"/>
        <w:rPr>
          <w:rFonts w:ascii="Arial" w:cs="Arial" w:eastAsia="Arial" w:hAnsi="Arial"/>
          <w:sz w:val="18"/>
          <w:szCs w:val="18"/>
          <w:color w:val="auto"/>
        </w:rPr>
      </w:pPr>
    </w:p>
    <w:p>
      <w:pPr>
        <w:ind w:left="340" w:hanging="264"/>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Positioned as a Leader in the “Everest Property and Casualty Insurance BPO - Service Provider Landscape with PEAK Matrix™ Assessment 2017.”</w:t>
      </w:r>
    </w:p>
    <w:p>
      <w:pPr>
        <w:spacing w:after="0" w:line="248" w:lineRule="exact"/>
        <w:rPr>
          <w:rFonts w:ascii="Arial" w:cs="Arial" w:eastAsia="Arial" w:hAnsi="Arial"/>
          <w:sz w:val="16"/>
          <w:szCs w:val="16"/>
          <w:color w:val="auto"/>
        </w:rPr>
      </w:pPr>
    </w:p>
    <w:p>
      <w:pPr>
        <w:ind w:left="340" w:hanging="26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Expanded multiple operations management relationships, including migrating 38 new processes.</w:t>
      </w:r>
    </w:p>
    <w:p>
      <w:pPr>
        <w:sectPr>
          <w:pgSz w:w="11900" w:h="16838" w:orient="portrait"/>
          <w:cols w:equalWidth="0" w:num="1">
            <w:col w:w="11420"/>
          </w:cols>
          <w:pgMar w:left="240" w:top="68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2017 Guidance</w:t>
      </w:r>
    </w:p>
    <w:p>
      <w:pPr>
        <w:spacing w:after="0" w:line="22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Based on current visibility and a U.S. Dollar to Indian rupee exchange rate of 66.0, British Pound to U.S. Dollar exchange rate at 1.28, U.S. Dollar to the Philippine Peso exchange rate of 50.0 and all other currencies at current exchange rates, the Company is providing the following guidance for the calendar year 2017:</w:t>
      </w:r>
    </w:p>
    <w:p>
      <w:pPr>
        <w:spacing w:after="0" w:line="181" w:lineRule="exact"/>
        <w:rPr>
          <w:sz w:val="20"/>
          <w:szCs w:val="20"/>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of $740 million to $760 million, representing an annual revenue growth of 8% to 11% on a constant currency basis.</w:t>
      </w:r>
    </w:p>
    <w:p>
      <w:pPr>
        <w:spacing w:after="0" w:line="225" w:lineRule="exact"/>
        <w:rPr>
          <w:rFonts w:ascii="Arial" w:cs="Arial" w:eastAsia="Arial" w:hAnsi="Arial"/>
          <w:sz w:val="18"/>
          <w:szCs w:val="18"/>
          <w:color w:val="auto"/>
        </w:rPr>
      </w:pPr>
    </w:p>
    <w:p>
      <w:pPr>
        <w:ind w:left="340" w:hanging="26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Adjusted diluted earnings per share of $2.50 to $2.60, representing an annual increase of 7% to 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Conference Call</w:t>
      </w:r>
    </w:p>
    <w:p>
      <w:pPr>
        <w:spacing w:after="0" w:line="158" w:lineRule="exact"/>
        <w:rPr>
          <w:sz w:val="20"/>
          <w:szCs w:val="20"/>
          <w:color w:val="auto"/>
        </w:rPr>
      </w:pPr>
    </w:p>
    <w:p>
      <w:pPr>
        <w:jc w:val="both"/>
        <w:spacing w:after="0" w:line="306" w:lineRule="auto"/>
        <w:rPr>
          <w:sz w:val="20"/>
          <w:szCs w:val="20"/>
          <w:color w:val="auto"/>
        </w:rPr>
      </w:pPr>
      <w:r>
        <w:rPr>
          <w:rFonts w:ascii="Arial" w:cs="Arial" w:eastAsia="Arial" w:hAnsi="Arial"/>
          <w:sz w:val="18"/>
          <w:szCs w:val="18"/>
          <w:color w:val="auto"/>
        </w:rPr>
        <w:t xml:space="preserve">ExlService Holdings, Inc. will host a conference call on Tuesday, May 2, 2017 at 8:00 A.M. ET to discuss the Company’s quarterly operating and financial results. The conference call will be available live via the internet by accessing the investor relations section of EXL’s website at </w:t>
      </w:r>
      <w:r>
        <w:rPr>
          <w:rFonts w:ascii="Arial" w:cs="Arial" w:eastAsia="Arial" w:hAnsi="Arial"/>
          <w:sz w:val="18"/>
          <w:szCs w:val="18"/>
          <w:u w:val="single" w:color="auto"/>
          <w:color w:val="0000FF"/>
        </w:rPr>
        <w:t>ir.exlservice.com</w:t>
      </w:r>
      <w:r>
        <w:rPr>
          <w:rFonts w:ascii="Arial" w:cs="Arial" w:eastAsia="Arial" w:hAnsi="Arial"/>
          <w:sz w:val="18"/>
          <w:szCs w:val="18"/>
          <w:color w:val="auto"/>
        </w:rPr>
        <w:t>, where an accompanying investor-friendly spreadsheet of historical operating and financial data can also be accessed. Please access the website at least fifteen minutes prior to the call to register, download and install any necessary audio software.</w:t>
      </w:r>
    </w:p>
    <w:p>
      <w:pPr>
        <w:spacing w:after="0" w:line="79" w:lineRule="exact"/>
        <w:rPr>
          <w:sz w:val="20"/>
          <w:szCs w:val="20"/>
          <w:color w:val="auto"/>
        </w:rPr>
      </w:pPr>
    </w:p>
    <w:p>
      <w:pPr>
        <w:jc w:val="both"/>
        <w:ind w:right="20"/>
        <w:spacing w:after="0" w:line="357" w:lineRule="auto"/>
        <w:rPr>
          <w:sz w:val="20"/>
          <w:szCs w:val="20"/>
          <w:color w:val="auto"/>
        </w:rPr>
      </w:pPr>
      <w:r>
        <w:rPr>
          <w:rFonts w:ascii="Arial" w:cs="Arial" w:eastAsia="Arial" w:hAnsi="Arial"/>
          <w:sz w:val="17"/>
          <w:szCs w:val="17"/>
          <w:color w:val="auto"/>
        </w:rPr>
        <w:t xml:space="preserve">To listen to the conference call via phone, please dial 1-877-303-6384, or if dialing internationally, 1-224-357-2191 and an operator will assist you. For those who cannot access the live broadcast, a replay will be available on the EXL website </w:t>
      </w:r>
      <w:r>
        <w:rPr>
          <w:rFonts w:ascii="Arial" w:cs="Arial" w:eastAsia="Arial" w:hAnsi="Arial"/>
          <w:sz w:val="17"/>
          <w:szCs w:val="17"/>
          <w:u w:val="single" w:color="auto"/>
          <w:color w:val="0000FF"/>
        </w:rPr>
        <w:t>ir.exlservice.com</w:t>
      </w:r>
      <w:r>
        <w:rPr>
          <w:rFonts w:ascii="Arial" w:cs="Arial" w:eastAsia="Arial" w:hAnsi="Arial"/>
          <w:sz w:val="17"/>
          <w:szCs w:val="17"/>
          <w:color w:val="auto"/>
        </w:rPr>
        <w:t xml:space="preserve"> for a period of at least twelve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ExlService Holdings, Inc.</w:t>
      </w:r>
    </w:p>
    <w:p>
      <w:pPr>
        <w:spacing w:after="0" w:line="24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EXL (NASDAQ: EXLS) is a leading operations management and analytics company that designs and enables agile, customer-centric operating models to help clients improve their revenue growth and profitability. Our delivery model provides market-leading business outcomes using EXL’s proprietary Business EXLerator Framework™, cutting-edge analytics, digital transformation and domain expertise. At EXL, we look deeper to help companies improve global operations, enhance data-driven insights, increase customer satisfaction, and manage risk and compliance. EXL serves the insurance, healthcare, banking and financial services, utilities, travel, transportation and logistics industries. Headquartered in New York, New York, EXL has more than 26,000 professionals in locations throughout the United States, Europe, Asia (primarily India and Philippines), South America, Australia and South Africa. For more information, visit </w:t>
      </w:r>
      <w:r>
        <w:rPr>
          <w:rFonts w:ascii="Arial" w:cs="Arial" w:eastAsia="Arial" w:hAnsi="Arial"/>
          <w:sz w:val="18"/>
          <w:szCs w:val="18"/>
          <w:u w:val="single" w:color="auto"/>
          <w:color w:val="0000FF"/>
        </w:rPr>
        <w:t>www.exlservice.com.</w:t>
      </w:r>
    </w:p>
    <w:p>
      <w:pPr>
        <w:spacing w:after="0" w:line="10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b w:val="1"/>
          <w:bCs w:val="1"/>
          <w:color w:val="auto"/>
        </w:rPr>
        <w:t xml:space="preserve">Continuing Statement Regarding Forward-Looking Statements </w:t>
      </w:r>
      <w:r>
        <w:rPr>
          <w:rFonts w:ascii="Arial" w:cs="Arial" w:eastAsia="Arial" w:hAnsi="Arial"/>
          <w:sz w:val="16"/>
          <w:szCs w:val="16"/>
          <w:i w:val="1"/>
          <w:iCs w:val="1"/>
          <w:color w:val="auto"/>
        </w:rPr>
        <w:t>This press release contains forward-looking statements. You should not place undue</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reliance on those statements because they are subject to numerous uncertainties and factors relating to EXL's operations and business environment, all of which are difficult to predict and many of which are beyond EXL’s control. Forward-looking statements include information concerning EXL’s possible or assumed future results of operations, including descriptions of its business strategy. These statements may include words such as “may,” “will,” “should,” “believe,” “expect,” “anticipate,” “intend,” “plan,” “estimate” or similar expressions. These statements are based on assumptions that we have made in light of management's experience in the industry as well as its perceptions of historical trends, current conditions, expected future developments and other factors it believes are appropriate under the circumstances. You should understand that these statements are not guarantees of performance or results. They involve known and unknown risks, uncertainties and assumptions. Although EXL believes that these forward-looking statements are based on reasonable assumptions, you should be aware that many factors could affect EXL’s actual financial results or results of operations and could cause actual results to differ materially from those in the forward-looking statements. These factors are discussed in more detail in EXL’s filings with the Securities and Exchange Commission, including EXL’s Annual Report on Form 10-K for the year ended December 31, 2016. These risks could cause actual results to differ materially from those implied by forward-looking statements in this release. You should keep in mind that any forward-looking statement made herein, or elsewhere, speaks only as of the date on which it is made. New risks and uncertainties come up from time to time, and it is impossible to predict these events or how they may affect EXL. EXL has no obligation to update any forward-looking statements after the date hereof, except as required by federal securities laws.</w:t>
      </w:r>
    </w:p>
    <w:p>
      <w:pPr>
        <w:sectPr>
          <w:pgSz w:w="11900" w:h="16838" w:orient="portrait"/>
          <w:cols w:equalWidth="0" w:num="1">
            <w:col w:w="11420"/>
          </w:cols>
          <w:pgMar w:left="240" w:top="1013" w:right="2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36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6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60" w:type="dxa"/>
            <w:vAlign w:val="bottom"/>
          </w:tcPr>
          <w:p>
            <w:pPr>
              <w:jc w:val="right"/>
              <w:ind w:right="65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183,033</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167,036</w:t>
            </w:r>
          </w:p>
        </w:tc>
        <w:tc>
          <w:tcPr>
            <w:tcW w:w="0" w:type="dxa"/>
            <w:vAlign w:val="bottom"/>
          </w:tcPr>
          <w:p>
            <w:pPr>
              <w:spacing w:after="0"/>
              <w:rPr>
                <w:sz w:val="1"/>
                <w:szCs w:val="1"/>
                <w:color w:val="auto"/>
              </w:rPr>
            </w:pP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Cost of revenues (exclusive of depreciation and amortization)</w:t>
            </w: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120,119</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108,379</w:t>
            </w: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62,914</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58,657</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General and administrative expenses</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24,224</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20,618</w:t>
            </w:r>
          </w:p>
        </w:tc>
        <w:tc>
          <w:tcPr>
            <w:tcW w:w="0" w:type="dxa"/>
            <w:vAlign w:val="bottom"/>
          </w:tcPr>
          <w:p>
            <w:pPr>
              <w:spacing w:after="0"/>
              <w:rPr>
                <w:sz w:val="1"/>
                <w:szCs w:val="1"/>
                <w:color w:val="auto"/>
              </w:rPr>
            </w:pPr>
          </w:p>
        </w:tc>
      </w:tr>
      <w:tr>
        <w:trPr>
          <w:trHeight w:val="224"/>
        </w:trPr>
        <w:tc>
          <w:tcPr>
            <w:tcW w:w="6860" w:type="dxa"/>
            <w:vAlign w:val="bottom"/>
          </w:tcPr>
          <w:p>
            <w:pPr>
              <w:ind w:left="260"/>
              <w:spacing w:after="0"/>
              <w:rPr>
                <w:sz w:val="20"/>
                <w:szCs w:val="20"/>
                <w:color w:val="auto"/>
              </w:rPr>
            </w:pPr>
            <w:r>
              <w:rPr>
                <w:rFonts w:ascii="Arial" w:cs="Arial" w:eastAsia="Arial" w:hAnsi="Arial"/>
                <w:sz w:val="16"/>
                <w:szCs w:val="16"/>
                <w:color w:val="auto"/>
              </w:rPr>
              <w:t>Selling and marketing expenses</w:t>
            </w: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13,362</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13,454</w:t>
            </w: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6"/>
                <w:szCs w:val="16"/>
                <w:color w:val="auto"/>
              </w:rPr>
              <w:t>Depreciation and amortization</w:t>
            </w: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9,426</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8,133</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47,012</w:t>
            </w:r>
          </w:p>
        </w:tc>
        <w:tc>
          <w:tcPr>
            <w:tcW w:w="22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42,205</w:t>
            </w:r>
          </w:p>
        </w:tc>
        <w:tc>
          <w:tcPr>
            <w:tcW w:w="0" w:type="dxa"/>
            <w:vAlign w:val="bottom"/>
          </w:tcPr>
          <w:p>
            <w:pPr>
              <w:spacing w:after="0"/>
              <w:rPr>
                <w:sz w:val="1"/>
                <w:szCs w:val="1"/>
                <w:color w:val="auto"/>
              </w:rPr>
            </w:pPr>
          </w:p>
        </w:tc>
      </w:tr>
      <w:tr>
        <w:trPr>
          <w:trHeight w:val="33"/>
        </w:trPr>
        <w:tc>
          <w:tcPr>
            <w:tcW w:w="6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15,902</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16,452</w:t>
            </w:r>
          </w:p>
        </w:tc>
        <w:tc>
          <w:tcPr>
            <w:tcW w:w="0" w:type="dxa"/>
            <w:vAlign w:val="bottom"/>
          </w:tcPr>
          <w:p>
            <w:pPr>
              <w:spacing w:after="0"/>
              <w:rPr>
                <w:sz w:val="1"/>
                <w:szCs w:val="1"/>
                <w:color w:val="auto"/>
              </w:rPr>
            </w:pP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Foreign exchange gain, net</w:t>
            </w: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1,568</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469</w:t>
            </w: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0" w:type="dxa"/>
            <w:vAlign w:val="bottom"/>
          </w:tcPr>
          <w:p>
            <w:pPr>
              <w:spacing w:after="0"/>
              <w:rPr>
                <w:sz w:val="1"/>
                <w:szCs w:val="1"/>
                <w:color w:val="auto"/>
              </w:rPr>
            </w:pP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Other income, net</w:t>
            </w: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3,310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3,179</w:t>
            </w: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 expense</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20,348</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19,715</w:t>
            </w:r>
          </w:p>
        </w:tc>
        <w:tc>
          <w:tcPr>
            <w:tcW w:w="0" w:type="dxa"/>
            <w:vAlign w:val="bottom"/>
          </w:tcPr>
          <w:p>
            <w:pPr>
              <w:spacing w:after="0"/>
              <w:rPr>
                <w:sz w:val="1"/>
                <w:szCs w:val="1"/>
                <w:color w:val="auto"/>
              </w:rPr>
            </w:pPr>
          </w:p>
        </w:tc>
      </w:tr>
      <w:tr>
        <w:trPr>
          <w:trHeight w:val="224"/>
        </w:trPr>
        <w:tc>
          <w:tcPr>
            <w:tcW w:w="6860" w:type="dxa"/>
            <w:vAlign w:val="bottom"/>
          </w:tcPr>
          <w:p>
            <w:pPr>
              <w:ind w:left="20"/>
              <w:spacing w:after="0"/>
              <w:rPr>
                <w:sz w:val="20"/>
                <w:szCs w:val="20"/>
                <w:color w:val="auto"/>
              </w:rPr>
            </w:pPr>
            <w:r>
              <w:rPr>
                <w:rFonts w:ascii="Arial" w:cs="Arial" w:eastAsia="Arial" w:hAnsi="Arial"/>
                <w:sz w:val="16"/>
                <w:szCs w:val="16"/>
                <w:color w:val="auto"/>
              </w:rPr>
              <w:t>Income tax expense</w:t>
            </w: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3,560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5,895</w:t>
            </w:r>
          </w:p>
        </w:tc>
        <w:tc>
          <w:tcPr>
            <w:tcW w:w="0" w:type="dxa"/>
            <w:vAlign w:val="bottom"/>
          </w:tcPr>
          <w:p>
            <w:pPr>
              <w:spacing w:after="0"/>
              <w:rPr>
                <w:sz w:val="1"/>
                <w:szCs w:val="1"/>
                <w:color w:val="auto"/>
              </w:rPr>
            </w:pPr>
          </w:p>
        </w:tc>
      </w:tr>
      <w:tr>
        <w:trPr>
          <w:trHeight w:val="47"/>
        </w:trPr>
        <w:tc>
          <w:tcPr>
            <w:tcW w:w="686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16,788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13,820</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Earnings per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
        </w:trPr>
        <w:tc>
          <w:tcPr>
            <w:tcW w:w="68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Basic</w:t>
            </w: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0.50</w:t>
            </w: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0.41</w:t>
            </w:r>
          </w:p>
        </w:tc>
        <w:tc>
          <w:tcPr>
            <w:tcW w:w="0" w:type="dxa"/>
            <w:vAlign w:val="bottom"/>
          </w:tcPr>
          <w:p>
            <w:pPr>
              <w:spacing w:after="0"/>
              <w:rPr>
                <w:sz w:val="1"/>
                <w:szCs w:val="1"/>
                <w:color w:val="auto"/>
              </w:rPr>
            </w:pPr>
          </w:p>
        </w:tc>
      </w:tr>
      <w:tr>
        <w:trPr>
          <w:trHeight w:val="224"/>
        </w:trPr>
        <w:tc>
          <w:tcPr>
            <w:tcW w:w="6860" w:type="dxa"/>
            <w:vAlign w:val="bottom"/>
          </w:tcPr>
          <w:p>
            <w:pPr>
              <w:ind w:left="500"/>
              <w:spacing w:after="0"/>
              <w:rPr>
                <w:sz w:val="20"/>
                <w:szCs w:val="20"/>
                <w:color w:val="auto"/>
              </w:rPr>
            </w:pPr>
            <w:r>
              <w:rPr>
                <w:rFonts w:ascii="Arial" w:cs="Arial" w:eastAsia="Arial" w:hAnsi="Arial"/>
                <w:sz w:val="16"/>
                <w:szCs w:val="16"/>
                <w:color w:val="auto"/>
              </w:rPr>
              <w:t>Diluted</w:t>
            </w: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0.48</w:t>
            </w:r>
          </w:p>
        </w:tc>
        <w:tc>
          <w:tcPr>
            <w:tcW w:w="22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Weighted-average number of shares used in computing earnings per share:</w:t>
            </w: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860" w:type="dxa"/>
            <w:vAlign w:val="bottom"/>
          </w:tcPr>
          <w:p>
            <w:pPr>
              <w:ind w:left="500"/>
              <w:spacing w:after="0"/>
              <w:rPr>
                <w:sz w:val="20"/>
                <w:szCs w:val="20"/>
                <w:color w:val="auto"/>
              </w:rPr>
            </w:pPr>
            <w:r>
              <w:rPr>
                <w:rFonts w:ascii="Arial" w:cs="Arial" w:eastAsia="Arial" w:hAnsi="Arial"/>
                <w:sz w:val="16"/>
                <w:szCs w:val="16"/>
                <w:color w:val="auto"/>
              </w:rPr>
              <w:t>Basic</w:t>
            </w: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33,845,560</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33,380,028</w:t>
            </w:r>
          </w:p>
        </w:tc>
        <w:tc>
          <w:tcPr>
            <w:tcW w:w="0" w:type="dxa"/>
            <w:vAlign w:val="bottom"/>
          </w:tcPr>
          <w:p>
            <w:pPr>
              <w:spacing w:after="0"/>
              <w:rPr>
                <w:sz w:val="1"/>
                <w:szCs w:val="1"/>
                <w:color w:val="auto"/>
              </w:rPr>
            </w:pPr>
          </w:p>
        </w:tc>
      </w:tr>
      <w:tr>
        <w:trPr>
          <w:trHeight w:val="47"/>
        </w:trPr>
        <w:tc>
          <w:tcPr>
            <w:tcW w:w="6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68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Diluted</w:t>
            </w: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35,108,882</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34,351,657</w:t>
            </w:r>
          </w:p>
        </w:tc>
        <w:tc>
          <w:tcPr>
            <w:tcW w:w="0" w:type="dxa"/>
            <w:vAlign w:val="bottom"/>
          </w:tcPr>
          <w:p>
            <w:pPr>
              <w:spacing w:after="0"/>
              <w:rPr>
                <w:sz w:val="1"/>
                <w:szCs w:val="1"/>
                <w:color w:val="auto"/>
              </w:rPr>
            </w:pPr>
          </w:p>
        </w:tc>
      </w:tr>
      <w:tr>
        <w:trPr>
          <w:trHeight w:val="47"/>
        </w:trPr>
        <w:tc>
          <w:tcPr>
            <w:tcW w:w="686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640"/>
          </w:cols>
          <w:pgMar w:left="640" w:top="796" w:right="619" w:bottom="1440" w:gutter="0" w:footer="0" w:header="0"/>
        </w:sectPr>
      </w:pPr>
    </w:p>
    <w:bookmarkStart w:id="8" w:name="page9"/>
    <w:bookmarkEnd w:id="8"/>
    <w:p>
      <w:pPr>
        <w:jc w:val="center"/>
        <w:ind w:right="20"/>
        <w:spacing w:after="0"/>
        <w:rPr>
          <w:sz w:val="20"/>
          <w:szCs w:val="20"/>
          <w:color w:val="auto"/>
        </w:rPr>
      </w:pPr>
      <w:r>
        <w:rPr>
          <w:rFonts w:ascii="Arial" w:cs="Arial" w:eastAsia="Arial" w:hAnsi="Arial"/>
          <w:sz w:val="18"/>
          <w:szCs w:val="18"/>
          <w:b w:val="1"/>
          <w:bCs w:val="1"/>
          <w:color w:val="auto"/>
        </w:rPr>
        <w:t>EXLSERVICE HOLDINGS, INC.</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11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3"/>
              </w:rPr>
              <w:t>March 31, 2017</w:t>
            </w:r>
          </w:p>
        </w:tc>
        <w:tc>
          <w:tcPr>
            <w:tcW w:w="180" w:type="dxa"/>
            <w:vAlign w:val="bottom"/>
          </w:tcPr>
          <w:p>
            <w:pPr>
              <w:spacing w:after="0"/>
              <w:rPr>
                <w:sz w:val="18"/>
                <w:szCs w:val="18"/>
                <w:color w:val="auto"/>
              </w:rPr>
            </w:pPr>
          </w:p>
        </w:tc>
        <w:tc>
          <w:tcPr>
            <w:tcW w:w="1700" w:type="dxa"/>
            <w:vAlign w:val="bottom"/>
          </w:tcPr>
          <w:p>
            <w:pPr>
              <w:jc w:val="right"/>
              <w:ind w:right="219"/>
              <w:spacing w:after="0"/>
              <w:rPr>
                <w:sz w:val="20"/>
                <w:szCs w:val="20"/>
                <w:color w:val="auto"/>
              </w:rPr>
            </w:pPr>
            <w:r>
              <w:rPr>
                <w:rFonts w:ascii="Arial" w:cs="Arial" w:eastAsia="Arial" w:hAnsi="Arial"/>
                <w:sz w:val="16"/>
                <w:szCs w:val="16"/>
                <w:b w:val="1"/>
                <w:bCs w:val="1"/>
                <w:color w:val="auto"/>
                <w:w w:val="95"/>
              </w:rPr>
              <w:t>December 31, 2016</w:t>
            </w:r>
          </w:p>
        </w:tc>
      </w:tr>
      <w:tr>
        <w:trPr>
          <w:trHeight w:val="33"/>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center"/>
              <w:ind w:right="400"/>
              <w:spacing w:after="0"/>
              <w:rPr>
                <w:sz w:val="20"/>
                <w:szCs w:val="20"/>
                <w:color w:val="auto"/>
              </w:rPr>
            </w:pPr>
            <w:r>
              <w:rPr>
                <w:rFonts w:ascii="Arial" w:cs="Arial" w:eastAsia="Arial" w:hAnsi="Arial"/>
                <w:sz w:val="16"/>
                <w:szCs w:val="16"/>
                <w:b w:val="1"/>
                <w:bCs w:val="1"/>
                <w:color w:val="auto"/>
                <w:w w:val="94"/>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24"/>
        </w:trPr>
        <w:tc>
          <w:tcPr>
            <w:tcW w:w="730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7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Cash and cash equivalents</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91,700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213,155</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Short-term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126,472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13,491</w:t>
            </w: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Restricted cash</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3,846</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119,811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113,067</w:t>
            </w: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Prepaid expenses</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9,596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7,855</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Advance income tax, net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6,242</w:t>
            </w: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Other current assets</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25,541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21,168</w:t>
            </w:r>
          </w:p>
        </w:tc>
      </w:tr>
      <w:tr>
        <w:trPr>
          <w:trHeight w:val="33"/>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378,824</w:t>
            </w: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59,220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49,029</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Restricted cash</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3,393</w:t>
            </w: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Deferred taxes, net</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16,392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14,799</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50,356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53,770</w:t>
            </w: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187,952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186,770</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25,618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19,943</w:t>
            </w: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726,693</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706,528</w:t>
            </w:r>
          </w:p>
        </w:tc>
      </w:tr>
      <w:tr>
        <w:trPr>
          <w:trHeight w:val="73"/>
        </w:trPr>
        <w:tc>
          <w:tcPr>
            <w:tcW w:w="73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00" w:type="dxa"/>
            <w:vAlign w:val="bottom"/>
            <w:tcBorders>
              <w:bottom w:val="single" w:sz="8" w:color="auto"/>
            </w:tcBorders>
          </w:tcPr>
          <w:p>
            <w:pPr>
              <w:spacing w:after="0"/>
              <w:rPr>
                <w:sz w:val="6"/>
                <w:szCs w:val="6"/>
                <w:color w:val="auto"/>
              </w:rPr>
            </w:pPr>
          </w:p>
        </w:tc>
      </w:tr>
      <w:tr>
        <w:trPr>
          <w:trHeight w:val="177"/>
        </w:trPr>
        <w:tc>
          <w:tcPr>
            <w:tcW w:w="7300" w:type="dxa"/>
            <w:vAlign w:val="bottom"/>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Liabilities and Equity</w:t>
            </w: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74"/>
        </w:trPr>
        <w:tc>
          <w:tcPr>
            <w:tcW w:w="73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700" w:type="dxa"/>
            <w:vAlign w:val="bottom"/>
            <w:shd w:val="clear" w:color="auto" w:fill="CCEEFF"/>
          </w:tcPr>
          <w:p>
            <w:pPr>
              <w:spacing w:after="0"/>
              <w:rPr>
                <w:sz w:val="6"/>
                <w:szCs w:val="6"/>
                <w:color w:val="auto"/>
              </w:rPr>
            </w:pPr>
          </w:p>
        </w:tc>
      </w:tr>
      <w:tr>
        <w:trPr>
          <w:trHeight w:val="224"/>
        </w:trPr>
        <w:tc>
          <w:tcPr>
            <w:tcW w:w="730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7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50"/>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3,288</w:t>
            </w: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Short-term borrowings</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10,000</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17,968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16,615</w:t>
            </w: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Accrued employee cost</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29,830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50,832</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47,670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43,264</w:t>
            </w: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Current portion of capital lease obligations</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232</w:t>
            </w:r>
          </w:p>
        </w:tc>
      </w:tr>
      <w:tr>
        <w:trPr>
          <w:trHeight w:val="33"/>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110,970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124,231</w:t>
            </w:r>
          </w:p>
        </w:tc>
      </w:tr>
      <w:tr>
        <w:trPr>
          <w:trHeight w:val="217"/>
        </w:trPr>
        <w:tc>
          <w:tcPr>
            <w:tcW w:w="7300" w:type="dxa"/>
            <w:vAlign w:val="bottom"/>
          </w:tcPr>
          <w:p>
            <w:pPr>
              <w:ind w:left="20"/>
              <w:spacing w:after="0"/>
              <w:rPr>
                <w:sz w:val="20"/>
                <w:szCs w:val="20"/>
                <w:color w:val="auto"/>
              </w:rPr>
            </w:pPr>
            <w:r>
              <w:rPr>
                <w:rFonts w:ascii="Arial" w:cs="Arial" w:eastAsia="Arial" w:hAnsi="Arial"/>
                <w:sz w:val="16"/>
                <w:szCs w:val="16"/>
                <w:color w:val="auto"/>
              </w:rPr>
              <w:t>Long term borrowings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35,000</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Capital lease obligations, less current portion</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w:t>
            </w: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Non-current liabilities</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17,729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14,819</w:t>
            </w:r>
          </w:p>
        </w:tc>
      </w:tr>
      <w:tr>
        <w:trPr>
          <w:trHeight w:val="33"/>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174,350</w:t>
            </w:r>
          </w:p>
        </w:tc>
      </w:tr>
      <w:tr>
        <w:trPr>
          <w:trHeight w:val="204"/>
        </w:trPr>
        <w:tc>
          <w:tcPr>
            <w:tcW w:w="7300" w:type="dxa"/>
            <w:vAlign w:val="bottom"/>
          </w:tcPr>
          <w:p>
            <w:pPr>
              <w:ind w:left="20"/>
              <w:spacing w:after="0"/>
              <w:rPr>
                <w:sz w:val="20"/>
                <w:szCs w:val="20"/>
                <w:color w:val="auto"/>
              </w:rPr>
            </w:pPr>
            <w:r>
              <w:rPr>
                <w:rFonts w:ascii="Arial" w:cs="Arial" w:eastAsia="Arial" w:hAnsi="Arial"/>
                <w:sz w:val="16"/>
                <w:szCs w:val="16"/>
                <w:color w:val="auto"/>
              </w:rPr>
              <w:t>Commitments and contingencies</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60"/>
        </w:trPr>
        <w:tc>
          <w:tcPr>
            <w:tcW w:w="73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700" w:type="dxa"/>
            <w:vAlign w:val="bottom"/>
          </w:tcPr>
          <w:p>
            <w:pPr>
              <w:spacing w:after="0"/>
              <w:rPr>
                <w:sz w:val="5"/>
                <w:szCs w:val="5"/>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Preferred stock, $0.001 par value; 15,000,000 shares authorized, none issued</w:t>
            </w:r>
          </w:p>
        </w:tc>
        <w:tc>
          <w:tcPr>
            <w:tcW w:w="26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7300" w:type="dxa"/>
            <w:vAlign w:val="bottom"/>
          </w:tcPr>
          <w:p>
            <w:pPr>
              <w:ind w:left="360"/>
              <w:spacing w:after="0"/>
              <w:rPr>
                <w:sz w:val="20"/>
                <w:szCs w:val="20"/>
                <w:color w:val="auto"/>
              </w:rPr>
            </w:pPr>
            <w:r>
              <w:rPr>
                <w:rFonts w:ascii="Arial" w:cs="Arial" w:eastAsia="Arial" w:hAnsi="Arial"/>
                <w:sz w:val="16"/>
                <w:szCs w:val="16"/>
                <w:color w:val="auto"/>
              </w:rPr>
              <w:t>ExlService Holdings, Inc. stockholders’ equity:</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47"/>
        </w:trPr>
        <w:tc>
          <w:tcPr>
            <w:tcW w:w="73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00" w:type="dxa"/>
            <w:vAlign w:val="bottom"/>
          </w:tcPr>
          <w:p>
            <w:pPr>
              <w:spacing w:after="0"/>
              <w:rPr>
                <w:sz w:val="4"/>
                <w:szCs w:val="4"/>
                <w:color w:val="auto"/>
              </w:rPr>
            </w:pPr>
          </w:p>
        </w:tc>
      </w:tr>
      <w:tr>
        <w:trPr>
          <w:trHeight w:val="220"/>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Common stock, $0.001 par value; 100,000,000 shares authorized, 36,100,622 shares issued and</w:t>
            </w: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r>
      <w:tr>
        <w:trPr>
          <w:trHeight w:val="203"/>
        </w:trPr>
        <w:tc>
          <w:tcPr>
            <w:tcW w:w="7300" w:type="dxa"/>
            <w:vAlign w:val="bottom"/>
            <w:shd w:val="clear" w:color="auto" w:fill="CCEEFF"/>
          </w:tcPr>
          <w:p>
            <w:pPr>
              <w:ind w:left="360"/>
              <w:spacing w:after="0"/>
              <w:rPr>
                <w:sz w:val="20"/>
                <w:szCs w:val="20"/>
                <w:color w:val="auto"/>
              </w:rPr>
            </w:pPr>
            <w:r>
              <w:rPr>
                <w:rFonts w:ascii="Arial" w:cs="Arial" w:eastAsia="Arial" w:hAnsi="Arial"/>
                <w:sz w:val="16"/>
                <w:szCs w:val="16"/>
                <w:color w:val="auto"/>
                <w:w w:val="97"/>
              </w:rPr>
              <w:t>33,772,166 shares outstanding as of March 31, 2017 and 35,699,819 shares issued and 33,628,109</w:t>
            </w: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r>
      <w:tr>
        <w:trPr>
          <w:trHeight w:val="219"/>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shares outstanding as of December 31, 2016</w:t>
            </w:r>
          </w:p>
        </w:tc>
        <w:tc>
          <w:tcPr>
            <w:tcW w:w="2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Additional paid-in-capital</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296,792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284,646</w:t>
            </w:r>
          </w:p>
        </w:tc>
      </w:tr>
      <w:tr>
        <w:trPr>
          <w:trHeight w:val="33"/>
        </w:trPr>
        <w:tc>
          <w:tcPr>
            <w:tcW w:w="7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394,964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382,722</w:t>
            </w:r>
          </w:p>
        </w:tc>
      </w:tr>
      <w:tr>
        <w:trPr>
          <w:trHeight w:val="237"/>
        </w:trPr>
        <w:tc>
          <w:tcPr>
            <w:tcW w:w="730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(57,013)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(75,057)</w:t>
            </w:r>
          </w:p>
        </w:tc>
      </w:tr>
      <w:tr>
        <w:trPr>
          <w:trHeight w:val="33"/>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including shares held in treasury</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634,779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592,347</w:t>
            </w:r>
          </w:p>
        </w:tc>
      </w:tr>
      <w:tr>
        <w:trPr>
          <w:trHeight w:val="200"/>
        </w:trPr>
        <w:tc>
          <w:tcPr>
            <w:tcW w:w="7300" w:type="dxa"/>
            <w:vAlign w:val="bottom"/>
          </w:tcPr>
          <w:p>
            <w:pPr>
              <w:ind w:left="20"/>
              <w:spacing w:after="0"/>
              <w:rPr>
                <w:sz w:val="20"/>
                <w:szCs w:val="20"/>
                <w:color w:val="auto"/>
              </w:rPr>
            </w:pPr>
            <w:r>
              <w:rPr>
                <w:rFonts w:ascii="Arial" w:cs="Arial" w:eastAsia="Arial" w:hAnsi="Arial"/>
                <w:sz w:val="16"/>
                <w:szCs w:val="16"/>
                <w:color w:val="auto"/>
                <w:w w:val="92"/>
              </w:rPr>
              <w:t>Less: 2,328,456 shares as of March 31, 2017 and 2,071,710 shares as of December 31, 2016, held in treasury,</w:t>
            </w:r>
          </w:p>
        </w:tc>
        <w:tc>
          <w:tcPr>
            <w:tcW w:w="260" w:type="dxa"/>
            <w:vAlign w:val="bottom"/>
            <w:tcBorders>
              <w:top w:val="single" w:sz="8" w:color="auto"/>
            </w:tcBorders>
          </w:tcPr>
          <w:p>
            <w:pPr>
              <w:spacing w:after="0"/>
              <w:rPr>
                <w:sz w:val="17"/>
                <w:szCs w:val="17"/>
                <w:color w:val="auto"/>
              </w:rPr>
            </w:pPr>
          </w:p>
        </w:tc>
        <w:tc>
          <w:tcPr>
            <w:tcW w:w="16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r>
      <w:tr>
        <w:trPr>
          <w:trHeight w:val="206"/>
        </w:trPr>
        <w:tc>
          <w:tcPr>
            <w:tcW w:w="7300" w:type="dxa"/>
            <w:vAlign w:val="bottom"/>
          </w:tcPr>
          <w:p>
            <w:pPr>
              <w:ind w:left="20"/>
              <w:spacing w:after="0"/>
              <w:rPr>
                <w:sz w:val="20"/>
                <w:szCs w:val="20"/>
                <w:color w:val="auto"/>
              </w:rPr>
            </w:pPr>
            <w:r>
              <w:rPr>
                <w:rFonts w:ascii="Arial" w:cs="Arial" w:eastAsia="Arial" w:hAnsi="Arial"/>
                <w:sz w:val="16"/>
                <w:szCs w:val="16"/>
                <w:color w:val="auto"/>
              </w:rPr>
              <w:t>at cost</w:t>
            </w: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(72,275)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(60,362)</w:t>
            </w:r>
          </w:p>
        </w:tc>
      </w:tr>
      <w:tr>
        <w:trPr>
          <w:trHeight w:val="33"/>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3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ExlService Holdings, Inc. stockholders'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562,504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531,985</w:t>
            </w:r>
          </w:p>
        </w:tc>
      </w:tr>
      <w:tr>
        <w:trPr>
          <w:trHeight w:val="237"/>
        </w:trPr>
        <w:tc>
          <w:tcPr>
            <w:tcW w:w="7300" w:type="dxa"/>
            <w:vAlign w:val="bottom"/>
          </w:tcPr>
          <w:p>
            <w:pPr>
              <w:ind w:left="20"/>
              <w:spacing w:after="0"/>
              <w:rPr>
                <w:sz w:val="20"/>
                <w:szCs w:val="20"/>
                <w:color w:val="auto"/>
              </w:rPr>
            </w:pPr>
            <w:r>
              <w:rPr>
                <w:rFonts w:ascii="Arial" w:cs="Arial" w:eastAsia="Arial" w:hAnsi="Arial"/>
                <w:sz w:val="16"/>
                <w:szCs w:val="16"/>
                <w:color w:val="auto"/>
              </w:rPr>
              <w:t>Non-controlling interest</w:t>
            </w:r>
          </w:p>
        </w:tc>
        <w:tc>
          <w:tcPr>
            <w:tcW w:w="260" w:type="dxa"/>
            <w:vAlign w:val="bottom"/>
          </w:tcPr>
          <w:p>
            <w:pPr>
              <w:spacing w:after="0"/>
              <w:rPr>
                <w:sz w:val="20"/>
                <w:szCs w:val="20"/>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205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193</w:t>
            </w:r>
          </w:p>
        </w:tc>
      </w:tr>
      <w:tr>
        <w:trPr>
          <w:trHeight w:val="33"/>
        </w:trPr>
        <w:tc>
          <w:tcPr>
            <w:tcW w:w="73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562,709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532,178</w:t>
            </w:r>
          </w:p>
        </w:tc>
      </w:tr>
      <w:tr>
        <w:trPr>
          <w:trHeight w:val="244"/>
        </w:trPr>
        <w:tc>
          <w:tcPr>
            <w:tcW w:w="7300" w:type="dxa"/>
            <w:vAlign w:val="bottom"/>
          </w:tcPr>
          <w:p>
            <w:pPr>
              <w:ind w:left="20"/>
              <w:spacing w:after="0"/>
              <w:rPr>
                <w:sz w:val="20"/>
                <w:szCs w:val="20"/>
                <w:color w:val="auto"/>
              </w:rPr>
            </w:pPr>
            <w:r>
              <w:rPr>
                <w:rFonts w:ascii="Arial" w:cs="Arial" w:eastAsia="Arial" w:hAnsi="Arial"/>
                <w:sz w:val="16"/>
                <w:szCs w:val="16"/>
                <w:color w:val="auto"/>
              </w:rPr>
              <w:t>Total liabilities and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726,693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706,528</w:t>
            </w:r>
          </w:p>
        </w:tc>
      </w:tr>
      <w:tr>
        <w:trPr>
          <w:trHeight w:val="20"/>
        </w:trPr>
        <w:tc>
          <w:tcPr>
            <w:tcW w:w="7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60" w:top="580"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Financial Measures to GAAP Measures</w:t>
      </w:r>
    </w:p>
    <w:p>
      <w:pPr>
        <w:spacing w:after="0" w:line="22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addition to its reported operating results in accordance with U.S. generally accepted accounting principles (GAAP), EXL has included in this release certain financial measures (adjusted operating income, adjusted operating income margin, adjusted EBITDA, adjusted EBITDA margin, adjusted net income, adjusted diluted earnings per share and information on a constant currency basis) that the Securities and Exchange Commission defines as “non-GAAP financial measures.” The non-GAAP financial measures disclosed by EXL should not be considered a substitute for, or superior to, financial measures calculated in accordance with GAAP, and the financial results calculated in accordance with GAAP and reconciliations from those financial statements should be carefully evaluated. EXL believes that providing these non-GAAP financial measures may help investors better understand EXL’s underlying financial performance. Management also believes that these non-GAAP financial measures, when read in conjunction with EXL’s reported results, can provide useful supplemental information for investors analyzing period to period comparisons of the Company’s results and comparisons of the Company’s results with the results of other companies. Additionally, management considers some of these non-GAAP financial measures to determine variable compensation of its employees. EXL believes that it is unreasonably difficult to provide its earnings per share financial guidance in accordance with GAAP for a number of reasons, including, without limitation, EXL’s inability to predict its future stock-based compensation expense under ASC Topic 718, the amortization of intangibles associated with further acquisitions and the currency fluctuations. EXL also incurs significant non-cash charges for depreciation that may not be indicative of the Company’s ability to generate cash flow.</w:t>
      </w:r>
    </w:p>
    <w:p>
      <w:pPr>
        <w:spacing w:after="0" w:line="21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The information provided on a constant currency basis reflects a comparison of current period results translated at the prior period currency rates. EXL's primary exchange rate exposure is with the Indian Rupee, the U.K. pound sterling and the Philippine peso. The average exchange rate of the U.S. Dollar against the Indian rupee decreased from 67.51 during the quarter ended March 31, 2016 to 66.46 during the quarter ended March 31, 2017, representing an appreciation of 1.6%. The average exchange rate of the U.S. Dollar against the Philippine peso increased from 47.09 during the quarter ended March 31, 2016 to 50.05 during the quarter ended March 31, 2017, representing a depreciation of 6.3%. The average exchange rate of the British Pound against the U.S. Dollar decreased from 1.42 during the quarter ended March 31, 2016 to 1.24 during the quarter ended March 31, 2017, representing a depreciation of 12.2%. This information is provided because EXL believes that it provides useful comparative incremental information to investors regarding EXL’s operating performance.</w:t>
      </w:r>
    </w:p>
    <w:p>
      <w:pPr>
        <w:spacing w:after="0" w:line="17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 shows the reconciliation of these non-GAAP financial measures from GAAP measures for the three months ended March 31, 2017 and 2016 and the three months ended December 31, 2016:</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Operating Income and Adjusted EBITDA to Net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(Amounts in thousands)</w:t>
      </w:r>
    </w:p>
    <w:p>
      <w:pPr>
        <w:spacing w:after="0" w:line="157" w:lineRule="exact"/>
        <w:rPr>
          <w:sz w:val="20"/>
          <w:szCs w:val="20"/>
          <w:color w:val="auto"/>
        </w:rPr>
      </w:pPr>
    </w:p>
    <w:tbl>
      <w:tblPr>
        <w:tblLayout w:type="fixed"/>
        <w:tblInd w:w="360" w:type="dxa"/>
        <w:tblCellMar>
          <w:top w:w="0" w:type="dxa"/>
          <w:left w:w="0" w:type="dxa"/>
          <w:bottom w:w="0" w:type="dxa"/>
          <w:right w:w="0" w:type="dxa"/>
        </w:tblCellMar>
      </w:tblPr>
      <w:tr>
        <w:trPr>
          <w:trHeight w:val="203"/>
        </w:trPr>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180" w:type="dxa"/>
            <w:vAlign w:val="bottom"/>
          </w:tcPr>
          <w:p>
            <w:pPr>
              <w:spacing w:after="0"/>
              <w:rPr>
                <w:sz w:val="18"/>
                <w:szCs w:val="18"/>
                <w:color w:val="auto"/>
              </w:rPr>
            </w:pPr>
          </w:p>
        </w:tc>
        <w:tc>
          <w:tcPr>
            <w:tcW w:w="1760" w:type="dxa"/>
            <w:vAlign w:val="bottom"/>
          </w:tcPr>
          <w:p>
            <w:pPr>
              <w:jc w:val="center"/>
              <w:ind w:right="9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2016</w:t>
            </w:r>
          </w:p>
        </w:tc>
        <w:tc>
          <w:tcPr>
            <w:tcW w:w="0" w:type="dxa"/>
            <w:vAlign w:val="bottom"/>
          </w:tcPr>
          <w:p>
            <w:pPr>
              <w:spacing w:after="0"/>
              <w:rPr>
                <w:sz w:val="1"/>
                <w:szCs w:val="1"/>
                <w:color w:val="auto"/>
              </w:rPr>
            </w:pPr>
          </w:p>
        </w:tc>
      </w:tr>
      <w:tr>
        <w:trPr>
          <w:trHeight w:val="47"/>
        </w:trPr>
        <w:tc>
          <w:tcPr>
            <w:tcW w:w="56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(GAAP)</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16,788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13,820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15,488</w:t>
            </w:r>
          </w:p>
        </w:tc>
        <w:tc>
          <w:tcPr>
            <w:tcW w:w="0" w:type="dxa"/>
            <w:vAlign w:val="bottom"/>
          </w:tcPr>
          <w:p>
            <w:pPr>
              <w:spacing w:after="0"/>
              <w:rPr>
                <w:sz w:val="1"/>
                <w:szCs w:val="1"/>
                <w:color w:val="auto"/>
              </w:rPr>
            </w:pPr>
          </w:p>
        </w:tc>
      </w:tr>
      <w:tr>
        <w:trPr>
          <w:trHeight w:val="224"/>
        </w:trPr>
        <w:tc>
          <w:tcPr>
            <w:tcW w:w="5680" w:type="dxa"/>
            <w:vAlign w:val="bottom"/>
          </w:tcPr>
          <w:p>
            <w:pPr>
              <w:ind w:left="380"/>
              <w:spacing w:after="0"/>
              <w:rPr>
                <w:sz w:val="20"/>
                <w:szCs w:val="20"/>
                <w:color w:val="auto"/>
              </w:rPr>
            </w:pPr>
            <w:r>
              <w:rPr>
                <w:rFonts w:ascii="Arial" w:cs="Arial" w:eastAsia="Arial" w:hAnsi="Arial"/>
                <w:sz w:val="16"/>
                <w:szCs w:val="16"/>
                <w:color w:val="auto"/>
              </w:rPr>
              <w:t>add: Income tax expense</w:t>
            </w:r>
          </w:p>
        </w:tc>
        <w:tc>
          <w:tcPr>
            <w:tcW w:w="26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3,560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5,895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3,602</w:t>
            </w:r>
          </w:p>
        </w:tc>
        <w:tc>
          <w:tcPr>
            <w:tcW w:w="0" w:type="dxa"/>
            <w:vAlign w:val="bottom"/>
          </w:tcPr>
          <w:p>
            <w:pPr>
              <w:spacing w:after="0"/>
              <w:rPr>
                <w:sz w:val="1"/>
                <w:szCs w:val="1"/>
                <w:color w:val="auto"/>
              </w:rPr>
            </w:pPr>
          </w:p>
        </w:tc>
      </w:tr>
      <w:tr>
        <w:trPr>
          <w:trHeight w:val="47"/>
        </w:trPr>
        <w:tc>
          <w:tcPr>
            <w:tcW w:w="5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subtract: Other income and foreign exchange gain, net</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(4,915)</w:t>
            </w:r>
          </w:p>
        </w:tc>
        <w:tc>
          <w:tcPr>
            <w:tcW w:w="0" w:type="dxa"/>
            <w:vAlign w:val="bottom"/>
          </w:tcPr>
          <w:p>
            <w:pPr>
              <w:spacing w:after="0"/>
              <w:rPr>
                <w:sz w:val="1"/>
                <w:szCs w:val="1"/>
                <w:color w:val="auto"/>
              </w:rPr>
            </w:pPr>
          </w:p>
        </w:tc>
      </w:tr>
      <w:tr>
        <w:trPr>
          <w:trHeight w:val="217"/>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Income from operations (GAAP)</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15,902</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16,452</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14,175</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Stock-based compensation expense (a)</w:t>
            </w:r>
          </w:p>
        </w:tc>
        <w:tc>
          <w:tcPr>
            <w:tcW w:w="2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5,809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5,027</w:t>
            </w:r>
          </w:p>
        </w:tc>
        <w:tc>
          <w:tcPr>
            <w:tcW w:w="0" w:type="dxa"/>
            <w:vAlign w:val="bottom"/>
          </w:tcPr>
          <w:p>
            <w:pPr>
              <w:spacing w:after="0"/>
              <w:rPr>
                <w:sz w:val="1"/>
                <w:szCs w:val="1"/>
                <w:color w:val="auto"/>
              </w:rPr>
            </w:pPr>
          </w:p>
        </w:tc>
      </w:tr>
      <w:tr>
        <w:trPr>
          <w:trHeight w:val="224"/>
        </w:trPr>
        <w:tc>
          <w:tcPr>
            <w:tcW w:w="5680" w:type="dxa"/>
            <w:vAlign w:val="bottom"/>
          </w:tcPr>
          <w:p>
            <w:pPr>
              <w:ind w:left="380"/>
              <w:spacing w:after="0"/>
              <w:rPr>
                <w:sz w:val="20"/>
                <w:szCs w:val="20"/>
                <w:color w:val="auto"/>
              </w:rPr>
            </w:pPr>
            <w:r>
              <w:rPr>
                <w:rFonts w:ascii="Arial" w:cs="Arial" w:eastAsia="Arial" w:hAnsi="Arial"/>
                <w:sz w:val="16"/>
                <w:szCs w:val="16"/>
                <w:color w:val="auto"/>
              </w:rPr>
              <w:t>add: Amortization of acquisition-related intangibles (b)</w:t>
            </w:r>
          </w:p>
        </w:tc>
        <w:tc>
          <w:tcPr>
            <w:tcW w:w="260" w:type="dxa"/>
            <w:vAlign w:val="bottom"/>
          </w:tcPr>
          <w:p>
            <w:pPr>
              <w:spacing w:after="0"/>
              <w:rPr>
                <w:sz w:val="19"/>
                <w:szCs w:val="19"/>
                <w:color w:val="auto"/>
              </w:rPr>
            </w:pP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3,498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2,715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ind w:right="79"/>
              <w:spacing w:after="0"/>
              <w:rPr>
                <w:sz w:val="20"/>
                <w:szCs w:val="20"/>
                <w:color w:val="auto"/>
              </w:rPr>
            </w:pPr>
            <w:r>
              <w:rPr>
                <w:rFonts w:ascii="Arial" w:cs="Arial" w:eastAsia="Arial" w:hAnsi="Arial"/>
                <w:sz w:val="16"/>
                <w:szCs w:val="16"/>
                <w:color w:val="auto"/>
              </w:rPr>
              <w:t>3,592</w:t>
            </w:r>
          </w:p>
        </w:tc>
        <w:tc>
          <w:tcPr>
            <w:tcW w:w="0" w:type="dxa"/>
            <w:vAlign w:val="bottom"/>
          </w:tcPr>
          <w:p>
            <w:pPr>
              <w:spacing w:after="0"/>
              <w:rPr>
                <w:sz w:val="1"/>
                <w:szCs w:val="1"/>
                <w:color w:val="auto"/>
              </w:rPr>
            </w:pPr>
          </w:p>
        </w:tc>
      </w:tr>
      <w:tr>
        <w:trPr>
          <w:trHeight w:val="47"/>
        </w:trPr>
        <w:tc>
          <w:tcPr>
            <w:tcW w:w="56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Adjusted operating income (Non-GAAP)</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25,356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24,976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22,794</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Adjusted operating income margin as a % of revenues (Non-GAAP)</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i w:val="1"/>
                <w:iCs w:val="1"/>
                <w:color w:val="auto"/>
              </w:rPr>
              <w:t>13.9%</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i w:val="1"/>
                <w:iCs w:val="1"/>
                <w:color w:val="auto"/>
              </w:rPr>
              <w:t>15.0%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Arial" w:cs="Arial" w:eastAsia="Arial" w:hAnsi="Arial"/>
                <w:sz w:val="16"/>
                <w:szCs w:val="16"/>
                <w:i w:val="1"/>
                <w:iCs w:val="1"/>
                <w:color w:val="auto"/>
              </w:rPr>
              <w:t>12.9%</w:t>
            </w:r>
          </w:p>
        </w:tc>
        <w:tc>
          <w:tcPr>
            <w:tcW w:w="0" w:type="dxa"/>
            <w:vAlign w:val="bottom"/>
          </w:tcPr>
          <w:p>
            <w:pPr>
              <w:spacing w:after="0"/>
              <w:rPr>
                <w:sz w:val="1"/>
                <w:szCs w:val="1"/>
                <w:color w:val="auto"/>
              </w:rPr>
            </w:pPr>
          </w:p>
        </w:tc>
      </w:tr>
      <w:tr>
        <w:trPr>
          <w:trHeight w:val="33"/>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add: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5,928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5,988</w:t>
            </w:r>
          </w:p>
        </w:tc>
        <w:tc>
          <w:tcPr>
            <w:tcW w:w="0" w:type="dxa"/>
            <w:vAlign w:val="bottom"/>
          </w:tcPr>
          <w:p>
            <w:pPr>
              <w:spacing w:after="0"/>
              <w:rPr>
                <w:sz w:val="1"/>
                <w:szCs w:val="1"/>
                <w:color w:val="auto"/>
              </w:rPr>
            </w:pPr>
          </w:p>
        </w:tc>
      </w:tr>
      <w:tr>
        <w:trPr>
          <w:trHeight w:val="217"/>
        </w:trPr>
        <w:tc>
          <w:tcPr>
            <w:tcW w:w="5680" w:type="dxa"/>
            <w:vAlign w:val="bottom"/>
          </w:tcPr>
          <w:p>
            <w:pPr>
              <w:ind w:left="20"/>
              <w:spacing w:after="0"/>
              <w:rPr>
                <w:sz w:val="20"/>
                <w:szCs w:val="20"/>
                <w:color w:val="auto"/>
              </w:rPr>
            </w:pPr>
            <w:r>
              <w:rPr>
                <w:rFonts w:ascii="Arial" w:cs="Arial" w:eastAsia="Arial" w:hAnsi="Arial"/>
                <w:sz w:val="16"/>
                <w:szCs w:val="16"/>
                <w:b w:val="1"/>
                <w:bCs w:val="1"/>
                <w:color w:val="auto"/>
              </w:rPr>
              <w:t>Adjusted EBITDA (Non-GAAP)</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1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31,284</w:t>
            </w: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30,394</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7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28,782</w:t>
            </w:r>
          </w:p>
        </w:tc>
        <w:tc>
          <w:tcPr>
            <w:tcW w:w="0" w:type="dxa"/>
            <w:vAlign w:val="bottom"/>
          </w:tcPr>
          <w:p>
            <w:pPr>
              <w:spacing w:after="0"/>
              <w:rPr>
                <w:sz w:val="1"/>
                <w:szCs w:val="1"/>
                <w:color w:val="auto"/>
              </w:rPr>
            </w:pPr>
          </w:p>
        </w:tc>
      </w:tr>
      <w:tr>
        <w:trPr>
          <w:trHeight w:val="73"/>
        </w:trPr>
        <w:tc>
          <w:tcPr>
            <w:tcW w:w="568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56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Adjusted EBITDA margin as a % of revenues (Non-GAAP)</w:t>
            </w:r>
          </w:p>
        </w:tc>
        <w:tc>
          <w:tcPr>
            <w:tcW w:w="2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17.1%</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18.2%</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i w:val="1"/>
                <w:iCs w:val="1"/>
                <w:color w:val="auto"/>
              </w:rPr>
              <w:t>16.2%</w:t>
            </w:r>
          </w:p>
        </w:tc>
        <w:tc>
          <w:tcPr>
            <w:tcW w:w="0" w:type="dxa"/>
            <w:vAlign w:val="bottom"/>
          </w:tcPr>
          <w:p>
            <w:pPr>
              <w:spacing w:after="0"/>
              <w:rPr>
                <w:sz w:val="1"/>
                <w:szCs w:val="1"/>
                <w:color w:val="auto"/>
              </w:rPr>
            </w:pPr>
          </w:p>
        </w:tc>
      </w:tr>
      <w:tr>
        <w:trPr>
          <w:trHeight w:val="33"/>
        </w:trPr>
        <w:tc>
          <w:tcPr>
            <w:tcW w:w="568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left="600" w:hanging="214"/>
        <w:spacing w:after="0"/>
        <w:tabs>
          <w:tab w:leader="none" w:pos="6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 w:lineRule="exact"/>
        <w:rPr>
          <w:rFonts w:ascii="Arial" w:cs="Arial" w:eastAsia="Arial" w:hAnsi="Arial"/>
          <w:sz w:val="16"/>
          <w:szCs w:val="16"/>
          <w:color w:val="auto"/>
        </w:rPr>
      </w:pPr>
    </w:p>
    <w:p>
      <w:pPr>
        <w:ind w:left="620" w:hanging="234"/>
        <w:spacing w:after="0"/>
        <w:tabs>
          <w:tab w:leader="none" w:pos="6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ectPr>
          <w:pgSz w:w="11900" w:h="16838" w:orient="portrait"/>
          <w:cols w:equalWidth="0" w:num="1">
            <w:col w:w="11420"/>
          </w:cols>
          <w:pgMar w:left="240" w:top="702" w:right="239" w:bottom="1440" w:gutter="0" w:footer="0" w:header="0"/>
        </w:sectPr>
      </w:pPr>
    </w:p>
    <w:bookmarkStart w:id="10" w:name="page11"/>
    <w:bookmarkEnd w:id="10"/>
    <w:p>
      <w:pPr>
        <w:jc w:val="center"/>
        <w:ind w:right="-179"/>
        <w:spacing w:after="0"/>
        <w:rPr>
          <w:sz w:val="20"/>
          <w:szCs w:val="20"/>
          <w:color w:val="auto"/>
        </w:rPr>
      </w:pPr>
      <w:r>
        <w:rPr>
          <w:rFonts w:ascii="Arial" w:cs="Arial" w:eastAsia="Arial" w:hAnsi="Arial"/>
          <w:sz w:val="18"/>
          <w:szCs w:val="18"/>
          <w:b w:val="1"/>
          <w:bCs w:val="1"/>
          <w:color w:val="auto"/>
        </w:rPr>
        <w:t>Reconciliation of Adjusted Net Income and Adjusted Diluted Earnings Per Share to Net Income</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(Amounts in thousands, except per share data)</w:t>
      </w:r>
    </w:p>
    <w:p>
      <w:pPr>
        <w:spacing w:after="0" w:line="157" w:lineRule="exact"/>
        <w:rPr>
          <w:sz w:val="20"/>
          <w:szCs w:val="20"/>
          <w:color w:val="auto"/>
        </w:rPr>
      </w:pPr>
    </w:p>
    <w:tbl>
      <w:tblPr>
        <w:tblLayout w:type="fixed"/>
        <w:tblInd w:w="18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March 31,</w:t>
            </w:r>
          </w:p>
        </w:tc>
        <w:tc>
          <w:tcPr>
            <w:tcW w:w="160" w:type="dxa"/>
            <w:vAlign w:val="bottom"/>
          </w:tcPr>
          <w:p>
            <w:pPr>
              <w:spacing w:after="0"/>
              <w:rPr>
                <w:sz w:val="18"/>
                <w:szCs w:val="18"/>
                <w:color w:val="auto"/>
              </w:rPr>
            </w:pPr>
          </w:p>
        </w:tc>
        <w:tc>
          <w:tcPr>
            <w:tcW w:w="1700" w:type="dxa"/>
            <w:vAlign w:val="bottom"/>
          </w:tcPr>
          <w:p>
            <w:pPr>
              <w:jc w:val="center"/>
              <w:ind w:right="79"/>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33"/>
        </w:trPr>
        <w:tc>
          <w:tcPr>
            <w:tcW w:w="6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0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47"/>
        </w:trPr>
        <w:tc>
          <w:tcPr>
            <w:tcW w:w="63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income (GAAP)</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16,788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13,820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15,488</w:t>
            </w:r>
          </w:p>
        </w:tc>
        <w:tc>
          <w:tcPr>
            <w:tcW w:w="0" w:type="dxa"/>
            <w:vAlign w:val="bottom"/>
          </w:tcPr>
          <w:p>
            <w:pPr>
              <w:spacing w:after="0"/>
              <w:rPr>
                <w:sz w:val="1"/>
                <w:szCs w:val="1"/>
                <w:color w:val="auto"/>
              </w:rPr>
            </w:pP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add: Stock-based compensation expense (a)</w:t>
            </w:r>
          </w:p>
        </w:tc>
        <w:tc>
          <w:tcPr>
            <w:tcW w:w="2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5,956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5,809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5,027</w:t>
            </w:r>
          </w:p>
        </w:tc>
        <w:tc>
          <w:tcPr>
            <w:tcW w:w="0" w:type="dxa"/>
            <w:vAlign w:val="bottom"/>
          </w:tcPr>
          <w:p>
            <w:pPr>
              <w:spacing w:after="0"/>
              <w:rPr>
                <w:sz w:val="1"/>
                <w:szCs w:val="1"/>
                <w:color w:val="auto"/>
              </w:rPr>
            </w:pPr>
          </w:p>
        </w:tc>
      </w:tr>
      <w:tr>
        <w:trPr>
          <w:trHeight w:val="47"/>
        </w:trPr>
        <w:tc>
          <w:tcPr>
            <w:tcW w:w="6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 Amortization of acquisition-related intangibles (b)</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3,498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3,592</w:t>
            </w:r>
          </w:p>
        </w:tc>
        <w:tc>
          <w:tcPr>
            <w:tcW w:w="0" w:type="dxa"/>
            <w:vAlign w:val="bottom"/>
          </w:tcPr>
          <w:p>
            <w:pPr>
              <w:spacing w:after="0"/>
              <w:rPr>
                <w:sz w:val="1"/>
                <w:szCs w:val="1"/>
                <w:color w:val="auto"/>
              </w:rPr>
            </w:pP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subtract: Tax impact on stock-based compensation expense (c)</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(1,898)</w:t>
            </w:r>
          </w:p>
        </w:tc>
        <w:tc>
          <w:tcPr>
            <w:tcW w:w="0" w:type="dxa"/>
            <w:vAlign w:val="bottom"/>
          </w:tcPr>
          <w:p>
            <w:pPr>
              <w:spacing w:after="0"/>
              <w:rPr>
                <w:sz w:val="1"/>
                <w:szCs w:val="1"/>
                <w:color w:val="auto"/>
              </w:rPr>
            </w:pPr>
          </w:p>
        </w:tc>
      </w:tr>
      <w:tr>
        <w:trPr>
          <w:trHeight w:val="47"/>
        </w:trPr>
        <w:tc>
          <w:tcPr>
            <w:tcW w:w="63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subtract: Tax impact on amortization of acquisition-related intangibles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(901)</w:t>
            </w:r>
          </w:p>
        </w:tc>
        <w:tc>
          <w:tcPr>
            <w:tcW w:w="0" w:type="dxa"/>
            <w:vAlign w:val="bottom"/>
          </w:tcPr>
          <w:p>
            <w:pPr>
              <w:spacing w:after="0"/>
              <w:rPr>
                <w:sz w:val="1"/>
                <w:szCs w:val="1"/>
                <w:color w:val="auto"/>
              </w:rPr>
            </w:pPr>
          </w:p>
        </w:tc>
      </w:tr>
      <w:tr>
        <w:trPr>
          <w:trHeight w:val="224"/>
        </w:trPr>
        <w:tc>
          <w:tcPr>
            <w:tcW w:w="6320" w:type="dxa"/>
            <w:vAlign w:val="bottom"/>
          </w:tcPr>
          <w:p>
            <w:pPr>
              <w:ind w:left="40"/>
              <w:spacing w:after="0"/>
              <w:rPr>
                <w:sz w:val="20"/>
                <w:szCs w:val="20"/>
                <w:color w:val="auto"/>
              </w:rPr>
            </w:pPr>
            <w:r>
              <w:rPr>
                <w:rFonts w:ascii="Arial" w:cs="Arial" w:eastAsia="Arial" w:hAnsi="Arial"/>
                <w:sz w:val="16"/>
                <w:szCs w:val="16"/>
                <w:color w:val="auto"/>
              </w:rPr>
              <w:t>subtract: Changes in fair value of earn-out consideration (net of tax) (d)</w:t>
            </w:r>
          </w:p>
        </w:tc>
        <w:tc>
          <w:tcPr>
            <w:tcW w:w="22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7"/>
        </w:trPr>
        <w:tc>
          <w:tcPr>
            <w:tcW w:w="632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Adjusted net income (Non-GAAP)</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21,031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19,318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21,308</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6"/>
                <w:szCs w:val="16"/>
                <w:b w:val="1"/>
                <w:bCs w:val="1"/>
                <w:color w:val="auto"/>
              </w:rPr>
              <w:t>Adjusted diluted earnings per share (Non-GAAP)</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320" w:type="dxa"/>
            <w:vAlign w:val="bottom"/>
            <w:vMerge w:val="continue"/>
          </w:tcPr>
          <w:p>
            <w:pPr>
              <w:spacing w:after="0"/>
              <w:rPr>
                <w:sz w:val="17"/>
                <w:szCs w:val="17"/>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b w:val="1"/>
                <w:bCs w:val="1"/>
                <w:color w:val="auto"/>
              </w:rPr>
              <w:t>$</w:t>
            </w:r>
          </w:p>
        </w:tc>
        <w:tc>
          <w:tcPr>
            <w:tcW w:w="1140" w:type="dxa"/>
            <w:vAlign w:val="bottom"/>
          </w:tcPr>
          <w:p>
            <w:pPr>
              <w:jc w:val="right"/>
              <w:ind w:right="39"/>
              <w:spacing w:after="0"/>
              <w:rPr>
                <w:sz w:val="20"/>
                <w:szCs w:val="20"/>
                <w:color w:val="auto"/>
              </w:rPr>
            </w:pPr>
            <w:r>
              <w:rPr>
                <w:rFonts w:ascii="Arial" w:cs="Arial" w:eastAsia="Arial" w:hAnsi="Arial"/>
                <w:sz w:val="16"/>
                <w:szCs w:val="16"/>
                <w:b w:val="1"/>
                <w:bCs w:val="1"/>
                <w:color w:val="auto"/>
              </w:rPr>
              <w:t>0.60</w:t>
            </w:r>
          </w:p>
        </w:tc>
        <w:tc>
          <w:tcPr>
            <w:tcW w:w="100" w:type="dxa"/>
            <w:vAlign w:val="bottom"/>
          </w:tcPr>
          <w:p>
            <w:pPr>
              <w:spacing w:after="0"/>
              <w:rPr>
                <w:sz w:val="17"/>
                <w:szCs w:val="17"/>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b w:val="1"/>
                <w:bCs w:val="1"/>
                <w:color w:val="auto"/>
              </w:rPr>
              <w:t>$</w:t>
            </w:r>
          </w:p>
        </w:tc>
        <w:tc>
          <w:tcPr>
            <w:tcW w:w="1020" w:type="dxa"/>
            <w:vAlign w:val="bottom"/>
          </w:tcPr>
          <w:p>
            <w:pPr>
              <w:jc w:val="right"/>
              <w:ind w:right="39"/>
              <w:spacing w:after="0"/>
              <w:rPr>
                <w:sz w:val="20"/>
                <w:szCs w:val="20"/>
                <w:color w:val="auto"/>
              </w:rPr>
            </w:pPr>
            <w:r>
              <w:rPr>
                <w:rFonts w:ascii="Arial" w:cs="Arial" w:eastAsia="Arial" w:hAnsi="Arial"/>
                <w:sz w:val="16"/>
                <w:szCs w:val="16"/>
                <w:b w:val="1"/>
                <w:bCs w:val="1"/>
                <w:color w:val="auto"/>
              </w:rPr>
              <w:t>0.56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700" w:type="dxa"/>
            <w:vAlign w:val="bottom"/>
          </w:tcPr>
          <w:p>
            <w:pPr>
              <w:jc w:val="right"/>
              <w:ind w:right="19"/>
              <w:spacing w:after="0"/>
              <w:rPr>
                <w:sz w:val="20"/>
                <w:szCs w:val="20"/>
                <w:color w:val="auto"/>
              </w:rPr>
            </w:pPr>
            <w:r>
              <w:rPr>
                <w:rFonts w:ascii="Arial" w:cs="Arial" w:eastAsia="Arial" w:hAnsi="Arial"/>
                <w:sz w:val="16"/>
                <w:szCs w:val="16"/>
                <w:b w:val="1"/>
                <w:bCs w:val="1"/>
                <w:color w:val="auto"/>
              </w:rPr>
              <w:t>0.61</w:t>
            </w:r>
          </w:p>
        </w:tc>
        <w:tc>
          <w:tcPr>
            <w:tcW w:w="0" w:type="dxa"/>
            <w:vAlign w:val="bottom"/>
          </w:tcPr>
          <w:p>
            <w:pPr>
              <w:spacing w:after="0"/>
              <w:rPr>
                <w:sz w:val="1"/>
                <w:szCs w:val="1"/>
                <w:color w:val="auto"/>
              </w:rPr>
            </w:pPr>
          </w:p>
        </w:tc>
      </w:tr>
    </w:tbl>
    <w:p>
      <w:pPr>
        <w:spacing w:after="0" w:line="347"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stock-based compensation expense under ASC Topic 718.</w:t>
      </w:r>
    </w:p>
    <w:p>
      <w:pPr>
        <w:spacing w:after="0" w:line="221" w:lineRule="exact"/>
        <w:rPr>
          <w:rFonts w:ascii="Arial" w:cs="Arial" w:eastAsia="Arial" w:hAnsi="Arial"/>
          <w:sz w:val="16"/>
          <w:szCs w:val="16"/>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amortization of acquisition-related intangibles.</w:t>
      </w:r>
    </w:p>
    <w:p>
      <w:pPr>
        <w:spacing w:after="0" w:line="221" w:lineRule="exact"/>
        <w:rPr>
          <w:rFonts w:ascii="Arial" w:cs="Arial" w:eastAsia="Arial" w:hAnsi="Arial"/>
          <w:sz w:val="16"/>
          <w:szCs w:val="16"/>
          <w:color w:val="auto"/>
        </w:rPr>
      </w:pPr>
    </w:p>
    <w:p>
      <w:pPr>
        <w:ind w:left="220" w:hanging="212"/>
        <w:spacing w:after="0"/>
        <w:tabs>
          <w:tab w:leader="none" w:pos="220" w:val="left"/>
        </w:tabs>
        <w:numPr>
          <w:ilvl w:val="0"/>
          <w:numId w:val="7"/>
        </w:numPr>
        <w:rPr>
          <w:rFonts w:ascii="Arial" w:cs="Arial" w:eastAsia="Arial" w:hAnsi="Arial"/>
          <w:sz w:val="15"/>
          <w:szCs w:val="15"/>
          <w:color w:val="auto"/>
        </w:rPr>
      </w:pPr>
      <w:r>
        <w:rPr>
          <w:rFonts w:ascii="Arial" w:cs="Arial" w:eastAsia="Arial" w:hAnsi="Arial"/>
          <w:sz w:val="15"/>
          <w:szCs w:val="15"/>
          <w:color w:val="auto"/>
        </w:rPr>
        <w:t>Tax impact include $2,057 related to a discrete benefit recognized in income tax expense on adoption of ASU No. 2016-09, Compensation - Stock Compensation.</w:t>
      </w:r>
    </w:p>
    <w:p>
      <w:pPr>
        <w:spacing w:after="0" w:line="232" w:lineRule="exact"/>
        <w:rPr>
          <w:rFonts w:ascii="Arial" w:cs="Arial" w:eastAsia="Arial" w:hAnsi="Arial"/>
          <w:sz w:val="15"/>
          <w:szCs w:val="15"/>
          <w:color w:val="auto"/>
        </w:rPr>
      </w:pPr>
    </w:p>
    <w:p>
      <w:pPr>
        <w:ind w:left="240" w:hanging="232"/>
        <w:spacing w:after="0"/>
        <w:tabs>
          <w:tab w:leader="none" w:pos="2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exclude change in fair value of earn-out consideration related to the RPM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Contact: Steven N. Barlow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ind w:right="9880" w:firstLine="8"/>
        <w:spacing w:after="0" w:line="323" w:lineRule="auto"/>
        <w:tabs>
          <w:tab w:leader="none" w:pos="435"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624-5913 </w:t>
      </w:r>
      <w:r>
        <w:rPr>
          <w:rFonts w:ascii="Arial" w:cs="Arial" w:eastAsia="Arial" w:hAnsi="Arial"/>
          <w:sz w:val="16"/>
          <w:szCs w:val="16"/>
          <w:u w:val="single" w:color="auto"/>
          <w:color w:val="0000FF"/>
        </w:rPr>
        <w:t>ir@exlservice.com</w:t>
      </w:r>
    </w:p>
    <w:sectPr>
      <w:pgSz w:w="11900" w:h="16838" w:orient="portrait"/>
      <w:cols w:equalWidth="0" w:num="1">
        <w:col w:w="11240"/>
      </w:cols>
      <w:pgMar w:left="240" w:top="58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o"/>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2019-12-06T22:25:38Z</dcterms:created>
  <dcterms:modified xsi:type="dcterms:W3CDTF">2019-12-06T22:25:38Z</dcterms:modified>
</cp:coreProperties>
</file>