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68649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September 30, 2010</w:t>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20"/>
          </w:cols>
          <w:pgMar w:left="240" w:top="324" w:right="839" w:bottom="1440" w:gutter="0" w:footer="0" w:header="0"/>
        </w:sectPr>
      </w:pPr>
    </w:p>
    <w:p>
      <w:pPr>
        <w:spacing w:after="0" w:line="27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59"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001-33089</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82-0572194</w:t>
      </w:r>
    </w:p>
    <w:p>
      <w:pPr>
        <w:spacing w:after="0" w:line="40"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36"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680" w:space="720"/>
            <w:col w:w="3220" w:space="720"/>
            <w:col w:w="2480"/>
          </w:cols>
          <w:pgMar w:left="240" w:top="324" w:right="839" w:bottom="1440" w:gutter="0" w:footer="0" w:header="0"/>
          <w:type w:val="continuous"/>
        </w:sectPr>
      </w:pPr>
    </w:p>
    <w:p>
      <w:pPr>
        <w:spacing w:after="0" w:line="75"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280 Park Avenue</w:t>
      </w:r>
    </w:p>
    <w:p>
      <w:pPr>
        <w:spacing w:after="0" w:line="36"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New York, New York 10017</w:t>
      </w:r>
    </w:p>
    <w:p>
      <w:pPr>
        <w:spacing w:after="0" w:line="40"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(Address of principal executive offices)</w:t>
      </w:r>
    </w:p>
    <w:p>
      <w:pPr>
        <w:spacing w:after="0" w:line="302" w:lineRule="exact"/>
        <w:rPr>
          <w:sz w:val="24"/>
          <w:szCs w:val="24"/>
          <w:color w:val="auto"/>
        </w:rPr>
      </w:pPr>
    </w:p>
    <w:p>
      <w:pPr>
        <w:ind w:left="294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204" w:lineRule="exact"/>
        <w:rPr>
          <w:sz w:val="24"/>
          <w:szCs w:val="24"/>
          <w:color w:val="auto"/>
        </w:rPr>
      </w:pPr>
    </w:p>
    <w:p>
      <w:pPr>
        <w:sectPr>
          <w:pgSz w:w="11900" w:h="16838" w:orient="portrait"/>
          <w:cols w:equalWidth="0" w:num="2">
            <w:col w:w="6760" w:space="0"/>
            <w:col w:w="4060"/>
          </w:cols>
          <w:pgMar w:left="240" w:top="324" w:right="839" w:bottom="1440" w:gutter="0" w:footer="0" w:header="0"/>
          <w:type w:val="continuous"/>
        </w:sectPr>
      </w:pPr>
    </w:p>
    <w:p>
      <w:pPr>
        <w:spacing w:after="0" w:line="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address, if changed since last report)</w:t>
      </w:r>
    </w:p>
    <w:p>
      <w:pPr>
        <w:sectPr>
          <w:pgSz w:w="11900" w:h="16838" w:orient="portrait"/>
          <w:cols w:equalWidth="0" w:num="1">
            <w:col w:w="10820"/>
          </w:cols>
          <w:pgMar w:left="240" w:top="324" w:right="839" w:bottom="1440" w:gutter="0" w:footer="0" w:header="0"/>
          <w:type w:val="continuous"/>
        </w:sectPr>
      </w:pPr>
    </w:p>
    <w:p>
      <w:pPr>
        <w:spacing w:after="0" w:line="302" w:lineRule="exact"/>
        <w:rPr>
          <w:sz w:val="24"/>
          <w:szCs w:val="24"/>
          <w:color w:val="auto"/>
        </w:rPr>
      </w:pPr>
    </w:p>
    <w:p>
      <w:pPr>
        <w:ind w:right="700"/>
        <w:spacing w:after="0" w:line="309"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20" w:type="dxa"/>
            <w:vAlign w:val="bottom"/>
          </w:tcPr>
          <w:p>
            <w:pPr>
              <w:ind w:left="160"/>
              <w:spacing w:after="0"/>
              <w:rPr>
                <w:sz w:val="20"/>
                <w:szCs w:val="20"/>
                <w:color w:val="auto"/>
              </w:rPr>
            </w:pPr>
            <w:r>
              <w:rPr>
                <w:rFonts w:ascii="Arial" w:cs="Arial" w:eastAsia="Arial" w:hAnsi="Arial"/>
                <w:sz w:val="18"/>
                <w:szCs w:val="18"/>
                <w:color w:val="auto"/>
              </w:rPr>
              <w:t>Written communication pursuant to Rule 425 under the Securities Act (17 CFR 230.425)</w:t>
            </w:r>
          </w:p>
        </w:tc>
      </w:tr>
      <w:tr>
        <w:trPr>
          <w:trHeight w:val="48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20" w:type="dxa"/>
            <w:vAlign w:val="bottom"/>
          </w:tcPr>
          <w:p>
            <w:pPr>
              <w:ind w:left="2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8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20" w:type="dxa"/>
            <w:vAlign w:val="bottom"/>
          </w:tcPr>
          <w:p>
            <w:pPr>
              <w:ind w:left="2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8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20" w:type="dxa"/>
            <w:vAlign w:val="bottom"/>
          </w:tcPr>
          <w:p>
            <w:pPr>
              <w:ind w:left="2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32"/>
        </w:trPr>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20" w:type="dxa"/>
            <w:vAlign w:val="bottom"/>
          </w:tcPr>
          <w:p>
            <w:pPr>
              <w:spacing w:after="0"/>
              <w:rPr>
                <w:sz w:val="11"/>
                <w:szCs w:val="11"/>
                <w:color w:val="auto"/>
              </w:rPr>
            </w:pPr>
          </w:p>
        </w:tc>
      </w:tr>
      <w:tr>
        <w:trPr>
          <w:trHeight w:val="71"/>
        </w:trPr>
        <w:tc>
          <w:tcPr>
            <w:tcW w:w="14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04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4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6854825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20"/>
          </w:cols>
          <w:pgMar w:left="240" w:top="324" w:right="839" w:bottom="1440" w:gutter="0" w:footer="0" w:header="0"/>
          <w:type w:val="continuous"/>
        </w:sectPr>
      </w:pPr>
    </w:p>
    <w:bookmarkStart w:id="1" w:name="page2"/>
    <w:bookmarkEnd w:id="1"/>
    <w:p>
      <w:pPr>
        <w:ind w:left="1300" w:right="620" w:hanging="1296"/>
        <w:spacing w:after="0" w:line="313"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w:t>
      </w:r>
    </w:p>
    <w:p>
      <w:pPr>
        <w:spacing w:after="0" w:line="279" w:lineRule="exact"/>
        <w:rPr>
          <w:sz w:val="20"/>
          <w:szCs w:val="20"/>
          <w:color w:val="auto"/>
        </w:rPr>
      </w:pPr>
    </w:p>
    <w:p>
      <w:pPr>
        <w:ind w:firstLine="1297"/>
        <w:spacing w:after="0" w:line="347" w:lineRule="auto"/>
        <w:rPr>
          <w:sz w:val="20"/>
          <w:szCs w:val="20"/>
          <w:color w:val="auto"/>
        </w:rPr>
      </w:pPr>
      <w:r>
        <w:rPr>
          <w:rFonts w:ascii="Arial" w:cs="Arial" w:eastAsia="Arial" w:hAnsi="Arial"/>
          <w:sz w:val="16"/>
          <w:szCs w:val="16"/>
          <w:color w:val="auto"/>
        </w:rPr>
        <w:t>On September 30, 2010, Vikram Talwar, Executive Chairman of ExlService Holdings, Inc. (the “Company”) informed (pursuant to the terms of Mr. Talwar’s employment agreement with the Company) the Board of Directors (the “Board”) of his decision to transition from his current position of Executive Chairman to the position of non-executive Chairman of the Board. The transition will be effective April 1, 2011.</w:t>
      </w:r>
    </w:p>
    <w:p>
      <w:pPr>
        <w:spacing w:after="0" w:line="174" w:lineRule="exact"/>
        <w:rPr>
          <w:sz w:val="20"/>
          <w:szCs w:val="20"/>
          <w:color w:val="auto"/>
        </w:rPr>
      </w:pPr>
    </w:p>
    <w:p>
      <w:pPr>
        <w:ind w:right="440" w:firstLine="1297"/>
        <w:spacing w:after="0" w:line="309" w:lineRule="auto"/>
        <w:rPr>
          <w:sz w:val="20"/>
          <w:szCs w:val="20"/>
          <w:color w:val="auto"/>
        </w:rPr>
      </w:pPr>
      <w:r>
        <w:rPr>
          <w:rFonts w:ascii="Arial" w:cs="Arial" w:eastAsia="Arial" w:hAnsi="Arial"/>
          <w:sz w:val="18"/>
          <w:szCs w:val="18"/>
          <w:color w:val="auto"/>
        </w:rPr>
        <w:t>On October 5, 2010, the Company issued a press release regarding the information set forth above. A copy of such release is attached as Exhibit 99.1 hereto.</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w:t>
      </w:r>
    </w:p>
    <w:p>
      <w:pPr>
        <w:spacing w:after="0" w:line="279" w:lineRule="exact"/>
        <w:rPr>
          <w:sz w:val="20"/>
          <w:szCs w:val="20"/>
          <w:color w:val="auto"/>
        </w:rPr>
      </w:pPr>
    </w:p>
    <w:p>
      <w:pPr>
        <w:ind w:right="80" w:firstLine="1297"/>
        <w:spacing w:after="0" w:line="329" w:lineRule="auto"/>
        <w:rPr>
          <w:sz w:val="20"/>
          <w:szCs w:val="20"/>
          <w:color w:val="auto"/>
        </w:rPr>
      </w:pPr>
      <w:r>
        <w:rPr>
          <w:rFonts w:ascii="Arial" w:cs="Arial" w:eastAsia="Arial" w:hAnsi="Arial"/>
          <w:sz w:val="16"/>
          <w:szCs w:val="16"/>
          <w:color w:val="auto"/>
        </w:rPr>
        <w:t>In connection with Mr. Talwar’s transition to Chairman of the Board, the Company approved the terms of Mr. Talwar’s compensation in such role. Beginning April 1, 2011, Mr. Talwar will receive an annual retainer as Chairman of the Board in an amount to be determined by the Board or the Compensation Committee of the Company. Mr. Talwar will also be eligible to receive meeting fees consistent with the Company’s existing policies for the Board. Mr. Talwar will be entitled to receive a bonus with regard to 2010 consistent with the terms and conditions of his current employment arrangement as if he had not delivered the notice discussed above. In addition, Mr. Talwar’s outstanding and unvested equity awards shall continue to vest according to their respect ive vesting schedules so long as Mr. Talwar continues to serve as Chairman.</w:t>
      </w:r>
    </w:p>
    <w:p>
      <w:pPr>
        <w:spacing w:after="0" w:line="18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w:t>
      </w:r>
    </w:p>
    <w:p>
      <w:pPr>
        <w:spacing w:after="0" w:line="279" w:lineRule="exact"/>
        <w:rPr>
          <w:sz w:val="20"/>
          <w:szCs w:val="20"/>
          <w:color w:val="auto"/>
        </w:rPr>
      </w:pPr>
    </w:p>
    <w:p>
      <w:pPr>
        <w:ind w:left="1700"/>
        <w:spacing w:after="0"/>
        <w:tabs>
          <w:tab w:leader="none" w:pos="2480" w:val="left"/>
        </w:tabs>
        <w:rPr>
          <w:sz w:val="20"/>
          <w:szCs w:val="20"/>
          <w:color w:val="auto"/>
        </w:rPr>
      </w:pPr>
      <w:r>
        <w:rPr>
          <w:rFonts w:ascii="Arial" w:cs="Arial" w:eastAsia="Arial" w:hAnsi="Arial"/>
          <w:sz w:val="18"/>
          <w:szCs w:val="18"/>
          <w:u w:val="single" w:color="auto"/>
          <w:color w:val="auto"/>
        </w:rPr>
        <w:t>Exhibit</w:t>
        <w:tab/>
        <w:t>Exhibit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w:t>
      </w:r>
    </w:p>
    <w:p>
      <w:pPr>
        <w:spacing w:after="0" w:line="63" w:lineRule="exact"/>
        <w:rPr>
          <w:sz w:val="20"/>
          <w:szCs w:val="20"/>
          <w:color w:val="auto"/>
        </w:rPr>
      </w:pPr>
    </w:p>
    <w:p>
      <w:pPr>
        <w:ind w:left="1700"/>
        <w:spacing w:after="0"/>
        <w:tabs>
          <w:tab w:leader="none" w:pos="2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741680</wp:posOffset>
            </wp:positionV>
            <wp:extent cx="68649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740"/>
          </w:cols>
          <w:pgMar w:left="240" w:top="526" w:right="9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30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EXLSERVICE HOLDINGS, INC.</w:t>
      </w:r>
    </w:p>
    <w:p>
      <w:pPr>
        <w:spacing w:after="0" w:line="4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2"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Date: October 5, 2010</w:t>
      </w:r>
      <w:r>
        <w:rPr>
          <w:sz w:val="20"/>
          <w:szCs w:val="20"/>
          <w:color w:val="auto"/>
        </w:rPr>
        <w:tab/>
      </w:r>
      <w:r>
        <w:rPr>
          <w:rFonts w:ascii="Arial" w:cs="Arial" w:eastAsia="Arial" w:hAnsi="Arial"/>
          <w:sz w:val="16"/>
          <w:szCs w:val="16"/>
          <w:color w:val="auto"/>
        </w:rPr>
        <w:t>By: /s/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23495</wp:posOffset>
            </wp:positionV>
            <wp:extent cx="24009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0935"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Amit Shashank</w:t>
      </w:r>
    </w:p>
    <w:p>
      <w:pPr>
        <w:spacing w:after="0" w:line="2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1015365</wp:posOffset>
            </wp:positionV>
            <wp:extent cx="68649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660"/>
          </w:cols>
          <w:pgMar w:left="240" w:top="526" w:right="9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660" w:type="dxa"/>
            <w:vAlign w:val="bottom"/>
            <w:gridSpan w:val="2"/>
          </w:tcPr>
          <w:p>
            <w:pPr>
              <w:spacing w:after="0"/>
              <w:rPr>
                <w:sz w:val="20"/>
                <w:szCs w:val="20"/>
                <w:color w:val="auto"/>
              </w:rPr>
            </w:pPr>
            <w:r>
              <w:rPr>
                <w:rFonts w:ascii="Arial" w:cs="Arial" w:eastAsia="Arial" w:hAnsi="Arial"/>
                <w:sz w:val="18"/>
                <w:szCs w:val="18"/>
                <w:color w:val="auto"/>
              </w:rPr>
              <w:t>Exhibit</w:t>
            </w:r>
          </w:p>
        </w:tc>
      </w:tr>
      <w:tr>
        <w:trPr>
          <w:trHeight w:val="20"/>
        </w:trPr>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91"/>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86"/>
              </w:rPr>
              <w:t>Press Release, dated October 5, 2010</w:t>
            </w:r>
          </w:p>
        </w:tc>
      </w:tr>
    </w:tbl>
    <w:p>
      <w:pPr>
        <w:sectPr>
          <w:pgSz w:w="11900" w:h="16838" w:orient="portrait"/>
          <w:cols w:equalWidth="0" w:num="1">
            <w:col w:w="9599"/>
          </w:cols>
          <w:pgMar w:left="860" w:top="769" w:right="1440" w:bottom="1440" w:gutter="0" w:footer="0" w:header="0"/>
        </w:sectPr>
      </w:pPr>
    </w:p>
    <w:bookmarkStart w:id="4" w:name="page5"/>
    <w:bookmarkEnd w:id="4"/>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797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7975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Vikram Talwar to serve as non-executive Chairman of the Board of EXL from April 1, 2011</w:t>
      </w:r>
    </w:p>
    <w:p>
      <w:pPr>
        <w:spacing w:after="0" w:line="198"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b w:val="1"/>
          <w:bCs w:val="1"/>
          <w:color w:val="auto"/>
        </w:rPr>
        <w:t xml:space="preserve">NEW YORK, NY, October 5, 2010 </w:t>
      </w:r>
      <w:r>
        <w:rPr>
          <w:rFonts w:ascii="Arial" w:cs="Arial" w:eastAsia="Arial" w:hAnsi="Arial"/>
          <w:sz w:val="18"/>
          <w:szCs w:val="18"/>
          <w:color w:val="auto"/>
        </w:rPr>
        <w:t>–ExlService Holdings, Inc. (NASDAQ: EXLS), a leading provider of outsourcing and transformation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Executive Chairman of the Board Vikram Talwar will transition to the role of non-executive Chairman of the Board of the Company effective April 1, 2011.</w:t>
      </w:r>
    </w:p>
    <w:p>
      <w:pPr>
        <w:spacing w:after="0" w:line="16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Vikram said, "As one of the founders of EXL over 11 years ago, I have worked closely with EXL's employees, clients, advisors, partners and Board of Directors to help create a company that is recognized as a leader in the business process outsourcing and transformation space. EXL today ranks among the top companies in the business process outsourcing and transformation space, serving over a 100 clients globally. The next six months will allow me to transition my responsibilities to Rohit and his highly professional management team. As such, I am confident that the excellent relationship we have established with our clients and the loyalty and support of our employees will continue to help EXL become an even more successful company.”</w:t>
      </w:r>
    </w:p>
    <w:p>
      <w:pPr>
        <w:spacing w:after="0" w:line="17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behalf of the Board of Directors and employees of EXL, I would like to thank Vikram for creating and building EXL into a strong and durable company with tremendous heritage and sound values” said Rohit Kapoor, President &amp; Chief Executive Officer. “Having co-founded EXL and worked very closely with Vikram, I know him to be a tremendous leader with amazing energy and passion. Under Vikram’s leadership, EXL developed strong customer relationships, built differentiated service offerings, expanded globally and grew into a well governed and respected public company. We are fortunate to have had such an exemplary leader and the transition now takes place in a well planned and orderly manner. The management team at EXL is fully geared up to continue to build and scale up EXL.We are excited that Vikram will continue to remain closely associated with the company” added Rohit.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ExlService Holdings, Inc. (NASDAQ: EXLS)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decision analytics, risk and financial management and operations and process excellence services. Headquartered in New York, EXL primarily serves the needs of Global 1000 companies in the insurance, utilities, banking and financial services, transportation and logistics, and travel sectors. Find additional information about EXL at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379"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 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686498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1440" w:right="8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997700" cy="797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7975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2009.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 ederal securities laws.</w:t>
      </w:r>
    </w:p>
    <w:sectPr>
      <w:pgSz w:w="11900" w:h="16838" w:orient="portrait"/>
      <w:cols w:equalWidth="0" w:num="1">
        <w:col w:w="10660"/>
      </w:cols>
      <w:pgMar w:left="240" w:top="144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2019-12-11T00:39:56Z</dcterms:created>
  <dcterms:modified xsi:type="dcterms:W3CDTF">2019-12-11T00:39:56Z</dcterms:modified>
</cp:coreProperties>
</file>