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591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59117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Schweppe Henry N III</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EXLSERVICE HOLDINGS,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10/06/2015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43"/>
        <w:spacing w:after="0"/>
        <w:rPr>
          <w:sz w:val="20"/>
          <w:szCs w:val="20"/>
          <w:color w:val="auto"/>
        </w:rPr>
      </w:pPr>
      <w:r>
        <w:rPr>
          <w:rFonts w:ascii="Arial" w:cs="Arial" w:eastAsia="Arial" w:hAnsi="Arial"/>
          <w:sz w:val="18"/>
          <w:szCs w:val="18"/>
          <w:color w:val="0000FF"/>
        </w:rPr>
        <w:t>Pres., Global Bus &amp; Marketing</w:t>
      </w:r>
    </w:p>
    <w:p>
      <w:pPr>
        <w:spacing w:after="0" w:line="406"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0" w:type="dxa"/>
            <w:vAlign w:val="bottom"/>
            <w:gridSpan w:val="7"/>
          </w:tcPr>
          <w:p>
            <w:pPr>
              <w:jc w:val="right"/>
              <w:ind w:right="154"/>
              <w:spacing w:after="0" w:line="146" w:lineRule="exact"/>
              <w:rPr>
                <w:sz w:val="20"/>
                <w:szCs w:val="20"/>
                <w:color w:val="auto"/>
              </w:rPr>
            </w:pPr>
            <w:r>
              <w:rPr>
                <w:rFonts w:ascii="Arial" w:cs="Arial" w:eastAsia="Arial" w:hAnsi="Arial"/>
                <w:sz w:val="14"/>
                <w:szCs w:val="14"/>
                <w:color w:val="auto"/>
                <w:w w:val="99"/>
              </w:rPr>
              <w:t>4. If Amendment, Date of Original Filed (Month/Day/Year)</w:t>
            </w:r>
          </w:p>
        </w:tc>
        <w:tc>
          <w:tcPr>
            <w:tcW w:w="3800" w:type="dxa"/>
            <w:vAlign w:val="bottom"/>
            <w:gridSpan w:val="10"/>
          </w:tcPr>
          <w:p>
            <w:pPr>
              <w:ind w:left="3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NY</w:t>
            </w:r>
          </w:p>
        </w:tc>
        <w:tc>
          <w:tcPr>
            <w:tcW w:w="600" w:type="dxa"/>
            <w:vAlign w:val="bottom"/>
            <w:vMerge w:val="restart"/>
          </w:tcPr>
          <w:p>
            <w:pPr>
              <w:ind w:left="20"/>
              <w:spacing w:after="0"/>
              <w:rPr>
                <w:sz w:val="20"/>
                <w:szCs w:val="20"/>
                <w:color w:val="auto"/>
              </w:rPr>
            </w:pPr>
            <w:r>
              <w:rPr>
                <w:rFonts w:ascii="Arial" w:cs="Arial" w:eastAsia="Arial" w:hAnsi="Arial"/>
                <w:sz w:val="18"/>
                <w:szCs w:val="18"/>
                <w:color w:val="0000FF"/>
              </w:rPr>
              <w:t>10022</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60" w:type="dxa"/>
            <w:vAlign w:val="bottom"/>
            <w:gridSpan w:val="8"/>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6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4"/>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720" w:type="dxa"/>
            <w:vAlign w:val="bottom"/>
            <w:tcBorders>
              <w:bottom w:val="single" w:sz="8" w:color="2C2C2C"/>
            </w:tcBorders>
            <w:gridSpan w:val="4"/>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4"/>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600" w:type="dxa"/>
            <w:vAlign w:val="bottom"/>
          </w:tcPr>
          <w:p>
            <w:pPr>
              <w:spacing w:after="0"/>
              <w:rPr>
                <w:sz w:val="15"/>
                <w:szCs w:val="15"/>
                <w:color w:val="auto"/>
              </w:rPr>
            </w:pPr>
          </w:p>
        </w:tc>
        <w:tc>
          <w:tcPr>
            <w:tcW w:w="1200" w:type="dxa"/>
            <w:vAlign w:val="bottom"/>
            <w:gridSpan w:val="3"/>
          </w:tcPr>
          <w:p>
            <w:pPr>
              <w:ind w:left="1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6"/>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gridSpan w:val="3"/>
          </w:tcPr>
          <w:p>
            <w:pPr>
              <w:ind w:left="200"/>
              <w:spacing w:after="0"/>
              <w:rPr>
                <w:sz w:val="20"/>
                <w:szCs w:val="20"/>
                <w:color w:val="auto"/>
              </w:rPr>
            </w:pPr>
            <w:r>
              <w:rPr>
                <w:rFonts w:ascii="Arial" w:cs="Arial" w:eastAsia="Arial" w:hAnsi="Arial"/>
                <w:sz w:val="18"/>
                <w:szCs w:val="18"/>
                <w:color w:val="0000FF"/>
              </w:rPr>
              <w:t>10/06/2015</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7"/>
              <w:spacing w:after="0"/>
              <w:rPr>
                <w:sz w:val="20"/>
                <w:szCs w:val="20"/>
                <w:color w:val="auto"/>
              </w:rPr>
            </w:pPr>
            <w:r>
              <w:rPr>
                <w:rFonts w:ascii="Arial" w:cs="Arial" w:eastAsia="Arial" w:hAnsi="Arial"/>
                <w:sz w:val="14"/>
                <w:szCs w:val="14"/>
                <w:color w:val="0000FF"/>
              </w:rPr>
              <w:t>M</w:t>
            </w:r>
          </w:p>
        </w:tc>
        <w:tc>
          <w:tcPr>
            <w:tcW w:w="720" w:type="dxa"/>
            <w:vAlign w:val="bottom"/>
          </w:tcPr>
          <w:p>
            <w:pPr>
              <w:ind w:left="260"/>
              <w:spacing w:after="0"/>
              <w:rPr>
                <w:sz w:val="20"/>
                <w:szCs w:val="20"/>
                <w:color w:val="auto"/>
              </w:rPr>
            </w:pPr>
            <w:r>
              <w:rPr>
                <w:rFonts w:ascii="Arial" w:cs="Arial" w:eastAsia="Arial" w:hAnsi="Arial"/>
                <w:sz w:val="18"/>
                <w:szCs w:val="18"/>
                <w:color w:val="0000FF"/>
                <w:w w:val="97"/>
              </w:rPr>
              <w:t>2,016</w:t>
            </w:r>
          </w:p>
        </w:tc>
        <w:tc>
          <w:tcPr>
            <w:tcW w:w="700" w:type="dxa"/>
            <w:vAlign w:val="bottom"/>
          </w:tcPr>
          <w:p>
            <w:pPr>
              <w:jc w:val="right"/>
              <w:ind w:right="154"/>
              <w:spacing w:after="0"/>
              <w:rPr>
                <w:sz w:val="20"/>
                <w:szCs w:val="20"/>
                <w:color w:val="auto"/>
              </w:rPr>
            </w:pPr>
            <w:r>
              <w:rPr>
                <w:rFonts w:ascii="Arial" w:cs="Arial" w:eastAsia="Arial" w:hAnsi="Arial"/>
                <w:sz w:val="18"/>
                <w:szCs w:val="18"/>
                <w:color w:val="0000FF"/>
              </w:rPr>
              <w:t>A</w:t>
            </w:r>
          </w:p>
        </w:tc>
        <w:tc>
          <w:tcPr>
            <w:tcW w:w="540" w:type="dxa"/>
            <w:vAlign w:val="bottom"/>
          </w:tcPr>
          <w:p>
            <w:pPr>
              <w:jc w:val="right"/>
              <w:ind w:right="53"/>
              <w:spacing w:after="0"/>
              <w:rPr>
                <w:sz w:val="20"/>
                <w:szCs w:val="20"/>
                <w:color w:val="auto"/>
              </w:rPr>
            </w:pPr>
            <w:r>
              <w:rPr>
                <w:rFonts w:ascii="Arial" w:cs="Arial" w:eastAsia="Arial" w:hAnsi="Arial"/>
                <w:sz w:val="11"/>
                <w:szCs w:val="11"/>
                <w:color w:val="008000"/>
              </w:rPr>
              <w:t>(1)</w:t>
            </w:r>
          </w:p>
        </w:tc>
        <w:tc>
          <w:tcPr>
            <w:tcW w:w="200" w:type="dxa"/>
            <w:vAlign w:val="bottom"/>
          </w:tcPr>
          <w:p>
            <w:pPr>
              <w:spacing w:after="0"/>
              <w:rPr>
                <w:sz w:val="23"/>
                <w:szCs w:val="23"/>
                <w:color w:val="auto"/>
              </w:rPr>
            </w:pPr>
          </w:p>
        </w:tc>
        <w:tc>
          <w:tcPr>
            <w:tcW w:w="1220" w:type="dxa"/>
            <w:vAlign w:val="bottom"/>
            <w:gridSpan w:val="2"/>
          </w:tcPr>
          <w:p>
            <w:pPr>
              <w:ind w:left="400"/>
              <w:spacing w:after="0"/>
              <w:rPr>
                <w:sz w:val="20"/>
                <w:szCs w:val="20"/>
                <w:color w:val="auto"/>
              </w:rPr>
            </w:pPr>
            <w:r>
              <w:rPr>
                <w:rFonts w:ascii="Arial" w:cs="Arial" w:eastAsia="Arial" w:hAnsi="Arial"/>
                <w:sz w:val="18"/>
                <w:szCs w:val="18"/>
                <w:color w:val="0000FF"/>
              </w:rPr>
              <w:t>2,016</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gridSpan w:val="6"/>
          </w:tcPr>
          <w:p>
            <w:pPr>
              <w:spacing w:after="0"/>
              <w:rPr>
                <w:sz w:val="5"/>
                <w:szCs w:val="5"/>
                <w:color w:val="auto"/>
              </w:rPr>
            </w:pPr>
          </w:p>
        </w:tc>
        <w:tc>
          <w:tcPr>
            <w:tcW w:w="120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3"/>
          </w:tcPr>
          <w:p>
            <w:pPr>
              <w:ind w:left="200"/>
              <w:spacing w:after="0"/>
              <w:rPr>
                <w:sz w:val="20"/>
                <w:szCs w:val="20"/>
                <w:color w:val="auto"/>
              </w:rPr>
            </w:pPr>
            <w:r>
              <w:rPr>
                <w:rFonts w:ascii="Arial" w:cs="Arial" w:eastAsia="Arial" w:hAnsi="Arial"/>
                <w:sz w:val="18"/>
                <w:szCs w:val="18"/>
                <w:color w:val="0000FF"/>
              </w:rPr>
              <w:t>10/06/2015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7"/>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713</w:t>
            </w:r>
          </w:p>
        </w:tc>
        <w:tc>
          <w:tcPr>
            <w:tcW w:w="700" w:type="dxa"/>
            <w:vAlign w:val="bottom"/>
            <w:tcBorders>
              <w:bottom w:val="single" w:sz="8" w:color="2C2C2C"/>
            </w:tcBorders>
          </w:tcPr>
          <w:p>
            <w:pPr>
              <w:jc w:val="right"/>
              <w:ind w:right="154"/>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38.48</w:t>
            </w:r>
            <w:r>
              <w:rPr>
                <w:rFonts w:ascii="Arial" w:cs="Arial" w:eastAsia="Arial" w:hAnsi="Arial"/>
                <w:sz w:val="22"/>
                <w:szCs w:val="22"/>
                <w:color w:val="008000"/>
                <w:w w:val="87"/>
                <w:vertAlign w:val="superscript"/>
              </w:rPr>
              <w:t>(2)</w:t>
            </w: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1,303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jc w:val="center"/>
              <w:ind w:left="82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220" w:type="dxa"/>
            <w:vAlign w:val="bottom"/>
            <w:gridSpan w:val="11"/>
          </w:tcPr>
          <w:p>
            <w:pPr>
              <w:ind w:left="1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Restricted</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(3)</w:t>
            </w:r>
          </w:p>
        </w:tc>
        <w:tc>
          <w:tcPr>
            <w:tcW w:w="700" w:type="dxa"/>
            <w:vAlign w:val="bottom"/>
          </w:tcPr>
          <w:p>
            <w:pPr>
              <w:jc w:val="right"/>
              <w:ind w:right="154"/>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2,016</w:t>
            </w: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ind w:left="260"/>
              <w:spacing w:after="0" w:line="149" w:lineRule="exact"/>
              <w:rPr>
                <w:sz w:val="20"/>
                <w:szCs w:val="20"/>
                <w:color w:val="auto"/>
              </w:rPr>
            </w:pPr>
            <w:r>
              <w:rPr>
                <w:rFonts w:ascii="Arial" w:cs="Arial" w:eastAsia="Arial" w:hAnsi="Arial"/>
                <w:sz w:val="14"/>
                <w:szCs w:val="14"/>
                <w:color w:val="0000FF"/>
              </w:rPr>
              <w:t>10/06/2015</w:t>
            </w: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ind w:left="80"/>
              <w:spacing w:after="0" w:line="149"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12"/>
                <w:szCs w:val="12"/>
                <w:color w:val="auto"/>
              </w:rPr>
            </w:pPr>
          </w:p>
        </w:tc>
        <w:tc>
          <w:tcPr>
            <w:tcW w:w="820" w:type="dxa"/>
            <w:vAlign w:val="bottom"/>
          </w:tcPr>
          <w:p>
            <w:pPr>
              <w:ind w:left="400"/>
              <w:spacing w:after="0" w:line="149" w:lineRule="exact"/>
              <w:rPr>
                <w:sz w:val="20"/>
                <w:szCs w:val="20"/>
                <w:color w:val="auto"/>
              </w:rPr>
            </w:pPr>
            <w:r>
              <w:rPr>
                <w:rFonts w:ascii="Arial" w:cs="Arial" w:eastAsia="Arial" w:hAnsi="Arial"/>
                <w:sz w:val="14"/>
                <w:szCs w:val="14"/>
                <w:color w:val="0000FF"/>
              </w:rPr>
              <w:t>2,016</w:t>
            </w:r>
          </w:p>
        </w:tc>
        <w:tc>
          <w:tcPr>
            <w:tcW w:w="82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00" w:type="dxa"/>
            <w:vAlign w:val="bottom"/>
          </w:tcPr>
          <w:p>
            <w:pPr>
              <w:ind w:left="6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20"/>
              <w:spacing w:after="0" w:line="149" w:lineRule="exact"/>
              <w:rPr>
                <w:sz w:val="20"/>
                <w:szCs w:val="20"/>
                <w:color w:val="auto"/>
              </w:rPr>
            </w:pPr>
            <w:r>
              <w:rPr>
                <w:rFonts w:ascii="Arial" w:cs="Arial" w:eastAsia="Arial" w:hAnsi="Arial"/>
                <w:sz w:val="14"/>
                <w:szCs w:val="14"/>
                <w:color w:val="0000FF"/>
                <w:w w:val="88"/>
              </w:rPr>
              <w:t>18,153</w:t>
            </w:r>
          </w:p>
        </w:tc>
        <w:tc>
          <w:tcPr>
            <w:tcW w:w="28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Units</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jc w:val="right"/>
              <w:ind w:right="134"/>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40" w:right="54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October 6, 2015. Pursuant to the Company's 2006 Omnibus Award Plan, pursuant to which such restricted stock units were granted, the average of the high and low sale prices of the Common Stock on the Nasdaq Global Select Market on the preceding day is used for purposes of computing tax reporting and withholding.</w:t>
      </w:r>
    </w:p>
    <w:p>
      <w:pPr>
        <w:ind w:left="40" w:right="4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2,016 shares of restricted stock units became vested on October 6, 2015; an additional 4,034 shares of the restricted stock units will vest on October 6, 2016; an additional 6,051 shares of restricted stock units will vest on October 6, 2017; and the remaining balance of 8,068 shares of the restricted stock units will vest on October 6, 2018.</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10/08/2015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2170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2019-12-08T12:20:43Z</dcterms:created>
  <dcterms:modified xsi:type="dcterms:W3CDTF">2019-12-08T12:20:43Z</dcterms:modified>
</cp:coreProperties>
</file>