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632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5278120</wp:posOffset>
            </wp:positionH>
            <wp:positionV relativeFrom="paragraph">
              <wp:posOffset>-631190</wp:posOffset>
            </wp:positionV>
            <wp:extent cx="58420" cy="6445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3998595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16510</wp:posOffset>
            </wp:positionV>
            <wp:extent cx="6992620" cy="49536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4953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60"/>
            <w:col w:w="8540"/>
          </w:cols>
          <w:pgMar w:left="460" w:top="222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Kini Narasimha</w:t>
        </w:r>
      </w:hyperlink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120" w:right="540"/>
        <w:spacing w:after="0" w:line="32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EXLSERVICE HOLDINGS INC 320 PARK AVENUE, 29TH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246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ExlService Holdings,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4"/>
          <w:szCs w:val="14"/>
          <w:color w:val="0000FF"/>
        </w:rPr>
        <w:t>EXLS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8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03/31/2022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-6" w:right="620" w:firstLine="6"/>
        <w:spacing w:after="0" w:line="239" w:lineRule="auto"/>
        <w:tabs>
          <w:tab w:leader="none" w:pos="13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194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7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EVP, Emerging Bus Unit Leader</w:t>
      </w:r>
    </w:p>
    <w:p>
      <w:pPr>
        <w:spacing w:after="0" w:line="43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6" w:space="720"/>
            <w:col w:w="3354"/>
          </w:cols>
          <w:pgMar w:left="460" w:top="222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80" w:type="dxa"/>
            <w:vAlign w:val="bottom"/>
            <w:gridSpan w:val="8"/>
          </w:tcPr>
          <w:p>
            <w:pPr>
              <w:jc w:val="center"/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10"/>
          </w:tcPr>
          <w:p>
            <w:pPr>
              <w:ind w:left="300"/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60" w:type="dxa"/>
            <w:vAlign w:val="bottom"/>
            <w:gridSpan w:val="10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10022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7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7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8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60" w:type="dxa"/>
            <w:vAlign w:val="bottom"/>
            <w:gridSpan w:val="12"/>
          </w:tcPr>
          <w:p>
            <w:pPr>
              <w:jc w:val="center"/>
              <w:ind w:left="4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Stock,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4,177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03/31/2022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4,177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par value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2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4,177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$0.001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per share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-2290445</wp:posOffset>
            </wp:positionV>
            <wp:extent cx="29210" cy="22955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295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restricted stock units received under a share matching plan in connection with the officer's purchase of common stock, par value $0.001 per share of ExlService Holdings, Inc.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680" w:firstLine="3"/>
        <w:spacing w:after="0" w:line="252" w:lineRule="auto"/>
        <w:tabs>
          <w:tab w:leader="none" w:pos="17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restricted stock units will vest in two installments, one-third on the second year anniversary, and two-thirds on the third year anniversary. Vesting will be accelerated upon certain termination of employment events and upon a "Change in Control" (as defined in the ExlService Holdings, Inc. 2018 Omnibus Incentive Plan).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600"/>
        <w:spacing w:after="0" w:line="22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Lazbart Oseni, Attorney-in-  </w:t>
      </w:r>
      <w:r>
        <w:rPr>
          <w:rFonts w:ascii="Arial" w:cs="Arial" w:eastAsia="Arial" w:hAnsi="Arial"/>
          <w:sz w:val="33"/>
          <w:szCs w:val="33"/>
          <w:color w:val="0000FF"/>
          <w:vertAlign w:val="subscript"/>
        </w:rPr>
        <w:t>04/04/2022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-26670</wp:posOffset>
            </wp:positionV>
            <wp:extent cx="132334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3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-19685</wp:posOffset>
            </wp:positionV>
            <wp:extent cx="18478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7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5582920</wp:posOffset>
            </wp:positionH>
            <wp:positionV relativeFrom="paragraph">
              <wp:posOffset>-85725</wp:posOffset>
            </wp:positionV>
            <wp:extent cx="48895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9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7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373631" TargetMode="External"/><Relationship Id="rId13" Type="http://schemas.openxmlformats.org/officeDocument/2006/relationships/hyperlink" Target="http://www.sec.gov/cgi-bin/browse-edgar?action=getcompany&amp;CIK=00012979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2022-04-04T16:13:40Z</dcterms:created>
  <dcterms:modified xsi:type="dcterms:W3CDTF">2022-04-04T16:13:40Z</dcterms:modified>
</cp:coreProperties>
</file>