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Miglani Nalin Kumar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and Chief HR Officer</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52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2717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02/23/2021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91"/>
              </w:rPr>
              <w:t>972</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79.33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3,333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02/23/2021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9"/>
              <w:spacing w:after="0"/>
              <w:rPr>
                <w:sz w:val="20"/>
                <w:szCs w:val="20"/>
                <w:color w:val="auto"/>
              </w:rPr>
            </w:pPr>
            <w:r>
              <w:rPr>
                <w:rFonts w:ascii="Arial" w:cs="Arial" w:eastAsia="Arial" w:hAnsi="Arial"/>
                <w:sz w:val="17"/>
                <w:szCs w:val="17"/>
                <w:color w:val="0000FF"/>
                <w:w w:val="89"/>
              </w:rPr>
              <w:t>1,788</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1"/>
                <w:szCs w:val="11"/>
                <w:color w:val="008000"/>
              </w:rPr>
              <w:t>(2)</w:t>
            </w:r>
          </w:p>
        </w:tc>
        <w:tc>
          <w:tcPr>
            <w:tcW w:w="1120" w:type="dxa"/>
            <w:vAlign w:val="bottom"/>
          </w:tcPr>
          <w:p>
            <w:pPr>
              <w:ind w:left="380"/>
              <w:spacing w:after="0"/>
              <w:rPr>
                <w:sz w:val="20"/>
                <w:szCs w:val="20"/>
                <w:color w:val="auto"/>
              </w:rPr>
            </w:pPr>
            <w:r>
              <w:rPr>
                <w:rFonts w:ascii="Arial" w:cs="Arial" w:eastAsia="Arial" w:hAnsi="Arial"/>
                <w:sz w:val="17"/>
                <w:szCs w:val="17"/>
                <w:color w:val="0000FF"/>
              </w:rPr>
              <w:t>5,121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02/23/2021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91"/>
              </w:rPr>
              <w:t>695</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80.46</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4,426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(4)</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1,788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02/23/2021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1,788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440"/>
              <w:spacing w:after="0" w:line="143" w:lineRule="exact"/>
              <w:rPr>
                <w:sz w:val="20"/>
                <w:szCs w:val="20"/>
                <w:color w:val="auto"/>
              </w:rPr>
            </w:pPr>
            <w:r>
              <w:rPr>
                <w:rFonts w:ascii="Arial" w:cs="Arial" w:eastAsia="Arial" w:hAnsi="Arial"/>
                <w:sz w:val="13"/>
                <w:szCs w:val="13"/>
                <w:color w:val="0000FF"/>
              </w:rPr>
              <w:t>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23, 2021. Pursuant to the ExlService Holdings, Inc. 2016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jc w:val="both"/>
        <w:ind w:left="40" w:right="4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2017, the reporting person was granted 7,150 restricted stock units, 25 percent of the restricted stock units became vested on February 23, 2018, an additional 25 percent of the restricted stock units became vested on February 23, 2019, an additional 25 percent of the restricted stock units became vested February 23, 2020, and the remaining balance of 25 percent of the restricted stock units became vested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2701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2021-02-25T17:07:29Z</dcterms:created>
  <dcterms:modified xsi:type="dcterms:W3CDTF">2021-02-25T17:07:29Z</dcterms:modified>
</cp:coreProperties>
</file>