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Sections 13 or 15(d) of</w:t>
      </w:r>
    </w:p>
    <w:p>
      <w:pPr>
        <w:spacing w:after="0" w:line="1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640"/>
        <w:spacing w:after="0"/>
        <w:rPr>
          <w:sz w:val="20"/>
          <w:szCs w:val="20"/>
          <w:color w:val="auto"/>
        </w:rPr>
      </w:pPr>
      <w:r>
        <w:rPr>
          <w:rFonts w:ascii="Arial" w:cs="Arial" w:eastAsia="Arial" w:hAnsi="Arial"/>
          <w:sz w:val="19"/>
          <w:szCs w:val="19"/>
          <w:b w:val="1"/>
          <w:bCs w:val="1"/>
          <w:color w:val="auto"/>
        </w:rPr>
        <w:t>Date of Report (Date of earliest event reported): November 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264795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449"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449"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449"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449" w:right="79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449"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November 1, 2013, ExlService Holdings, Inc. (the “Company”) received a notice of termination (the “Notice”) from The Travelers Indemnity Company (“Travelers”) pursuant to Section 19.2 of the Professional Services Agreement, dated as of March 7, 2006, between the Company and Travelers (as amended from time to time, the “Agreement”).</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Travelers represented 9.6% of the Company’s total revenues for the three months ended September 30, 2013. The Company expects that this termination will not have a material impact on calendar year 2013 revenues and estimates a reduction in 2014 revenues of $14 million to $28 million, although transition plans have not been discussed by the parties. Under the Agreement, the Company must provide, for up to eighteen (18) months from the termination date, certain disentanglement services at the Company’s expense. The Company is confident of its ability to redeploy the employee resources and physical infrastructure based on its expected growth and expansion. As such, the Company does not expect any employee layoffs due to the termination.</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Travelers’ stated basis for the termination was that the Company had failed to comply with certain provisions of the Agreement regarding the handling of Travelers’ information. The termination arose from an incident where Company employees, who have since been terminated, shared a procedural document externally in violation of the Company’s strict client confidentiality policies. The Company and Travelers sought an amendment to the existing agreement but were unable to reach terms mutually acceptable to the parties.</w:t>
      </w:r>
    </w:p>
    <w:p>
      <w:pPr>
        <w:spacing w:after="0" w:line="18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While the Company is disappointed in Travelers’ decision to terminate, it is committed to work with Travelers to effect a smooth transition while continuing to provide ongoing services in accordance with the Agreement.</w:t>
      </w:r>
    </w:p>
    <w:p>
      <w:pPr>
        <w:spacing w:after="0" w:line="17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This report contains, and oral statements made from time to time by representatives of the Company may contain,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and the impact of the termination of the Travelers contract. These statements may also include those with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include uncertainty regarding the impact of the termination of the Travelers contract, the process for the transition of Travelers services away from the Company and the Company’s ability to re-deploy personnel and infrastructure to other clients. Additional factors are discussed in more detail in the Company’s filings with the Securities and Exchange Commission, including the Company’s Annual Report on Form 10-K for the year ended December 31, 2012.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900" w:val="left"/>
          <w:tab w:leader="none" w:pos="8020" w:val="left"/>
        </w:tabs>
        <w:rPr>
          <w:sz w:val="20"/>
          <w:szCs w:val="20"/>
          <w:color w:val="auto"/>
        </w:rPr>
      </w:pPr>
      <w:r>
        <w:rPr>
          <w:rFonts w:ascii="Arial" w:cs="Arial" w:eastAsia="Arial" w:hAnsi="Arial"/>
          <w:sz w:val="18"/>
          <w:szCs w:val="18"/>
          <w:color w:val="auto"/>
        </w:rPr>
        <w:t>Date: November 4,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4"/>
          <w:szCs w:val="14"/>
          <w:color w:val="auto"/>
        </w:rPr>
        <w:t>S</w:t>
      </w:r>
      <w:r>
        <w:rPr>
          <w:rFonts w:ascii="Arial" w:cs="Arial" w:eastAsia="Arial" w:hAnsi="Arial"/>
          <w:sz w:val="17"/>
          <w:szCs w:val="17"/>
          <w:color w:val="auto"/>
        </w:rPr>
        <w:t>/ V</w:t>
      </w:r>
      <w:r>
        <w:rPr>
          <w:rFonts w:ascii="Arial" w:cs="Arial" w:eastAsia="Arial" w:hAnsi="Arial"/>
          <w:sz w:val="14"/>
          <w:szCs w:val="14"/>
          <w:color w:val="auto"/>
        </w:rPr>
        <w:t>ISHAL</w:t>
      </w:r>
      <w:r>
        <w:rPr>
          <w:rFonts w:ascii="Arial" w:cs="Arial" w:eastAsia="Arial" w:hAnsi="Arial"/>
          <w:sz w:val="17"/>
          <w:szCs w:val="17"/>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Vishal Chhibbar</w:t>
      </w:r>
    </w:p>
    <w:p>
      <w:pPr>
        <w:jc w:val="center"/>
        <w:ind w:left="628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280"/>
        <w:spacing w:after="0" w:line="221" w:lineRule="auto"/>
        <w:rPr>
          <w:sz w:val="20"/>
          <w:szCs w:val="20"/>
          <w:color w:val="auto"/>
        </w:rPr>
      </w:pPr>
      <w:r>
        <w:rPr>
          <w:rFonts w:ascii="Arial" w:cs="Arial" w:eastAsia="Arial" w:hAnsi="Arial"/>
          <w:sz w:val="14"/>
          <w:szCs w:val="14"/>
          <w:b w:val="1"/>
          <w:bCs w:val="1"/>
          <w:color w:val="auto"/>
        </w:rPr>
        <w:t>(Duly Authorized Signatory, Principal Financial and</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2019-12-07T08:14:07Z</dcterms:created>
  <dcterms:modified xsi:type="dcterms:W3CDTF">2019-12-07T08:14:07Z</dcterms:modified>
</cp:coreProperties>
</file>