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STAGLIN GAREN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04/27/2015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ind w:left="560"/>
              <w:spacing w:after="0"/>
              <w:rPr>
                <w:sz w:val="20"/>
                <w:szCs w:val="20"/>
                <w:color w:val="auto"/>
              </w:rPr>
            </w:pPr>
            <w:r>
              <w:rPr>
                <w:rFonts w:ascii="Arial" w:cs="Arial" w:eastAsia="Arial" w:hAnsi="Arial"/>
                <w:sz w:val="18"/>
                <w:szCs w:val="18"/>
                <w:color w:val="0000FF"/>
              </w:rPr>
              <w:t>04/27/2015</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1,250</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720" w:type="dxa"/>
            <w:vAlign w:val="bottom"/>
            <w:gridSpan w:val="2"/>
            <w:vMerge w:val="restart"/>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11.875</w:t>
            </w:r>
          </w:p>
        </w:tc>
        <w:tc>
          <w:tcPr>
            <w:tcW w:w="140" w:type="dxa"/>
            <w:vAlign w:val="bottom"/>
          </w:tcPr>
          <w:p>
            <w:pPr>
              <w:spacing w:after="0"/>
              <w:rPr>
                <w:sz w:val="22"/>
                <w:szCs w:val="22"/>
                <w:color w:val="auto"/>
              </w:rPr>
            </w:pPr>
          </w:p>
        </w:tc>
        <w:tc>
          <w:tcPr>
            <w:tcW w:w="1240" w:type="dxa"/>
            <w:vAlign w:val="bottom"/>
            <w:gridSpan w:val="3"/>
            <w:vMerge w:val="restart"/>
          </w:tcPr>
          <w:p>
            <w:pPr>
              <w:jc w:val="right"/>
              <w:ind w:right="359"/>
              <w:spacing w:after="0"/>
              <w:rPr>
                <w:sz w:val="20"/>
                <w:szCs w:val="20"/>
                <w:color w:val="auto"/>
              </w:rPr>
            </w:pPr>
            <w:r>
              <w:rPr>
                <w:rFonts w:ascii="Arial" w:cs="Arial" w:eastAsia="Arial" w:hAnsi="Arial"/>
                <w:sz w:val="18"/>
                <w:szCs w:val="18"/>
                <w:color w:val="0000FF"/>
              </w:rPr>
              <w:t>6,250</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2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ind w:left="560"/>
              <w:spacing w:after="0"/>
              <w:rPr>
                <w:sz w:val="20"/>
                <w:szCs w:val="20"/>
                <w:color w:val="auto"/>
              </w:rPr>
            </w:pPr>
            <w:r>
              <w:rPr>
                <w:rFonts w:ascii="Arial" w:cs="Arial" w:eastAsia="Arial" w:hAnsi="Arial"/>
                <w:sz w:val="18"/>
                <w:szCs w:val="18"/>
                <w:color w:val="0000FF"/>
              </w:rPr>
              <w:t>04/27/2015</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1,250</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33.7331</w:t>
            </w:r>
            <w:r>
              <w:rPr>
                <w:rFonts w:ascii="Arial" w:cs="Arial" w:eastAsia="Arial" w:hAnsi="Arial"/>
                <w:sz w:val="22"/>
                <w:szCs w:val="22"/>
                <w:color w:val="008000"/>
                <w:w w:val="85"/>
                <w:vertAlign w:val="superscript"/>
              </w:rPr>
              <w:t>(3)</w:t>
            </w:r>
          </w:p>
        </w:tc>
        <w:tc>
          <w:tcPr>
            <w:tcW w:w="1240" w:type="dxa"/>
            <w:vAlign w:val="bottom"/>
            <w:gridSpan w:val="3"/>
            <w:vMerge w:val="restart"/>
          </w:tcPr>
          <w:p>
            <w:pPr>
              <w:jc w:val="right"/>
              <w:ind w:right="359"/>
              <w:spacing w:after="0"/>
              <w:rPr>
                <w:sz w:val="20"/>
                <w:szCs w:val="20"/>
                <w:color w:val="auto"/>
              </w:rPr>
            </w:pPr>
            <w:r>
              <w:rPr>
                <w:rFonts w:ascii="Arial" w:cs="Arial" w:eastAsia="Arial" w:hAnsi="Arial"/>
                <w:sz w:val="18"/>
                <w:szCs w:val="18"/>
                <w:color w:val="0000FF"/>
              </w:rPr>
              <w:t>5,000</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720" w:type="dxa"/>
            <w:vAlign w:val="bottom"/>
            <w:tcBorders>
              <w:bottom w:val="single" w:sz="8" w:color="2C2C2C"/>
            </w:tcBorders>
            <w:gridSpan w:val="9"/>
          </w:tcPr>
          <w:p>
            <w:pPr>
              <w:spacing w:after="0"/>
              <w:rPr>
                <w:sz w:val="8"/>
                <w:szCs w:val="8"/>
                <w:color w:val="auto"/>
              </w:rPr>
            </w:pPr>
          </w:p>
        </w:tc>
        <w:tc>
          <w:tcPr>
            <w:tcW w:w="200" w:type="dxa"/>
            <w:vAlign w:val="bottom"/>
            <w:tcBorders>
              <w:bottom w:val="single" w:sz="8" w:color="2C2C2C"/>
            </w:tcBorders>
            <w:gridSpan w:val="3"/>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580" w:type="dxa"/>
            <w:vAlign w:val="bottom"/>
            <w:gridSpan w:val="9"/>
          </w:tcPr>
          <w:p>
            <w:pPr>
              <w:ind w:left="6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8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1,250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11.875</w:t>
            </w:r>
          </w:p>
        </w:tc>
        <w:tc>
          <w:tcPr>
            <w:tcW w:w="1180" w:type="dxa"/>
            <w:vAlign w:val="bottom"/>
          </w:tcPr>
          <w:p>
            <w:pPr>
              <w:ind w:left="260"/>
              <w:spacing w:after="0" w:line="149" w:lineRule="exact"/>
              <w:rPr>
                <w:sz w:val="20"/>
                <w:szCs w:val="20"/>
                <w:color w:val="auto"/>
              </w:rPr>
            </w:pPr>
            <w:r>
              <w:rPr>
                <w:rFonts w:ascii="Arial" w:cs="Arial" w:eastAsia="Arial" w:hAnsi="Arial"/>
                <w:sz w:val="14"/>
                <w:szCs w:val="14"/>
                <w:color w:val="0000FF"/>
              </w:rPr>
              <w:t>04/27/2015</w:t>
            </w:r>
          </w:p>
        </w:tc>
        <w:tc>
          <w:tcPr>
            <w:tcW w:w="1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ind w:left="360"/>
              <w:spacing w:after="0" w:line="149" w:lineRule="exact"/>
              <w:rPr>
                <w:sz w:val="20"/>
                <w:szCs w:val="20"/>
                <w:color w:val="auto"/>
              </w:rPr>
            </w:pPr>
            <w:r>
              <w:rPr>
                <w:rFonts w:ascii="Arial" w:cs="Arial" w:eastAsia="Arial" w:hAnsi="Arial"/>
                <w:sz w:val="14"/>
                <w:szCs w:val="14"/>
                <w:color w:val="0000FF"/>
                <w:w w:val="96"/>
              </w:rPr>
              <w:t>1,250</w:t>
            </w:r>
          </w:p>
        </w:tc>
        <w:tc>
          <w:tcPr>
            <w:tcW w:w="820" w:type="dxa"/>
            <w:vAlign w:val="bottom"/>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0000FF"/>
                <w:w w:val="85"/>
              </w:rPr>
              <w:t>06/23/2015</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3"/>
              </w:rPr>
              <w:t>par value</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159"/>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700" w:type="dxa"/>
            <w:vAlign w:val="bottom"/>
          </w:tcPr>
          <w:p>
            <w:pPr>
              <w:ind w:left="300"/>
              <w:spacing w:after="0" w:line="149" w:lineRule="exact"/>
              <w:rPr>
                <w:sz w:val="20"/>
                <w:szCs w:val="20"/>
                <w:color w:val="auto"/>
              </w:rPr>
            </w:pPr>
            <w:r>
              <w:rPr>
                <w:rFonts w:ascii="Arial" w:cs="Arial" w:eastAsia="Arial" w:hAnsi="Arial"/>
                <w:sz w:val="14"/>
                <w:szCs w:val="14"/>
                <w:color w:val="0000FF"/>
                <w:w w:val="88"/>
              </w:rPr>
              <w:t>11,250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ind w:left="140"/>
              <w:spacing w:after="0" w:line="149" w:lineRule="exact"/>
              <w:rPr>
                <w:sz w:val="20"/>
                <w:szCs w:val="20"/>
                <w:color w:val="auto"/>
              </w:rPr>
            </w:pPr>
            <w:r>
              <w:rPr>
                <w:rFonts w:ascii="Arial" w:cs="Arial" w:eastAsia="Arial" w:hAnsi="Arial"/>
                <w:sz w:val="14"/>
                <w:szCs w:val="14"/>
                <w:color w:val="0000FF"/>
                <w:w w:val="97"/>
              </w:rPr>
              <w:t>$0.001</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w w:val="81"/>
              </w:rPr>
              <w:t>per share</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April 27, 2015 the reporting person exercised previously issued options to purchase an aggregate of 1,250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$33.32 to $34.16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11,250 of these options are fully vested and exercisable.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04/29/2015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2019-12-08T11:56:44Z</dcterms:created>
  <dcterms:modified xsi:type="dcterms:W3CDTF">2019-12-08T11:56:44Z</dcterms:modified>
</cp:coreProperties>
</file>