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605155</wp:posOffset>
            </wp:positionH>
            <wp:positionV relativeFrom="paragraph">
              <wp:posOffset>132080</wp:posOffset>
            </wp:positionV>
            <wp:extent cx="6595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74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99060</wp:posOffset>
            </wp:positionV>
            <wp:extent cx="65957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745" cy="8255"/>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1"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12" w:lineRule="exact"/>
        <w:rPr>
          <w:sz w:val="24"/>
          <w:szCs w:val="24"/>
          <w:color w:val="auto"/>
        </w:rPr>
      </w:pPr>
    </w:p>
    <w:p>
      <w:pPr>
        <w:ind w:left="300" w:hanging="277"/>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2025</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7" w:lineRule="exact"/>
        <w:rPr>
          <w:sz w:val="24"/>
          <w:szCs w:val="24"/>
          <w:color w:val="auto"/>
        </w:rPr>
      </w:pPr>
    </w:p>
    <w:p>
      <w:pPr>
        <w:ind w:left="300" w:hanging="277"/>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7" w:lineRule="exact"/>
        <w:rPr>
          <w:sz w:val="24"/>
          <w:szCs w:val="24"/>
          <w:color w:val="auto"/>
        </w:rPr>
      </w:pPr>
    </w:p>
    <w:p>
      <w:pPr>
        <w:ind w:left="3200"/>
        <w:spacing w:after="0"/>
        <w:tabs>
          <w:tab w:leader="none" w:pos="69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3913505</wp:posOffset>
            </wp:positionH>
            <wp:positionV relativeFrom="paragraph">
              <wp:posOffset>-5715</wp:posOffset>
            </wp:positionV>
            <wp:extent cx="11957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5705" cy="8255"/>
                    </a:xfrm>
                    <a:prstGeom prst="rect">
                      <a:avLst/>
                    </a:prstGeom>
                    <a:noFill/>
                  </pic:spPr>
                </pic:pic>
              </a:graphicData>
            </a:graphic>
          </wp:anchor>
        </w:drawing>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001-33089</w:t>
      </w:r>
    </w:p>
    <w:p>
      <w:pPr>
        <w:spacing w:after="0" w:line="18"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EXLSERVICE HOLDINGS, INC.</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ind w:left="31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118" w:lineRule="exact"/>
        <w:rPr>
          <w:sz w:val="24"/>
          <w:szCs w:val="24"/>
          <w:color w:val="auto"/>
        </w:rPr>
      </w:pPr>
    </w:p>
    <w:tbl>
      <w:tblPr>
        <w:tblLayout w:type="fixed"/>
        <w:tblInd w:w="350" w:type="dxa"/>
        <w:tblCellMar>
          <w:top w:w="0" w:type="dxa"/>
          <w:left w:w="0" w:type="dxa"/>
          <w:bottom w:w="0" w:type="dxa"/>
          <w:right w:w="0" w:type="dxa"/>
        </w:tblCellMar>
      </w:tblPr>
      <w:tr>
        <w:trPr>
          <w:trHeight w:val="202"/>
        </w:trPr>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gridSpan w:val="2"/>
          </w:tcPr>
          <w:p>
            <w:pPr>
              <w:jc w:val="center"/>
              <w:ind w:right="104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80" w:type="dxa"/>
            <w:vAlign w:val="bottom"/>
            <w:gridSpan w:val="2"/>
          </w:tcPr>
          <w:p>
            <w:pPr>
              <w:jc w:val="right"/>
              <w:ind w:right="2005"/>
              <w:spacing w:after="0"/>
              <w:rPr>
                <w:sz w:val="20"/>
                <w:szCs w:val="20"/>
                <w:color w:val="auto"/>
              </w:rPr>
            </w:pPr>
            <w:r>
              <w:rPr>
                <w:rFonts w:ascii="Times New Roman" w:cs="Times New Roman" w:eastAsia="Times New Roman" w:hAnsi="Times New Roman"/>
                <w:sz w:val="16"/>
                <w:szCs w:val="16"/>
                <w:b w:val="1"/>
                <w:bCs w:val="1"/>
                <w:color w:val="auto"/>
              </w:rPr>
              <w:t>82-0572194</w:t>
            </w:r>
          </w:p>
        </w:tc>
        <w:tc>
          <w:tcPr>
            <w:tcW w:w="600" w:type="dxa"/>
            <w:vAlign w:val="bottom"/>
          </w:tcPr>
          <w:p>
            <w:pPr>
              <w:spacing w:after="0"/>
              <w:rPr>
                <w:sz w:val="17"/>
                <w:szCs w:val="17"/>
                <w:color w:val="auto"/>
              </w:rPr>
            </w:pPr>
          </w:p>
        </w:tc>
      </w:tr>
      <w:tr>
        <w:trPr>
          <w:trHeight w:val="145"/>
        </w:trPr>
        <w:tc>
          <w:tcPr>
            <w:tcW w:w="1320" w:type="dxa"/>
            <w:vAlign w:val="bottom"/>
          </w:tcPr>
          <w:p>
            <w:pPr>
              <w:spacing w:after="0"/>
              <w:rPr>
                <w:sz w:val="12"/>
                <w:szCs w:val="12"/>
                <w:color w:val="auto"/>
              </w:rPr>
            </w:pPr>
          </w:p>
        </w:tc>
        <w:tc>
          <w:tcPr>
            <w:tcW w:w="3000" w:type="dxa"/>
            <w:vAlign w:val="bottom"/>
            <w:gridSpan w:val="3"/>
          </w:tcPr>
          <w:p>
            <w:pPr>
              <w:jc w:val="center"/>
              <w:ind w:left="46"/>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80" w:type="dxa"/>
            <w:vAlign w:val="bottom"/>
            <w:gridSpan w:val="3"/>
          </w:tcPr>
          <w:p>
            <w:pPr>
              <w:jc w:val="center"/>
              <w:ind w:right="24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5"/>
        </w:trPr>
        <w:tc>
          <w:tcPr>
            <w:tcW w:w="1320" w:type="dxa"/>
            <w:vAlign w:val="bottom"/>
          </w:tcPr>
          <w:p>
            <w:pPr>
              <w:spacing w:after="0"/>
              <w:rPr>
                <w:sz w:val="16"/>
                <w:szCs w:val="16"/>
                <w:color w:val="auto"/>
              </w:rPr>
            </w:pPr>
          </w:p>
        </w:tc>
        <w:tc>
          <w:tcPr>
            <w:tcW w:w="3000" w:type="dxa"/>
            <w:vAlign w:val="bottom"/>
            <w:gridSpan w:val="3"/>
          </w:tcPr>
          <w:p>
            <w:pPr>
              <w:jc w:val="center"/>
              <w:ind w:left="4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80" w:type="dxa"/>
            <w:vAlign w:val="bottom"/>
            <w:gridSpan w:val="3"/>
          </w:tcPr>
          <w:p>
            <w:pPr>
              <w:jc w:val="center"/>
              <w:ind w:right="24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71"/>
        </w:trPr>
        <w:tc>
          <w:tcPr>
            <w:tcW w:w="1320" w:type="dxa"/>
            <w:vAlign w:val="bottom"/>
          </w:tcPr>
          <w:p>
            <w:pPr>
              <w:spacing w:after="0"/>
              <w:rPr>
                <w:sz w:val="23"/>
                <w:szCs w:val="23"/>
                <w:color w:val="auto"/>
              </w:rPr>
            </w:pPr>
          </w:p>
        </w:tc>
        <w:tc>
          <w:tcPr>
            <w:tcW w:w="3000" w:type="dxa"/>
            <w:vAlign w:val="bottom"/>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320 Park Avenue, 29</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6"/>
                <w:szCs w:val="16"/>
                <w:b w:val="1"/>
                <w:bCs w:val="1"/>
                <w:color w:val="auto"/>
              </w:rPr>
              <w:t xml:space="preserve"> Floor,</w:t>
            </w: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02"/>
        </w:trPr>
        <w:tc>
          <w:tcPr>
            <w:tcW w:w="1320" w:type="dxa"/>
            <w:vAlign w:val="bottom"/>
          </w:tcPr>
          <w:p>
            <w:pPr>
              <w:spacing w:after="0"/>
              <w:rPr>
                <w:sz w:val="17"/>
                <w:szCs w:val="17"/>
                <w:color w:val="auto"/>
              </w:rPr>
            </w:pPr>
          </w:p>
        </w:tc>
        <w:tc>
          <w:tcPr>
            <w:tcW w:w="3000" w:type="dxa"/>
            <w:vAlign w:val="bottom"/>
            <w:gridSpan w:val="3"/>
          </w:tcPr>
          <w:p>
            <w:pPr>
              <w:ind w:left="1060"/>
              <w:spacing w:after="0"/>
              <w:rPr>
                <w:sz w:val="20"/>
                <w:szCs w:val="20"/>
                <w:color w:val="auto"/>
              </w:rPr>
            </w:pPr>
            <w:r>
              <w:rPr>
                <w:rFonts w:ascii="Times New Roman" w:cs="Times New Roman" w:eastAsia="Times New Roman" w:hAnsi="Times New Roman"/>
                <w:sz w:val="16"/>
                <w:szCs w:val="16"/>
                <w:b w:val="1"/>
                <w:bCs w:val="1"/>
                <w:color w:val="auto"/>
              </w:rPr>
              <w:t>New York, New York</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80" w:type="dxa"/>
            <w:vAlign w:val="bottom"/>
            <w:gridSpan w:val="2"/>
          </w:tcPr>
          <w:p>
            <w:pPr>
              <w:jc w:val="right"/>
              <w:ind w:right="2185"/>
              <w:spacing w:after="0"/>
              <w:rPr>
                <w:sz w:val="20"/>
                <w:szCs w:val="20"/>
                <w:color w:val="auto"/>
              </w:rPr>
            </w:pPr>
            <w:r>
              <w:rPr>
                <w:rFonts w:ascii="Times New Roman" w:cs="Times New Roman" w:eastAsia="Times New Roman" w:hAnsi="Times New Roman"/>
                <w:sz w:val="16"/>
                <w:szCs w:val="16"/>
                <w:b w:val="1"/>
                <w:bCs w:val="1"/>
                <w:color w:val="auto"/>
              </w:rPr>
              <w:t>10022</w:t>
            </w:r>
          </w:p>
        </w:tc>
        <w:tc>
          <w:tcPr>
            <w:tcW w:w="600" w:type="dxa"/>
            <w:vAlign w:val="bottom"/>
          </w:tcPr>
          <w:p>
            <w:pPr>
              <w:spacing w:after="0"/>
              <w:rPr>
                <w:sz w:val="17"/>
                <w:szCs w:val="17"/>
                <w:color w:val="auto"/>
              </w:rPr>
            </w:pPr>
          </w:p>
        </w:tc>
      </w:tr>
      <w:tr>
        <w:trPr>
          <w:trHeight w:val="185"/>
        </w:trPr>
        <w:tc>
          <w:tcPr>
            <w:tcW w:w="1320" w:type="dxa"/>
            <w:vAlign w:val="bottom"/>
          </w:tcPr>
          <w:p>
            <w:pPr>
              <w:spacing w:after="0"/>
              <w:rPr>
                <w:sz w:val="16"/>
                <w:szCs w:val="16"/>
                <w:color w:val="auto"/>
              </w:rPr>
            </w:pPr>
          </w:p>
        </w:tc>
        <w:tc>
          <w:tcPr>
            <w:tcW w:w="3000" w:type="dxa"/>
            <w:vAlign w:val="bottom"/>
            <w:gridSpan w:val="3"/>
          </w:tcPr>
          <w:p>
            <w:pPr>
              <w:jc w:val="center"/>
              <w:ind w:left="4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0" w:type="dxa"/>
            <w:vAlign w:val="bottom"/>
            <w:gridSpan w:val="2"/>
          </w:tcPr>
          <w:p>
            <w:pPr>
              <w:jc w:val="center"/>
              <w:ind w:right="2720"/>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309"/>
        </w:trPr>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gridSpan w:val="2"/>
          </w:tcPr>
          <w:p>
            <w:pPr>
              <w:jc w:val="center"/>
              <w:ind w:left="344"/>
              <w:spacing w:after="0"/>
              <w:rPr>
                <w:sz w:val="20"/>
                <w:szCs w:val="20"/>
                <w:color w:val="auto"/>
              </w:rPr>
            </w:pPr>
            <w:r>
              <w:rPr>
                <w:rFonts w:ascii="Times New Roman" w:cs="Times New Roman" w:eastAsia="Times New Roman" w:hAnsi="Times New Roman"/>
                <w:sz w:val="16"/>
                <w:szCs w:val="16"/>
                <w:b w:val="1"/>
                <w:bCs w:val="1"/>
                <w:color w:val="auto"/>
                <w:w w:val="97"/>
              </w:rPr>
              <w:t>(212) 277-7100</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05"/>
        </w:trPr>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40" w:type="dxa"/>
            <w:vAlign w:val="bottom"/>
            <w:gridSpan w:val="6"/>
          </w:tcPr>
          <w:p>
            <w:pPr>
              <w:jc w:val="center"/>
              <w:ind w:left="1084"/>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2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90"/>
        </w:trPr>
        <w:tc>
          <w:tcPr>
            <w:tcW w:w="1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gridSpan w:val="3"/>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gridSpan w:val="3"/>
          </w:tcPr>
          <w:p>
            <w:pPr>
              <w:spacing w:after="0"/>
              <w:rPr>
                <w:sz w:val="7"/>
                <w:szCs w:val="7"/>
                <w:color w:val="auto"/>
              </w:rPr>
            </w:pPr>
          </w:p>
        </w:tc>
        <w:tc>
          <w:tcPr>
            <w:tcW w:w="28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r>
      <w:tr>
        <w:trPr>
          <w:trHeight w:val="203"/>
        </w:trPr>
        <w:tc>
          <w:tcPr>
            <w:tcW w:w="1320" w:type="dxa"/>
            <w:vAlign w:val="bottom"/>
            <w:tcBorders>
              <w:left w:val="single" w:sz="8" w:color="auto"/>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120" w:type="dxa"/>
            <w:vAlign w:val="bottom"/>
            <w:tcBorders>
              <w:bottom w:val="single" w:sz="8" w:color="auto"/>
              <w:right w:val="single" w:sz="8" w:color="auto"/>
            </w:tcBorders>
            <w:gridSpan w:val="9"/>
          </w:tcPr>
          <w:p>
            <w:pPr>
              <w:jc w:val="center"/>
              <w:ind w:right="2500"/>
              <w:spacing w:after="0"/>
              <w:rPr>
                <w:sz w:val="20"/>
                <w:szCs w:val="20"/>
                <w:color w:val="auto"/>
              </w:rPr>
            </w:pPr>
            <w:r>
              <w:rPr>
                <w:rFonts w:ascii="Times New Roman" w:cs="Times New Roman" w:eastAsia="Times New Roman" w:hAnsi="Times New Roman"/>
                <w:sz w:val="16"/>
                <w:szCs w:val="16"/>
                <w:b w:val="1"/>
                <w:bCs w:val="1"/>
                <w:color w:val="auto"/>
                <w:w w:val="98"/>
              </w:rPr>
              <w:t>Securities registered pursuant to Section 12(b) of the Act:</w:t>
            </w:r>
          </w:p>
        </w:tc>
      </w:tr>
      <w:tr>
        <w:trPr>
          <w:trHeight w:val="172"/>
        </w:trPr>
        <w:tc>
          <w:tcPr>
            <w:tcW w:w="3840" w:type="dxa"/>
            <w:vAlign w:val="bottom"/>
            <w:tcBorders>
              <w:left w:val="single" w:sz="8" w:color="auto"/>
              <w:right w:val="single" w:sz="8" w:color="auto"/>
            </w:tcBorders>
            <w:gridSpan w:val="3"/>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480" w:type="dxa"/>
            <w:vAlign w:val="bottom"/>
          </w:tcPr>
          <w:p>
            <w:pPr>
              <w:spacing w:after="0"/>
              <w:rPr>
                <w:sz w:val="14"/>
                <w:szCs w:val="14"/>
                <w:color w:val="auto"/>
              </w:rPr>
            </w:pPr>
          </w:p>
        </w:tc>
        <w:tc>
          <w:tcPr>
            <w:tcW w:w="2320" w:type="dxa"/>
            <w:vAlign w:val="bottom"/>
            <w:tcBorders>
              <w:right w:val="single" w:sz="8" w:color="auto"/>
            </w:tcBorders>
            <w:gridSpan w:val="3"/>
          </w:tcPr>
          <w:p>
            <w:pPr>
              <w:jc w:val="center"/>
              <w:ind w:right="520"/>
              <w:spacing w:after="0" w:line="138" w:lineRule="exact"/>
              <w:rPr>
                <w:sz w:val="20"/>
                <w:szCs w:val="20"/>
                <w:color w:val="auto"/>
              </w:rPr>
            </w:pPr>
            <w:r>
              <w:rPr>
                <w:rFonts w:ascii="Times New Roman" w:cs="Times New Roman" w:eastAsia="Times New Roman" w:hAnsi="Times New Roman"/>
                <w:sz w:val="15"/>
                <w:szCs w:val="15"/>
                <w:b w:val="1"/>
                <w:bCs w:val="1"/>
                <w:color w:val="auto"/>
              </w:rPr>
              <w:t>Trading symbol(s)</w:t>
            </w:r>
          </w:p>
        </w:tc>
        <w:tc>
          <w:tcPr>
            <w:tcW w:w="280" w:type="dxa"/>
            <w:vAlign w:val="bottom"/>
          </w:tcPr>
          <w:p>
            <w:pPr>
              <w:spacing w:after="0"/>
              <w:rPr>
                <w:sz w:val="14"/>
                <w:szCs w:val="14"/>
                <w:color w:val="auto"/>
              </w:rPr>
            </w:pPr>
          </w:p>
        </w:tc>
        <w:tc>
          <w:tcPr>
            <w:tcW w:w="3680" w:type="dxa"/>
            <w:vAlign w:val="bottom"/>
            <w:tcBorders>
              <w:right w:val="single" w:sz="8" w:color="auto"/>
            </w:tcBorders>
            <w:gridSpan w:val="3"/>
          </w:tcPr>
          <w:p>
            <w:pPr>
              <w:jc w:val="center"/>
              <w:ind w:right="320"/>
              <w:spacing w:after="0" w:line="138" w:lineRule="exact"/>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320" w:type="dxa"/>
            <w:vAlign w:val="bottom"/>
            <w:tcBorders>
              <w:left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r>
      <w:tr>
        <w:trPr>
          <w:trHeight w:val="194"/>
        </w:trPr>
        <w:tc>
          <w:tcPr>
            <w:tcW w:w="38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4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right w:val="single" w:sz="8" w:color="auto"/>
            </w:tcBorders>
            <w:gridSpan w:val="2"/>
          </w:tcPr>
          <w:p>
            <w:pPr>
              <w:jc w:val="center"/>
              <w:ind w:right="760"/>
              <w:spacing w:after="0"/>
              <w:rPr>
                <w:sz w:val="20"/>
                <w:szCs w:val="20"/>
                <w:color w:val="auto"/>
              </w:rPr>
            </w:pPr>
            <w:r>
              <w:rPr>
                <w:rFonts w:ascii="Times New Roman" w:cs="Times New Roman" w:eastAsia="Times New Roman" w:hAnsi="Times New Roman"/>
                <w:sz w:val="14"/>
                <w:szCs w:val="14"/>
                <w:color w:val="auto"/>
              </w:rPr>
              <w:t>EXLS</w:t>
            </w: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6"/>
                <w:szCs w:val="16"/>
                <w:color w:val="auto"/>
                <w:w w:val="98"/>
              </w:rPr>
              <w:t>The Nasdaq Stock Market LLC</w:t>
            </w:r>
          </w:p>
        </w:tc>
      </w:tr>
    </w:tbl>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w:t>
      </w:r>
    </w:p>
    <w:p>
      <w:pPr>
        <w:spacing w:after="0" w:line="212" w:lineRule="exact"/>
        <w:rPr>
          <w:sz w:val="24"/>
          <w:szCs w:val="24"/>
          <w:color w:val="auto"/>
        </w:rPr>
      </w:pPr>
    </w:p>
    <w:p>
      <w:pPr>
        <w:ind w:firstLine="316"/>
        <w:spacing w:after="0" w:line="24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19" w:lineRule="exact"/>
        <w:tabs>
          <w:tab w:leader="none" w:pos="5040" w:val="left"/>
        </w:tabs>
        <w:rPr>
          <w:sz w:val="20"/>
          <w:szCs w:val="20"/>
          <w:color w:val="auto"/>
        </w:rPr>
      </w:pPr>
      <w:r>
        <w:rPr>
          <w:rFonts w:ascii="Times New Roman" w:cs="Times New Roman" w:eastAsia="Times New Roman" w:hAnsi="Times New Roman"/>
          <w:sz w:val="16"/>
          <w:szCs w:val="16"/>
          <w:color w:val="auto"/>
        </w:rPr>
        <w:t xml:space="preserve">(2) has been subject to such filing requirements for the past 90 days.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9"/>
          <w:szCs w:val="19"/>
          <w:color w:val="auto"/>
        </w:rPr>
        <w:t>☐</w:t>
      </w:r>
    </w:p>
    <w:p>
      <w:pPr>
        <w:spacing w:after="0" w:line="249" w:lineRule="exact"/>
        <w:rPr>
          <w:sz w:val="24"/>
          <w:szCs w:val="24"/>
          <w:color w:val="auto"/>
        </w:rPr>
      </w:pPr>
    </w:p>
    <w:p>
      <w:pPr>
        <w:ind w:firstLine="316"/>
        <w:spacing w:after="0" w:line="22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9"/>
          <w:szCs w:val="19"/>
          <w:color w:val="auto"/>
        </w:rPr>
        <w:t>☐</w:t>
      </w:r>
    </w:p>
    <w:p>
      <w:pPr>
        <w:spacing w:after="0" w:line="202" w:lineRule="exact"/>
        <w:rPr>
          <w:sz w:val="24"/>
          <w:szCs w:val="24"/>
          <w:color w:val="auto"/>
        </w:rPr>
      </w:pPr>
    </w:p>
    <w:p>
      <w:pPr>
        <w:ind w:firstLine="316"/>
        <w:spacing w:after="0" w:line="27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340" w:type="dxa"/>
        <w:tblCellMar>
          <w:top w:w="0" w:type="dxa"/>
          <w:left w:w="0" w:type="dxa"/>
          <w:bottom w:w="0" w:type="dxa"/>
          <w:right w:w="0" w:type="dxa"/>
        </w:tblCellMar>
      </w:tblPr>
      <w:tr>
        <w:trPr>
          <w:trHeight w:val="257"/>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4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52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4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5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7"/>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14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spacing w:after="0"/>
              <w:rPr>
                <w:sz w:val="23"/>
                <w:szCs w:val="23"/>
                <w:color w:val="auto"/>
              </w:rPr>
            </w:pPr>
          </w:p>
        </w:tc>
        <w:tc>
          <w:tcPr>
            <w:tcW w:w="620" w:type="dxa"/>
            <w:vAlign w:val="bottom"/>
          </w:tcPr>
          <w:p>
            <w:pPr>
              <w:spacing w:after="0"/>
              <w:rPr>
                <w:sz w:val="23"/>
                <w:szCs w:val="23"/>
                <w:color w:val="auto"/>
              </w:rPr>
            </w:pPr>
          </w:p>
        </w:tc>
      </w:tr>
    </w:tbl>
    <w:p>
      <w:pPr>
        <w:spacing w:after="0" w:line="46" w:lineRule="exact"/>
        <w:rPr>
          <w:sz w:val="24"/>
          <w:szCs w:val="24"/>
          <w:color w:val="auto"/>
        </w:rPr>
      </w:pPr>
    </w:p>
    <w:p>
      <w:pPr>
        <w:ind w:firstLine="316"/>
        <w:spacing w:after="0" w:line="21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5" w:lineRule="exact"/>
        <w:rPr>
          <w:sz w:val="24"/>
          <w:szCs w:val="24"/>
          <w:color w:val="auto"/>
        </w:rPr>
      </w:pPr>
    </w:p>
    <w:p>
      <w:pPr>
        <w:spacing w:after="0" w:line="184" w:lineRule="exact"/>
        <w:tabs>
          <w:tab w:leader="none" w:pos="780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339"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As of October 24, 2025, there were 158,700,885 shares of the registrant’s common stock outstanding,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230505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117475</wp:posOffset>
            </wp:positionV>
            <wp:extent cx="7135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84455</wp:posOffset>
            </wp:positionV>
            <wp:extent cx="7135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94" w:lineRule="exact"/>
        <w:rPr>
          <w:sz w:val="20"/>
          <w:szCs w:val="20"/>
          <w:color w:val="auto"/>
        </w:rPr>
      </w:pPr>
    </w:p>
    <w:p>
      <w:pPr>
        <w:ind w:left="10620"/>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6654800</wp:posOffset>
            </wp:positionH>
            <wp:positionV relativeFrom="paragraph">
              <wp:posOffset>-127635</wp:posOffset>
            </wp:positionV>
            <wp:extent cx="4095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tbl>
      <w:tblPr>
        <w:tblLayout w:type="fixed"/>
        <w:tblInd w:w="1080" w:type="dxa"/>
        <w:tblCellMar>
          <w:top w:w="0" w:type="dxa"/>
          <w:left w:w="0" w:type="dxa"/>
          <w:bottom w:w="0" w:type="dxa"/>
          <w:right w:w="0" w:type="dxa"/>
        </w:tblCellMar>
      </w:tblPr>
      <w:tr>
        <w:trPr>
          <w:trHeight w:val="206"/>
        </w:trPr>
        <w:tc>
          <w:tcPr>
            <w:tcW w:w="2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Part I. Financial Information</w:t>
            </w:r>
          </w:p>
        </w:tc>
        <w:tc>
          <w:tcPr>
            <w:tcW w:w="75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bl>
    <w:p>
      <w:pPr>
        <w:spacing w:after="0" w:line="74" w:lineRule="exact"/>
        <w:rPr>
          <w:sz w:val="20"/>
          <w:szCs w:val="20"/>
          <w:color w:val="auto"/>
        </w:rPr>
      </w:pPr>
    </w:p>
    <w:p>
      <w:pPr>
        <w:ind w:left="1080" w:hanging="939"/>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FINANCIAL STATEMENTS (UNAUDITED)</w:t>
      </w:r>
    </w:p>
    <w:tbl>
      <w:tblPr>
        <w:tblLayout w:type="fixed"/>
        <w:tblInd w:w="0" w:type="dxa"/>
        <w:tblCellMar>
          <w:top w:w="0" w:type="dxa"/>
          <w:left w:w="0" w:type="dxa"/>
          <w:bottom w:w="0" w:type="dxa"/>
          <w:right w:w="0" w:type="dxa"/>
        </w:tblCellMar>
      </w:tblPr>
      <w:tr>
        <w:trPr>
          <w:trHeight w:val="206"/>
        </w:trPr>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5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6"/>
              </w:rPr>
              <w:t>Consolidated Balance Sheets as of September 30, 2025 and December 31, 2024</w:t>
            </w:r>
          </w:p>
        </w:tc>
        <w:tc>
          <w:tcPr>
            <w:tcW w:w="3280" w:type="dxa"/>
            <w:vAlign w:val="bottom"/>
            <w:gridSpan w:val="6"/>
          </w:tcPr>
          <w:p>
            <w:pPr>
              <w:spacing w:after="0"/>
              <w:rPr>
                <w:sz w:val="17"/>
                <w:szCs w:val="17"/>
                <w:color w:val="auto"/>
              </w:rPr>
            </w:pP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3</w:t>
            </w:r>
          </w:p>
        </w:tc>
      </w:tr>
      <w:tr>
        <w:trPr>
          <w:trHeight w:val="204"/>
        </w:trPr>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60" w:type="dxa"/>
            <w:vAlign w:val="bottom"/>
            <w:gridSpan w:val="17"/>
          </w:tcPr>
          <w:p>
            <w:pPr>
              <w:spacing w:after="0" w:line="204" w:lineRule="exact"/>
              <w:rPr>
                <w:sz w:val="20"/>
                <w:szCs w:val="20"/>
                <w:color w:val="auto"/>
              </w:rPr>
            </w:pPr>
            <w:r>
              <w:rPr>
                <w:rFonts w:ascii="Times New Roman" w:cs="Times New Roman" w:eastAsia="Times New Roman" w:hAnsi="Times New Roman"/>
                <w:sz w:val="18"/>
                <w:szCs w:val="18"/>
                <w:color w:val="0000FF"/>
              </w:rPr>
              <w:t>Consolidated Statements of Income for the Three and Nine Months Ended September 30, 2025 and 2024</w:t>
            </w:r>
          </w:p>
        </w:tc>
        <w:tc>
          <w:tcPr>
            <w:tcW w:w="1100" w:type="dxa"/>
            <w:vAlign w:val="bottom"/>
          </w:tcPr>
          <w:p>
            <w:pPr>
              <w:ind w:left="360"/>
              <w:spacing w:after="0" w:line="204" w:lineRule="exact"/>
              <w:rPr>
                <w:sz w:val="20"/>
                <w:szCs w:val="20"/>
                <w:color w:val="auto"/>
              </w:rPr>
            </w:pPr>
            <w:r>
              <w:rPr>
                <w:rFonts w:ascii="Times New Roman" w:cs="Times New Roman" w:eastAsia="Times New Roman" w:hAnsi="Times New Roman"/>
                <w:sz w:val="18"/>
                <w:szCs w:val="18"/>
                <w:color w:val="0000FF"/>
              </w:rPr>
              <w:t>4</w:t>
            </w:r>
          </w:p>
        </w:tc>
      </w:tr>
      <w:tr>
        <w:trPr>
          <w:trHeight w:val="20"/>
        </w:trPr>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4"/>
        </w:trPr>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00" w:type="dxa"/>
            <w:vAlign w:val="bottom"/>
            <w:tcBorders>
              <w:bottom w:val="single" w:sz="8" w:color="0000FF"/>
            </w:tcBorders>
            <w:gridSpan w:val="16"/>
          </w:tcPr>
          <w:p>
            <w:pPr>
              <w:spacing w:after="0" w:line="204" w:lineRule="exact"/>
              <w:rPr>
                <w:sz w:val="20"/>
                <w:szCs w:val="20"/>
                <w:color w:val="auto"/>
              </w:rPr>
            </w:pPr>
            <w:r>
              <w:rPr>
                <w:rFonts w:ascii="Times New Roman" w:cs="Times New Roman" w:eastAsia="Times New Roman" w:hAnsi="Times New Roman"/>
                <w:sz w:val="18"/>
                <w:szCs w:val="18"/>
                <w:color w:val="0000FF"/>
                <w:w w:val="97"/>
              </w:rPr>
              <w:t>Consolidated Statements of Comprehensive Income for the Three and Nine Months Ended September 30, 2025 and 2024</w:t>
            </w:r>
          </w:p>
        </w:tc>
        <w:tc>
          <w:tcPr>
            <w:tcW w:w="360" w:type="dxa"/>
            <w:vAlign w:val="bottom"/>
          </w:tcPr>
          <w:p>
            <w:pPr>
              <w:spacing w:after="0"/>
              <w:rPr>
                <w:sz w:val="17"/>
                <w:szCs w:val="17"/>
                <w:color w:val="auto"/>
              </w:rPr>
            </w:pPr>
          </w:p>
        </w:tc>
        <w:tc>
          <w:tcPr>
            <w:tcW w:w="1100" w:type="dxa"/>
            <w:vAlign w:val="bottom"/>
          </w:tcPr>
          <w:p>
            <w:pPr>
              <w:ind w:left="360"/>
              <w:spacing w:after="0" w:line="204" w:lineRule="exact"/>
              <w:rPr>
                <w:sz w:val="20"/>
                <w:szCs w:val="20"/>
                <w:color w:val="auto"/>
              </w:rPr>
            </w:pPr>
            <w:r>
              <w:rPr>
                <w:rFonts w:ascii="Times New Roman" w:cs="Times New Roman" w:eastAsia="Times New Roman" w:hAnsi="Times New Roman"/>
                <w:sz w:val="18"/>
                <w:szCs w:val="18"/>
                <w:color w:val="0000FF"/>
              </w:rPr>
              <w:t>5</w:t>
            </w:r>
          </w:p>
        </w:tc>
      </w:tr>
      <w:tr>
        <w:trPr>
          <w:trHeight w:val="204"/>
        </w:trPr>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80" w:type="dxa"/>
            <w:vAlign w:val="bottom"/>
            <w:tcBorders>
              <w:bottom w:val="single" w:sz="8" w:color="0000FF"/>
            </w:tcBorders>
            <w:gridSpan w:val="15"/>
          </w:tcPr>
          <w:p>
            <w:pPr>
              <w:spacing w:after="0" w:line="204" w:lineRule="exact"/>
              <w:rPr>
                <w:sz w:val="20"/>
                <w:szCs w:val="20"/>
                <w:color w:val="auto"/>
              </w:rPr>
            </w:pPr>
            <w:r>
              <w:rPr>
                <w:rFonts w:ascii="Times New Roman" w:cs="Times New Roman" w:eastAsia="Times New Roman" w:hAnsi="Times New Roman"/>
                <w:sz w:val="18"/>
                <w:szCs w:val="18"/>
                <w:color w:val="0000FF"/>
                <w:w w:val="97"/>
              </w:rPr>
              <w:t>Consolidated Statements of Stockholders' Equity for the Three and Nine Months Ended September 30, 2025 and 2024</w:t>
            </w:r>
          </w:p>
        </w:tc>
        <w:tc>
          <w:tcPr>
            <w:tcW w:w="580" w:type="dxa"/>
            <w:vAlign w:val="bottom"/>
            <w:gridSpan w:val="2"/>
          </w:tcPr>
          <w:p>
            <w:pPr>
              <w:spacing w:after="0"/>
              <w:rPr>
                <w:sz w:val="17"/>
                <w:szCs w:val="17"/>
                <w:color w:val="auto"/>
              </w:rPr>
            </w:pPr>
          </w:p>
        </w:tc>
        <w:tc>
          <w:tcPr>
            <w:tcW w:w="1100" w:type="dxa"/>
            <w:vAlign w:val="bottom"/>
          </w:tcPr>
          <w:p>
            <w:pPr>
              <w:ind w:left="360"/>
              <w:spacing w:after="0" w:line="204" w:lineRule="exact"/>
              <w:rPr>
                <w:sz w:val="20"/>
                <w:szCs w:val="20"/>
                <w:color w:val="auto"/>
              </w:rPr>
            </w:pPr>
            <w:r>
              <w:rPr>
                <w:rFonts w:ascii="Times New Roman" w:cs="Times New Roman" w:eastAsia="Times New Roman" w:hAnsi="Times New Roman"/>
                <w:sz w:val="18"/>
                <w:szCs w:val="18"/>
                <w:color w:val="0000FF"/>
              </w:rPr>
              <w:t>6</w:t>
            </w:r>
          </w:p>
        </w:tc>
      </w:tr>
      <w:tr>
        <w:trPr>
          <w:trHeight w:val="204"/>
        </w:trPr>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00" w:type="dxa"/>
            <w:vAlign w:val="bottom"/>
            <w:tcBorders>
              <w:bottom w:val="single" w:sz="8" w:color="0000FF"/>
            </w:tcBorders>
            <w:gridSpan w:val="13"/>
          </w:tcPr>
          <w:p>
            <w:pPr>
              <w:spacing w:after="0" w:line="204" w:lineRule="exact"/>
              <w:rPr>
                <w:sz w:val="20"/>
                <w:szCs w:val="20"/>
                <w:color w:val="auto"/>
              </w:rPr>
            </w:pPr>
            <w:r>
              <w:rPr>
                <w:rFonts w:ascii="Times New Roman" w:cs="Times New Roman" w:eastAsia="Times New Roman" w:hAnsi="Times New Roman"/>
                <w:sz w:val="18"/>
                <w:szCs w:val="18"/>
                <w:color w:val="0000FF"/>
                <w:w w:val="97"/>
              </w:rPr>
              <w:t>Consolidated Statements of Cash Flows for the Nine Months Ended September 30, 2025 and 2024</w:t>
            </w:r>
          </w:p>
        </w:tc>
        <w:tc>
          <w:tcPr>
            <w:tcW w:w="1960" w:type="dxa"/>
            <w:vAlign w:val="bottom"/>
            <w:gridSpan w:val="4"/>
          </w:tcPr>
          <w:p>
            <w:pPr>
              <w:spacing w:after="0"/>
              <w:rPr>
                <w:sz w:val="17"/>
                <w:szCs w:val="17"/>
                <w:color w:val="auto"/>
              </w:rPr>
            </w:pPr>
          </w:p>
        </w:tc>
        <w:tc>
          <w:tcPr>
            <w:tcW w:w="1100" w:type="dxa"/>
            <w:vAlign w:val="bottom"/>
          </w:tcPr>
          <w:p>
            <w:pPr>
              <w:ind w:left="360"/>
              <w:spacing w:after="0" w:line="204" w:lineRule="exact"/>
              <w:rPr>
                <w:sz w:val="20"/>
                <w:szCs w:val="20"/>
                <w:color w:val="auto"/>
              </w:rPr>
            </w:pPr>
            <w:r>
              <w:rPr>
                <w:rFonts w:ascii="Times New Roman" w:cs="Times New Roman" w:eastAsia="Times New Roman" w:hAnsi="Times New Roman"/>
                <w:sz w:val="18"/>
                <w:szCs w:val="18"/>
                <w:color w:val="0000FF"/>
              </w:rPr>
              <w:t>8</w:t>
            </w:r>
          </w:p>
        </w:tc>
      </w:tr>
      <w:tr>
        <w:trPr>
          <w:trHeight w:val="204"/>
        </w:trPr>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60" w:type="dxa"/>
            <w:vAlign w:val="bottom"/>
            <w:gridSpan w:val="17"/>
          </w:tcPr>
          <w:p>
            <w:pPr>
              <w:spacing w:after="0" w:line="204"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100" w:type="dxa"/>
            <w:vAlign w:val="bottom"/>
          </w:tcPr>
          <w:p>
            <w:pPr>
              <w:ind w:left="360"/>
              <w:spacing w:after="0" w:line="204" w:lineRule="exact"/>
              <w:rPr>
                <w:sz w:val="20"/>
                <w:szCs w:val="20"/>
                <w:color w:val="auto"/>
              </w:rPr>
            </w:pPr>
            <w:r>
              <w:rPr>
                <w:rFonts w:ascii="Times New Roman" w:cs="Times New Roman" w:eastAsia="Times New Roman" w:hAnsi="Times New Roman"/>
                <w:sz w:val="18"/>
                <w:szCs w:val="18"/>
                <w:color w:val="0000FF"/>
              </w:rPr>
              <w:t>9</w:t>
            </w:r>
          </w:p>
        </w:tc>
      </w:tr>
      <w:tr>
        <w:trPr>
          <w:trHeight w:val="20"/>
        </w:trPr>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6"/>
        </w:trPr>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2"/>
                <w:szCs w:val="22"/>
                <w:color w:val="auto"/>
              </w:rPr>
            </w:pPr>
          </w:p>
        </w:tc>
        <w:tc>
          <w:tcPr>
            <w:tcW w:w="90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39</w:t>
            </w:r>
          </w:p>
        </w:tc>
      </w:tr>
      <w:tr>
        <w:trPr>
          <w:trHeight w:val="256"/>
        </w:trPr>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2"/>
                <w:szCs w:val="22"/>
                <w:color w:val="auto"/>
              </w:rPr>
            </w:pPr>
          </w:p>
        </w:tc>
        <w:tc>
          <w:tcPr>
            <w:tcW w:w="426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2020" w:type="dxa"/>
            <w:vAlign w:val="bottom"/>
            <w:tcBorders>
              <w:top w:val="single" w:sz="8" w:color="0000FF"/>
            </w:tcBorders>
            <w:gridSpan w:val="2"/>
          </w:tcPr>
          <w:p>
            <w:pPr>
              <w:spacing w:after="0"/>
              <w:rPr>
                <w:sz w:val="22"/>
                <w:szCs w:val="22"/>
                <w:color w:val="auto"/>
              </w:rPr>
            </w:pPr>
          </w:p>
        </w:tc>
        <w:tc>
          <w:tcPr>
            <w:tcW w:w="2780" w:type="dxa"/>
            <w:vAlign w:val="bottom"/>
            <w:gridSpan w:val="5"/>
          </w:tcPr>
          <w:p>
            <w:pPr>
              <w:spacing w:after="0"/>
              <w:rPr>
                <w:sz w:val="22"/>
                <w:szCs w:val="22"/>
                <w:color w:val="auto"/>
              </w:rPr>
            </w:pP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55</w:t>
            </w:r>
          </w:p>
        </w:tc>
      </w:tr>
      <w:tr>
        <w:trPr>
          <w:trHeight w:val="256"/>
        </w:trPr>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2"/>
                <w:szCs w:val="22"/>
                <w:color w:val="auto"/>
              </w:rPr>
            </w:pPr>
          </w:p>
        </w:tc>
        <w:tc>
          <w:tcPr>
            <w:tcW w:w="17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6"/>
              </w:rPr>
              <w:t>Controls and Procedures</w:t>
            </w:r>
          </w:p>
        </w:tc>
        <w:tc>
          <w:tcPr>
            <w:tcW w:w="7340" w:type="dxa"/>
            <w:vAlign w:val="bottom"/>
            <w:gridSpan w:val="12"/>
          </w:tcPr>
          <w:p>
            <w:pPr>
              <w:spacing w:after="0"/>
              <w:rPr>
                <w:sz w:val="22"/>
                <w:szCs w:val="22"/>
                <w:color w:val="auto"/>
              </w:rPr>
            </w:pP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55</w:t>
            </w:r>
          </w:p>
        </w:tc>
      </w:tr>
      <w:tr>
        <w:trPr>
          <w:trHeight w:val="256"/>
        </w:trPr>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55</w:t>
            </w:r>
          </w:p>
        </w:tc>
      </w:tr>
      <w:tr>
        <w:trPr>
          <w:trHeight w:val="256"/>
        </w:trPr>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2"/>
                <w:szCs w:val="22"/>
                <w:color w:val="auto"/>
              </w:rPr>
            </w:pPr>
          </w:p>
        </w:tc>
        <w:tc>
          <w:tcPr>
            <w:tcW w:w="13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500" w:type="dxa"/>
            <w:vAlign w:val="bottom"/>
            <w:tcBorders>
              <w:top w:val="single" w:sz="8" w:color="0000FF"/>
            </w:tcBorders>
            <w:gridSpan w:val="2"/>
          </w:tcPr>
          <w:p>
            <w:pPr>
              <w:spacing w:after="0"/>
              <w:rPr>
                <w:sz w:val="22"/>
                <w:szCs w:val="22"/>
                <w:color w:val="auto"/>
              </w:rPr>
            </w:pPr>
          </w:p>
        </w:tc>
        <w:tc>
          <w:tcPr>
            <w:tcW w:w="7260" w:type="dxa"/>
            <w:vAlign w:val="bottom"/>
            <w:gridSpan w:val="11"/>
          </w:tcPr>
          <w:p>
            <w:pPr>
              <w:spacing w:after="0"/>
              <w:rPr>
                <w:sz w:val="22"/>
                <w:szCs w:val="22"/>
                <w:color w:val="auto"/>
              </w:rPr>
            </w:pP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55</w:t>
            </w:r>
          </w:p>
        </w:tc>
      </w:tr>
      <w:tr>
        <w:trPr>
          <w:trHeight w:val="256"/>
        </w:trPr>
        <w:tc>
          <w:tcPr>
            <w:tcW w:w="140" w:type="dxa"/>
            <w:vAlign w:val="bottom"/>
          </w:tcPr>
          <w:p>
            <w:pPr>
              <w:spacing w:after="0"/>
              <w:rPr>
                <w:sz w:val="22"/>
                <w:szCs w:val="22"/>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1A.</w:t>
            </w:r>
          </w:p>
        </w:tc>
        <w:tc>
          <w:tcPr>
            <w:tcW w:w="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4"/>
              </w:rPr>
              <w:t>Risk Factors</w:t>
            </w:r>
          </w:p>
        </w:tc>
        <w:tc>
          <w:tcPr>
            <w:tcW w:w="8180" w:type="dxa"/>
            <w:vAlign w:val="bottom"/>
            <w:gridSpan w:val="15"/>
          </w:tcPr>
          <w:p>
            <w:pPr>
              <w:spacing w:after="0"/>
              <w:rPr>
                <w:sz w:val="22"/>
                <w:szCs w:val="22"/>
                <w:color w:val="auto"/>
              </w:rPr>
            </w:pP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55</w:t>
            </w:r>
          </w:p>
        </w:tc>
      </w:tr>
      <w:tr>
        <w:trPr>
          <w:trHeight w:val="256"/>
        </w:trPr>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2"/>
                <w:szCs w:val="22"/>
                <w:color w:val="auto"/>
              </w:rPr>
            </w:pPr>
          </w:p>
        </w:tc>
        <w:tc>
          <w:tcPr>
            <w:tcW w:w="42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4820" w:type="dxa"/>
            <w:vAlign w:val="bottom"/>
            <w:gridSpan w:val="8"/>
          </w:tcPr>
          <w:p>
            <w:pPr>
              <w:spacing w:after="0"/>
              <w:rPr>
                <w:sz w:val="22"/>
                <w:szCs w:val="22"/>
                <w:color w:val="auto"/>
              </w:rPr>
            </w:pP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55</w:t>
            </w:r>
          </w:p>
        </w:tc>
      </w:tr>
      <w:tr>
        <w:trPr>
          <w:trHeight w:val="256"/>
        </w:trPr>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2"/>
                <w:szCs w:val="22"/>
                <w:color w:val="auto"/>
              </w:rPr>
            </w:pPr>
          </w:p>
        </w:tc>
        <w:tc>
          <w:tcPr>
            <w:tcW w:w="90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56</w:t>
            </w:r>
          </w:p>
        </w:tc>
      </w:tr>
      <w:tr>
        <w:trPr>
          <w:trHeight w:val="256"/>
        </w:trPr>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2"/>
                <w:szCs w:val="22"/>
                <w:color w:val="auto"/>
              </w:rPr>
            </w:pPr>
          </w:p>
        </w:tc>
        <w:tc>
          <w:tcPr>
            <w:tcW w:w="17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6"/>
              </w:rPr>
              <w:t>Mine Safety Disclosures</w:t>
            </w:r>
          </w:p>
        </w:tc>
        <w:tc>
          <w:tcPr>
            <w:tcW w:w="540" w:type="dxa"/>
            <w:vAlign w:val="bottom"/>
            <w:tcBorders>
              <w:top w:val="single" w:sz="8" w:color="0000FF"/>
            </w:tcBorders>
            <w:gridSpan w:val="2"/>
          </w:tcPr>
          <w:p>
            <w:pPr>
              <w:spacing w:after="0"/>
              <w:rPr>
                <w:sz w:val="22"/>
                <w:szCs w:val="22"/>
                <w:color w:val="auto"/>
              </w:rPr>
            </w:pPr>
          </w:p>
        </w:tc>
        <w:tc>
          <w:tcPr>
            <w:tcW w:w="6800" w:type="dxa"/>
            <w:vAlign w:val="bottom"/>
            <w:gridSpan w:val="10"/>
          </w:tcPr>
          <w:p>
            <w:pPr>
              <w:spacing w:after="0"/>
              <w:rPr>
                <w:sz w:val="22"/>
                <w:szCs w:val="22"/>
                <w:color w:val="auto"/>
              </w:rPr>
            </w:pP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56</w:t>
            </w:r>
          </w:p>
        </w:tc>
      </w:tr>
      <w:tr>
        <w:trPr>
          <w:trHeight w:val="256"/>
        </w:trPr>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2"/>
                <w:szCs w:val="22"/>
                <w:color w:val="auto"/>
              </w:rPr>
            </w:pPr>
          </w:p>
        </w:tc>
        <w:tc>
          <w:tcPr>
            <w:tcW w:w="12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5"/>
              </w:rPr>
              <w:t>Other Information</w:t>
            </w:r>
          </w:p>
        </w:tc>
        <w:tc>
          <w:tcPr>
            <w:tcW w:w="7780" w:type="dxa"/>
            <w:vAlign w:val="bottom"/>
            <w:gridSpan w:val="14"/>
          </w:tcPr>
          <w:p>
            <w:pPr>
              <w:spacing w:after="0"/>
              <w:rPr>
                <w:sz w:val="22"/>
                <w:szCs w:val="22"/>
                <w:color w:val="auto"/>
              </w:rPr>
            </w:pP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56</w:t>
            </w:r>
          </w:p>
        </w:tc>
      </w:tr>
      <w:tr>
        <w:trPr>
          <w:trHeight w:val="256"/>
        </w:trPr>
        <w:tc>
          <w:tcPr>
            <w:tcW w:w="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2"/>
                <w:szCs w:val="22"/>
                <w:color w:val="auto"/>
              </w:rPr>
            </w:pPr>
          </w:p>
        </w:tc>
        <w:tc>
          <w:tcPr>
            <w:tcW w:w="90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58</w:t>
            </w:r>
          </w:p>
        </w:tc>
      </w:tr>
      <w:tr>
        <w:trPr>
          <w:trHeight w:val="256"/>
        </w:trPr>
        <w:tc>
          <w:tcPr>
            <w:tcW w:w="140" w:type="dxa"/>
            <w:vAlign w:val="bottom"/>
          </w:tcPr>
          <w:p>
            <w:pPr>
              <w:spacing w:after="0"/>
              <w:rPr>
                <w:sz w:val="22"/>
                <w:szCs w:val="22"/>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59</w:t>
            </w:r>
          </w:p>
        </w:tc>
      </w:tr>
      <w:tr>
        <w:trPr>
          <w:trHeight w:val="887"/>
        </w:trPr>
        <w:tc>
          <w:tcPr>
            <w:tcW w:w="14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5780" w:type="dxa"/>
            <w:vAlign w:val="bottom"/>
            <w:gridSpan w:val="12"/>
          </w:tcPr>
          <w:p>
            <w:pPr>
              <w:ind w:left="450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2"/>
        </w:trPr>
        <w:tc>
          <w:tcPr>
            <w:tcW w:w="1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9"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74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As of</w:t>
            </w: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460" w:type="dxa"/>
            <w:vAlign w:val="bottom"/>
          </w:tcPr>
          <w:p>
            <w:pPr>
              <w:spacing w:after="0"/>
              <w:rPr>
                <w:sz w:val="15"/>
                <w:szCs w:val="15"/>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40" w:type="dxa"/>
            <w:vAlign w:val="bottom"/>
          </w:tcPr>
          <w:p>
            <w:pPr>
              <w:spacing w:after="0"/>
              <w:rPr>
                <w:sz w:val="15"/>
                <w:szCs w:val="15"/>
                <w:color w:val="auto"/>
              </w:rPr>
            </w:pPr>
          </w:p>
        </w:tc>
        <w:tc>
          <w:tcPr>
            <w:tcW w:w="1300" w:type="dxa"/>
            <w:vAlign w:val="bottom"/>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83"/>
        </w:trPr>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4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79"/>
              </w:rPr>
              <w:t>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160,309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153,355</w:t>
            </w:r>
          </w:p>
        </w:tc>
        <w:tc>
          <w:tcPr>
            <w:tcW w:w="0" w:type="dxa"/>
            <w:vAlign w:val="bottom"/>
          </w:tcPr>
          <w:p>
            <w:pPr>
              <w:spacing w:after="0"/>
              <w:rPr>
                <w:sz w:val="1"/>
                <w:szCs w:val="1"/>
                <w:color w:val="auto"/>
              </w:rPr>
            </w:pPr>
          </w:p>
        </w:tc>
      </w:tr>
      <w:tr>
        <w:trPr>
          <w:trHeight w:val="195"/>
        </w:trPr>
        <w:tc>
          <w:tcPr>
            <w:tcW w:w="74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Short-term investments</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229,833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187,223</w:t>
            </w:r>
          </w:p>
        </w:tc>
        <w:tc>
          <w:tcPr>
            <w:tcW w:w="0" w:type="dxa"/>
            <w:vAlign w:val="bottom"/>
          </w:tcPr>
          <w:p>
            <w:pPr>
              <w:spacing w:after="0"/>
              <w:rPr>
                <w:sz w:val="1"/>
                <w:szCs w:val="1"/>
                <w:color w:val="auto"/>
              </w:rPr>
            </w:pPr>
          </w:p>
        </w:tc>
      </w:tr>
      <w:tr>
        <w:trPr>
          <w:trHeight w:val="200"/>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Restricted cash</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79"/>
              </w:rPr>
              <w:t>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11,319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9,972</w:t>
            </w:r>
          </w:p>
        </w:tc>
        <w:tc>
          <w:tcPr>
            <w:tcW w:w="0" w:type="dxa"/>
            <w:vAlign w:val="bottom"/>
          </w:tcPr>
          <w:p>
            <w:pPr>
              <w:spacing w:after="0"/>
              <w:rPr>
                <w:sz w:val="1"/>
                <w:szCs w:val="1"/>
                <w:color w:val="auto"/>
              </w:rPr>
            </w:pPr>
          </w:p>
        </w:tc>
      </w:tr>
      <w:tr>
        <w:trPr>
          <w:trHeight w:val="195"/>
        </w:trPr>
        <w:tc>
          <w:tcPr>
            <w:tcW w:w="74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Accounts receivable, net</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351,426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304,322</w:t>
            </w:r>
          </w:p>
        </w:tc>
        <w:tc>
          <w:tcPr>
            <w:tcW w:w="0" w:type="dxa"/>
            <w:vAlign w:val="bottom"/>
          </w:tcPr>
          <w:p>
            <w:pPr>
              <w:spacing w:after="0"/>
              <w:rPr>
                <w:sz w:val="1"/>
                <w:szCs w:val="1"/>
                <w:color w:val="auto"/>
              </w:rPr>
            </w:pPr>
          </w:p>
        </w:tc>
      </w:tr>
      <w:tr>
        <w:trPr>
          <w:trHeight w:val="200"/>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current assets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11</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139,059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140,317</w:t>
            </w:r>
          </w:p>
        </w:tc>
        <w:tc>
          <w:tcPr>
            <w:tcW w:w="0" w:type="dxa"/>
            <w:vAlign w:val="bottom"/>
          </w:tcPr>
          <w:p>
            <w:pPr>
              <w:spacing w:after="0"/>
              <w:rPr>
                <w:sz w:val="1"/>
                <w:szCs w:val="1"/>
                <w:color w:val="auto"/>
              </w:rPr>
            </w:pPr>
          </w:p>
        </w:tc>
      </w:tr>
      <w:tr>
        <w:trPr>
          <w:trHeight w:val="190"/>
        </w:trPr>
        <w:tc>
          <w:tcPr>
            <w:tcW w:w="74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891,946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795,189</w:t>
            </w:r>
          </w:p>
        </w:tc>
        <w:tc>
          <w:tcPr>
            <w:tcW w:w="0" w:type="dxa"/>
            <w:vAlign w:val="bottom"/>
          </w:tcPr>
          <w:p>
            <w:pPr>
              <w:spacing w:after="0"/>
              <w:rPr>
                <w:sz w:val="1"/>
                <w:szCs w:val="1"/>
                <w:color w:val="auto"/>
              </w:rPr>
            </w:pPr>
          </w:p>
        </w:tc>
      </w:tr>
      <w:tr>
        <w:trPr>
          <w:trHeight w:val="198"/>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79"/>
              </w:rPr>
              <w:t>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112,677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101,837</w:t>
            </w:r>
          </w:p>
        </w:tc>
        <w:tc>
          <w:tcPr>
            <w:tcW w:w="0" w:type="dxa"/>
            <w:vAlign w:val="bottom"/>
          </w:tcPr>
          <w:p>
            <w:pPr>
              <w:spacing w:after="0"/>
              <w:rPr>
                <w:sz w:val="1"/>
                <w:szCs w:val="1"/>
                <w:color w:val="auto"/>
              </w:rPr>
            </w:pPr>
          </w:p>
        </w:tc>
      </w:tr>
      <w:tr>
        <w:trPr>
          <w:trHeight w:val="195"/>
        </w:trPr>
        <w:tc>
          <w:tcPr>
            <w:tcW w:w="746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72,346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68,784</w:t>
            </w:r>
          </w:p>
        </w:tc>
        <w:tc>
          <w:tcPr>
            <w:tcW w:w="0" w:type="dxa"/>
            <w:vAlign w:val="bottom"/>
          </w:tcPr>
          <w:p>
            <w:pPr>
              <w:spacing w:after="0"/>
              <w:rPr>
                <w:sz w:val="1"/>
                <w:szCs w:val="1"/>
                <w:color w:val="auto"/>
              </w:rPr>
            </w:pPr>
          </w:p>
        </w:tc>
      </w:tr>
      <w:tr>
        <w:trPr>
          <w:trHeight w:val="20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79"/>
              </w:rPr>
              <w:t>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8,205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8,071</w:t>
            </w:r>
          </w:p>
        </w:tc>
        <w:tc>
          <w:tcPr>
            <w:tcW w:w="0" w:type="dxa"/>
            <w:vAlign w:val="bottom"/>
          </w:tcPr>
          <w:p>
            <w:pPr>
              <w:spacing w:after="0"/>
              <w:rPr>
                <w:sz w:val="1"/>
                <w:szCs w:val="1"/>
                <w:color w:val="auto"/>
              </w:rPr>
            </w:pPr>
          </w:p>
        </w:tc>
      </w:tr>
      <w:tr>
        <w:trPr>
          <w:trHeight w:val="195"/>
        </w:trPr>
        <w:tc>
          <w:tcPr>
            <w:tcW w:w="746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assets, net</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115,825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104,747</w:t>
            </w:r>
          </w:p>
        </w:tc>
        <w:tc>
          <w:tcPr>
            <w:tcW w:w="0" w:type="dxa"/>
            <w:vAlign w:val="bottom"/>
          </w:tcPr>
          <w:p>
            <w:pPr>
              <w:spacing w:after="0"/>
              <w:rPr>
                <w:sz w:val="1"/>
                <w:szCs w:val="1"/>
                <w:color w:val="auto"/>
              </w:rPr>
            </w:pPr>
          </w:p>
        </w:tc>
      </w:tr>
      <w:tr>
        <w:trPr>
          <w:trHeight w:val="20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Goodwill</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419,871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420,387</w:t>
            </w:r>
          </w:p>
        </w:tc>
        <w:tc>
          <w:tcPr>
            <w:tcW w:w="0" w:type="dxa"/>
            <w:vAlign w:val="bottom"/>
          </w:tcPr>
          <w:p>
            <w:pPr>
              <w:spacing w:after="0"/>
              <w:rPr>
                <w:sz w:val="1"/>
                <w:szCs w:val="1"/>
                <w:color w:val="auto"/>
              </w:rPr>
            </w:pPr>
          </w:p>
        </w:tc>
      </w:tr>
      <w:tr>
        <w:trPr>
          <w:trHeight w:val="195"/>
        </w:trPr>
        <w:tc>
          <w:tcPr>
            <w:tcW w:w="7460" w:type="dxa"/>
            <w:vAlign w:val="bottom"/>
          </w:tcPr>
          <w:p>
            <w:pPr>
              <w:spacing w:after="0"/>
              <w:rPr>
                <w:sz w:val="20"/>
                <w:szCs w:val="20"/>
                <w:color w:val="auto"/>
              </w:rPr>
            </w:pPr>
            <w:r>
              <w:rPr>
                <w:rFonts w:ascii="Times New Roman" w:cs="Times New Roman" w:eastAsia="Times New Roman" w:hAnsi="Times New Roman"/>
                <w:sz w:val="15"/>
                <w:szCs w:val="15"/>
                <w:color w:val="auto"/>
              </w:rPr>
              <w:t>Other intangible assets, net</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39,511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49,331</w:t>
            </w:r>
          </w:p>
        </w:tc>
        <w:tc>
          <w:tcPr>
            <w:tcW w:w="0" w:type="dxa"/>
            <w:vAlign w:val="bottom"/>
          </w:tcPr>
          <w:p>
            <w:pPr>
              <w:spacing w:after="0"/>
              <w:rPr>
                <w:sz w:val="1"/>
                <w:szCs w:val="1"/>
                <w:color w:val="auto"/>
              </w:rPr>
            </w:pPr>
          </w:p>
        </w:tc>
      </w:tr>
      <w:tr>
        <w:trPr>
          <w:trHeight w:val="20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Long-term investments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79"/>
              </w:rPr>
              <w:t>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8,001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13,972</w:t>
            </w:r>
          </w:p>
        </w:tc>
        <w:tc>
          <w:tcPr>
            <w:tcW w:w="0" w:type="dxa"/>
            <w:vAlign w:val="bottom"/>
          </w:tcPr>
          <w:p>
            <w:pPr>
              <w:spacing w:after="0"/>
              <w:rPr>
                <w:sz w:val="1"/>
                <w:szCs w:val="1"/>
                <w:color w:val="auto"/>
              </w:rPr>
            </w:pPr>
          </w:p>
        </w:tc>
      </w:tr>
      <w:tr>
        <w:trPr>
          <w:trHeight w:val="195"/>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3"/>
              </w:rPr>
              <w:t>12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65,250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56,085</w:t>
            </w:r>
          </w:p>
        </w:tc>
        <w:tc>
          <w:tcPr>
            <w:tcW w:w="0" w:type="dxa"/>
            <w:vAlign w:val="bottom"/>
          </w:tcPr>
          <w:p>
            <w:pPr>
              <w:spacing w:after="0"/>
              <w:rPr>
                <w:sz w:val="1"/>
                <w:szCs w:val="1"/>
                <w:color w:val="auto"/>
              </w:rPr>
            </w:pPr>
          </w:p>
        </w:tc>
      </w:tr>
      <w:tr>
        <w:trPr>
          <w:trHeight w:val="218"/>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1,733,632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1,618,403</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4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4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Accounts payable</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6,767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5,884</w:t>
            </w:r>
          </w:p>
        </w:tc>
        <w:tc>
          <w:tcPr>
            <w:tcW w:w="0" w:type="dxa"/>
            <w:vAlign w:val="bottom"/>
          </w:tcPr>
          <w:p>
            <w:pPr>
              <w:spacing w:after="0"/>
              <w:rPr>
                <w:sz w:val="1"/>
                <w:szCs w:val="1"/>
                <w:color w:val="auto"/>
              </w:rPr>
            </w:pPr>
          </w:p>
        </w:tc>
      </w:tr>
      <w:tr>
        <w:trPr>
          <w:trHeight w:val="200"/>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Current portion of long-term borrowings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4,886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4,886</w:t>
            </w:r>
          </w:p>
        </w:tc>
        <w:tc>
          <w:tcPr>
            <w:tcW w:w="0" w:type="dxa"/>
            <w:vAlign w:val="bottom"/>
          </w:tcPr>
          <w:p>
            <w:pPr>
              <w:spacing w:after="0"/>
              <w:rPr>
                <w:sz w:val="1"/>
                <w:szCs w:val="1"/>
                <w:color w:val="auto"/>
              </w:rPr>
            </w:pPr>
          </w:p>
        </w:tc>
      </w:tr>
      <w:tr>
        <w:trPr>
          <w:trHeight w:val="195"/>
        </w:trPr>
        <w:tc>
          <w:tcPr>
            <w:tcW w:w="74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Deferred revenue</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17,497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19,264</w:t>
            </w:r>
          </w:p>
        </w:tc>
        <w:tc>
          <w:tcPr>
            <w:tcW w:w="0" w:type="dxa"/>
            <w:vAlign w:val="bottom"/>
          </w:tcPr>
          <w:p>
            <w:pPr>
              <w:spacing w:after="0"/>
              <w:rPr>
                <w:sz w:val="1"/>
                <w:szCs w:val="1"/>
                <w:color w:val="auto"/>
              </w:rPr>
            </w:pPr>
          </w:p>
        </w:tc>
      </w:tr>
      <w:tr>
        <w:trPr>
          <w:trHeight w:val="200"/>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Accrued employee costs</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129,381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129,994</w:t>
            </w:r>
          </w:p>
        </w:tc>
        <w:tc>
          <w:tcPr>
            <w:tcW w:w="0" w:type="dxa"/>
            <w:vAlign w:val="bottom"/>
          </w:tcPr>
          <w:p>
            <w:pPr>
              <w:spacing w:after="0"/>
              <w:rPr>
                <w:sz w:val="1"/>
                <w:szCs w:val="1"/>
                <w:color w:val="auto"/>
              </w:rPr>
            </w:pPr>
          </w:p>
        </w:tc>
      </w:tr>
      <w:tr>
        <w:trPr>
          <w:trHeight w:val="195"/>
        </w:trPr>
        <w:tc>
          <w:tcPr>
            <w:tcW w:w="74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129,297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113,597</w:t>
            </w:r>
          </w:p>
        </w:tc>
        <w:tc>
          <w:tcPr>
            <w:tcW w:w="0" w:type="dxa"/>
            <w:vAlign w:val="bottom"/>
          </w:tcPr>
          <w:p>
            <w:pPr>
              <w:spacing w:after="0"/>
              <w:rPr>
                <w:sz w:val="1"/>
                <w:szCs w:val="1"/>
                <w:color w:val="auto"/>
              </w:rPr>
            </w:pPr>
          </w:p>
        </w:tc>
      </w:tr>
      <w:tr>
        <w:trPr>
          <w:trHeight w:val="200"/>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21</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19,174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16,491</w:t>
            </w:r>
          </w:p>
        </w:tc>
        <w:tc>
          <w:tcPr>
            <w:tcW w:w="0" w:type="dxa"/>
            <w:vAlign w:val="bottom"/>
          </w:tcPr>
          <w:p>
            <w:pPr>
              <w:spacing w:after="0"/>
              <w:rPr>
                <w:sz w:val="1"/>
                <w:szCs w:val="1"/>
                <w:color w:val="auto"/>
              </w:rPr>
            </w:pPr>
          </w:p>
        </w:tc>
      </w:tr>
      <w:tr>
        <w:trPr>
          <w:trHeight w:val="190"/>
        </w:trPr>
        <w:tc>
          <w:tcPr>
            <w:tcW w:w="74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307,002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290,116</w:t>
            </w:r>
          </w:p>
        </w:tc>
        <w:tc>
          <w:tcPr>
            <w:tcW w:w="0" w:type="dxa"/>
            <w:vAlign w:val="bottom"/>
          </w:tcPr>
          <w:p>
            <w:pPr>
              <w:spacing w:after="0"/>
              <w:rPr>
                <w:sz w:val="1"/>
                <w:szCs w:val="1"/>
                <w:color w:val="auto"/>
              </w:rPr>
            </w:pPr>
          </w:p>
        </w:tc>
      </w:tr>
      <w:tr>
        <w:trPr>
          <w:trHeight w:val="198"/>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Long-term borrowings, less current portion</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349,934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283,598</w:t>
            </w:r>
          </w:p>
        </w:tc>
        <w:tc>
          <w:tcPr>
            <w:tcW w:w="0" w:type="dxa"/>
            <w:vAlign w:val="bottom"/>
          </w:tcPr>
          <w:p>
            <w:pPr>
              <w:spacing w:after="0"/>
              <w:rPr>
                <w:sz w:val="1"/>
                <w:szCs w:val="1"/>
                <w:color w:val="auto"/>
              </w:rPr>
            </w:pPr>
          </w:p>
        </w:tc>
      </w:tr>
      <w:tr>
        <w:trPr>
          <w:trHeight w:val="195"/>
        </w:trPr>
        <w:tc>
          <w:tcPr>
            <w:tcW w:w="746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liabilities, less current portion</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60,463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59,851</w:t>
            </w:r>
          </w:p>
        </w:tc>
        <w:tc>
          <w:tcPr>
            <w:tcW w:w="0" w:type="dxa"/>
            <w:vAlign w:val="bottom"/>
          </w:tcPr>
          <w:p>
            <w:pPr>
              <w:spacing w:after="0"/>
              <w:rPr>
                <w:sz w:val="1"/>
                <w:szCs w:val="1"/>
                <w:color w:val="auto"/>
              </w:rPr>
            </w:pPr>
          </w:p>
        </w:tc>
      </w:tr>
      <w:tr>
        <w:trPr>
          <w:trHeight w:val="20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tax liabilities, net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22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2,465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1,403</w:t>
            </w:r>
          </w:p>
        </w:tc>
        <w:tc>
          <w:tcPr>
            <w:tcW w:w="0" w:type="dxa"/>
            <w:vAlign w:val="bottom"/>
          </w:tcPr>
          <w:p>
            <w:pPr>
              <w:spacing w:after="0"/>
              <w:rPr>
                <w:sz w:val="1"/>
                <w:szCs w:val="1"/>
                <w:color w:val="auto"/>
              </w:rPr>
            </w:pPr>
          </w:p>
        </w:tc>
      </w:tr>
      <w:tr>
        <w:trPr>
          <w:trHeight w:val="195"/>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3"/>
              </w:rPr>
              <w:t>14</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61,379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53,573</w:t>
            </w:r>
          </w:p>
        </w:tc>
        <w:tc>
          <w:tcPr>
            <w:tcW w:w="0" w:type="dxa"/>
            <w:vAlign w:val="bottom"/>
          </w:tcPr>
          <w:p>
            <w:pPr>
              <w:spacing w:after="0"/>
              <w:rPr>
                <w:sz w:val="1"/>
                <w:szCs w:val="1"/>
                <w:color w:val="auto"/>
              </w:rPr>
            </w:pPr>
          </w:p>
        </w:tc>
      </w:tr>
      <w:tr>
        <w:trPr>
          <w:trHeight w:val="193"/>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781,243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688,541</w:t>
            </w:r>
          </w:p>
        </w:tc>
        <w:tc>
          <w:tcPr>
            <w:tcW w:w="0" w:type="dxa"/>
            <w:vAlign w:val="bottom"/>
          </w:tcPr>
          <w:p>
            <w:pPr>
              <w:spacing w:after="0"/>
              <w:rPr>
                <w:sz w:val="1"/>
                <w:szCs w:val="1"/>
                <w:color w:val="auto"/>
              </w:rPr>
            </w:pPr>
          </w:p>
        </w:tc>
      </w:tr>
      <w:tr>
        <w:trPr>
          <w:trHeight w:val="175"/>
        </w:trPr>
        <w:tc>
          <w:tcPr>
            <w:tcW w:w="7460" w:type="dxa"/>
            <w:vAlign w:val="bottom"/>
          </w:tcPr>
          <w:p>
            <w:pPr>
              <w:spacing w:after="0"/>
              <w:rPr>
                <w:sz w:val="20"/>
                <w:szCs w:val="20"/>
                <w:color w:val="auto"/>
              </w:rPr>
            </w:pPr>
            <w:r>
              <w:rPr>
                <w:rFonts w:ascii="Times New Roman" w:cs="Times New Roman" w:eastAsia="Times New Roman" w:hAnsi="Times New Roman"/>
                <w:sz w:val="15"/>
                <w:szCs w:val="15"/>
                <w:color w:val="auto"/>
              </w:rPr>
              <w:t>Commitments and contingencies</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Stockholders’ equity:</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Preferred stock, $0.001 par value; 15,000,000 shares authorized, none issued</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36"/>
        </w:trPr>
        <w:tc>
          <w:tcPr>
            <w:tcW w:w="746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4"/>
                <w:szCs w:val="14"/>
                <w:color w:val="auto"/>
              </w:rPr>
              <w:t>Common stock, $0.001 par value; 400,000,000 shares authorized, 207,938,011 shares issued and 158,882,631 shares</w:t>
            </w: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7460" w:type="dxa"/>
            <w:vAlign w:val="bottom"/>
            <w:shd w:val="clear" w:color="auto" w:fill="CCEEFF"/>
          </w:tcPr>
          <w:p>
            <w:pPr>
              <w:ind w:left="220"/>
              <w:spacing w:after="0" w:line="141" w:lineRule="exact"/>
              <w:rPr>
                <w:sz w:val="20"/>
                <w:szCs w:val="20"/>
                <w:color w:val="auto"/>
              </w:rPr>
            </w:pPr>
            <w:r>
              <w:rPr>
                <w:rFonts w:ascii="Times New Roman" w:cs="Times New Roman" w:eastAsia="Times New Roman" w:hAnsi="Times New Roman"/>
                <w:sz w:val="14"/>
                <w:szCs w:val="14"/>
                <w:color w:val="auto"/>
              </w:rPr>
              <w:t>outstanding as of September 30, 2025 and 206,510,587 shares issued and 161,801,212 shares outstanding as of December 31,</w:t>
            </w:r>
          </w:p>
        </w:tc>
        <w:tc>
          <w:tcPr>
            <w:tcW w:w="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207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0" w:type="dxa"/>
            <w:vAlign w:val="bottom"/>
          </w:tcPr>
          <w:p>
            <w:pPr>
              <w:spacing w:after="0"/>
              <w:rPr>
                <w:sz w:val="1"/>
                <w:szCs w:val="1"/>
                <w:color w:val="auto"/>
              </w:rPr>
            </w:pPr>
          </w:p>
        </w:tc>
      </w:tr>
      <w:tr>
        <w:trPr>
          <w:trHeight w:val="197"/>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2024</w:t>
            </w:r>
          </w:p>
        </w:tc>
        <w:tc>
          <w:tcPr>
            <w:tcW w:w="5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4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627,966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588,583</w:t>
            </w:r>
          </w:p>
        </w:tc>
        <w:tc>
          <w:tcPr>
            <w:tcW w:w="0" w:type="dxa"/>
            <w:vAlign w:val="bottom"/>
          </w:tcPr>
          <w:p>
            <w:pPr>
              <w:spacing w:after="0"/>
              <w:rPr>
                <w:sz w:val="1"/>
                <w:szCs w:val="1"/>
                <w:color w:val="auto"/>
              </w:rPr>
            </w:pPr>
          </w:p>
        </w:tc>
      </w:tr>
      <w:tr>
        <w:trPr>
          <w:trHeight w:val="200"/>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Retained earnings</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1,472,733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1,281,960</w:t>
            </w:r>
          </w:p>
        </w:tc>
        <w:tc>
          <w:tcPr>
            <w:tcW w:w="0" w:type="dxa"/>
            <w:vAlign w:val="bottom"/>
          </w:tcPr>
          <w:p>
            <w:pPr>
              <w:spacing w:after="0"/>
              <w:rPr>
                <w:sz w:val="1"/>
                <w:szCs w:val="1"/>
                <w:color w:val="auto"/>
              </w:rPr>
            </w:pPr>
          </w:p>
        </w:tc>
      </w:tr>
      <w:tr>
        <w:trPr>
          <w:trHeight w:val="195"/>
        </w:trPr>
        <w:tc>
          <w:tcPr>
            <w:tcW w:w="7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3"/>
              </w:rPr>
              <w:t>15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(168,977)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(154,722)</w:t>
            </w:r>
          </w:p>
        </w:tc>
        <w:tc>
          <w:tcPr>
            <w:tcW w:w="0" w:type="dxa"/>
            <w:vAlign w:val="bottom"/>
          </w:tcPr>
          <w:p>
            <w:pPr>
              <w:spacing w:after="0"/>
              <w:rPr>
                <w:sz w:val="1"/>
                <w:szCs w:val="1"/>
                <w:color w:val="auto"/>
              </w:rPr>
            </w:pPr>
          </w:p>
        </w:tc>
      </w:tr>
      <w:tr>
        <w:trPr>
          <w:trHeight w:val="193"/>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including shares held in treasury</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1,931,929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1,716,027</w:t>
            </w:r>
          </w:p>
        </w:tc>
        <w:tc>
          <w:tcPr>
            <w:tcW w:w="0" w:type="dxa"/>
            <w:vAlign w:val="bottom"/>
          </w:tcPr>
          <w:p>
            <w:pPr>
              <w:spacing w:after="0"/>
              <w:rPr>
                <w:sz w:val="1"/>
                <w:szCs w:val="1"/>
                <w:color w:val="auto"/>
              </w:rPr>
            </w:pPr>
          </w:p>
        </w:tc>
      </w:tr>
      <w:tr>
        <w:trPr>
          <w:trHeight w:val="188"/>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Less: 49,055,380 shares as of September 30, 2025 and 44,709,375 shares as of December 31, 2024, held in treasury, at cost</w:t>
            </w:r>
          </w:p>
        </w:tc>
        <w:tc>
          <w:tcPr>
            <w:tcW w:w="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3"/>
              </w:rPr>
              <w:t>19</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(979,540)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(786,165)</w:t>
            </w:r>
          </w:p>
        </w:tc>
        <w:tc>
          <w:tcPr>
            <w:tcW w:w="0" w:type="dxa"/>
            <w:vAlign w:val="bottom"/>
          </w:tcPr>
          <w:p>
            <w:pPr>
              <w:spacing w:after="0"/>
              <w:rPr>
                <w:sz w:val="1"/>
                <w:szCs w:val="1"/>
                <w:color w:val="auto"/>
              </w:rPr>
            </w:pPr>
          </w:p>
        </w:tc>
      </w:tr>
      <w:tr>
        <w:trPr>
          <w:trHeight w:val="193"/>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stockholders’ equity</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952,389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929,862</w:t>
            </w:r>
          </w:p>
        </w:tc>
        <w:tc>
          <w:tcPr>
            <w:tcW w:w="0" w:type="dxa"/>
            <w:vAlign w:val="bottom"/>
          </w:tcPr>
          <w:p>
            <w:pPr>
              <w:spacing w:after="0"/>
              <w:rPr>
                <w:sz w:val="1"/>
                <w:szCs w:val="1"/>
                <w:color w:val="auto"/>
              </w:rPr>
            </w:pPr>
          </w:p>
        </w:tc>
      </w:tr>
      <w:tr>
        <w:trPr>
          <w:trHeight w:val="190"/>
        </w:trPr>
        <w:tc>
          <w:tcPr>
            <w:tcW w:w="74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1,733,632</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1,618,403</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356"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0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0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20" w:type="dxa"/>
            <w:vAlign w:val="bottom"/>
            <w:tcBorders>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3, 4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1,545,064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1,356,946</w:t>
            </w:r>
          </w:p>
        </w:tc>
        <w:tc>
          <w:tcPr>
            <w:tcW w:w="0" w:type="dxa"/>
            <w:vAlign w:val="bottom"/>
          </w:tcPr>
          <w:p>
            <w:pPr>
              <w:spacing w:after="0"/>
              <w:rPr>
                <w:sz w:val="1"/>
                <w:szCs w:val="1"/>
                <w:color w:val="auto"/>
              </w:rPr>
            </w:pPr>
          </w:p>
        </w:tc>
      </w:tr>
      <w:tr>
        <w:trPr>
          <w:trHeight w:val="224"/>
        </w:trPr>
        <w:tc>
          <w:tcPr>
            <w:tcW w:w="462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Cost of revenues </w:t>
            </w:r>
            <w:r>
              <w:rPr>
                <w:rFonts w:ascii="Times New Roman" w:cs="Times New Roman" w:eastAsia="Times New Roman" w:hAnsi="Times New Roman"/>
                <w:sz w:val="22"/>
                <w:szCs w:val="22"/>
                <w:color w:val="auto"/>
                <w:vertAlign w:val="superscript"/>
              </w:rPr>
              <w:t>(1)</w:t>
            </w:r>
          </w:p>
        </w:tc>
        <w:tc>
          <w:tcPr>
            <w:tcW w:w="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953,626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849,336</w:t>
            </w:r>
          </w:p>
        </w:tc>
        <w:tc>
          <w:tcPr>
            <w:tcW w:w="0" w:type="dxa"/>
            <w:vAlign w:val="bottom"/>
          </w:tcPr>
          <w:p>
            <w:pPr>
              <w:spacing w:after="0"/>
              <w:rPr>
                <w:sz w:val="1"/>
                <w:szCs w:val="1"/>
                <w:color w:val="auto"/>
              </w:rPr>
            </w:pPr>
          </w:p>
        </w:tc>
      </w:tr>
      <w:tr>
        <w:trPr>
          <w:trHeight w:val="217"/>
        </w:trPr>
        <w:tc>
          <w:tcPr>
            <w:tcW w:w="4620" w:type="dxa"/>
            <w:vAlign w:val="bottom"/>
            <w:shd w:val="clear" w:color="auto" w:fill="CCEEFF"/>
          </w:tcPr>
          <w:p>
            <w:pPr>
              <w:ind w:left="20"/>
              <w:spacing w:after="0" w:line="217" w:lineRule="exact"/>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22"/>
                <w:szCs w:val="22"/>
                <w:b w:val="1"/>
                <w:bCs w:val="1"/>
                <w:color w:val="auto"/>
                <w:vertAlign w:val="superscript"/>
              </w:rPr>
              <w:t>(1)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203,936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178,267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591,438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507,610</w:t>
            </w:r>
          </w:p>
        </w:tc>
        <w:tc>
          <w:tcPr>
            <w:tcW w:w="0" w:type="dxa"/>
            <w:vAlign w:val="bottom"/>
          </w:tcPr>
          <w:p>
            <w:pPr>
              <w:spacing w:after="0"/>
              <w:rPr>
                <w:sz w:val="1"/>
                <w:szCs w:val="1"/>
                <w:color w:val="auto"/>
              </w:rPr>
            </w:pPr>
          </w:p>
        </w:tc>
      </w:tr>
      <w:tr>
        <w:trPr>
          <w:trHeight w:val="204"/>
        </w:trPr>
        <w:tc>
          <w:tcPr>
            <w:tcW w:w="46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Operating expenses: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167,195</w:t>
            </w:r>
          </w:p>
        </w:tc>
        <w:tc>
          <w:tcPr>
            <w:tcW w:w="0" w:type="dxa"/>
            <w:vAlign w:val="bottom"/>
          </w:tcPr>
          <w:p>
            <w:pPr>
              <w:spacing w:after="0"/>
              <w:rPr>
                <w:sz w:val="1"/>
                <w:szCs w:val="1"/>
                <w:color w:val="auto"/>
              </w:rPr>
            </w:pPr>
          </w:p>
        </w:tc>
      </w:tr>
      <w:tr>
        <w:trPr>
          <w:trHeight w:val="224"/>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108,982</w:t>
            </w:r>
          </w:p>
        </w:tc>
        <w:tc>
          <w:tcPr>
            <w:tcW w:w="0" w:type="dxa"/>
            <w:vAlign w:val="bottom"/>
          </w:tcPr>
          <w:p>
            <w:pPr>
              <w:spacing w:after="0"/>
              <w:rPr>
                <w:sz w:val="1"/>
                <w:szCs w:val="1"/>
                <w:color w:val="auto"/>
              </w:rPr>
            </w:pPr>
          </w:p>
        </w:tc>
      </w:tr>
      <w:tr>
        <w:trPr>
          <w:trHeight w:val="224"/>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9, 10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39,055</w:t>
            </w:r>
          </w:p>
        </w:tc>
        <w:tc>
          <w:tcPr>
            <w:tcW w:w="0" w:type="dxa"/>
            <w:vAlign w:val="bottom"/>
          </w:tcPr>
          <w:p>
            <w:pPr>
              <w:spacing w:after="0"/>
              <w:rPr>
                <w:sz w:val="1"/>
                <w:szCs w:val="1"/>
                <w:color w:val="auto"/>
              </w:rPr>
            </w:pPr>
          </w:p>
        </w:tc>
      </w:tr>
      <w:tr>
        <w:trPr>
          <w:trHeight w:val="217"/>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127,762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108,862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355,711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315,232</w:t>
            </w:r>
          </w:p>
        </w:tc>
        <w:tc>
          <w:tcPr>
            <w:tcW w:w="0" w:type="dxa"/>
            <w:vAlign w:val="bottom"/>
          </w:tcPr>
          <w:p>
            <w:pPr>
              <w:spacing w:after="0"/>
              <w:rPr>
                <w:sz w:val="1"/>
                <w:szCs w:val="1"/>
                <w:color w:val="auto"/>
              </w:rPr>
            </w:pPr>
          </w:p>
        </w:tc>
      </w:tr>
      <w:tr>
        <w:trPr>
          <w:trHeight w:val="21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69,405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235,727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192,378</w:t>
            </w:r>
          </w:p>
        </w:tc>
        <w:tc>
          <w:tcPr>
            <w:tcW w:w="0" w:type="dxa"/>
            <w:vAlign w:val="bottom"/>
          </w:tcPr>
          <w:p>
            <w:pPr>
              <w:spacing w:after="0"/>
              <w:rPr>
                <w:sz w:val="1"/>
                <w:szCs w:val="1"/>
                <w:color w:val="auto"/>
              </w:rPr>
            </w:pPr>
          </w:p>
        </w:tc>
      </w:tr>
      <w:tr>
        <w:trPr>
          <w:trHeight w:val="22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gain/(loss), net</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24"/>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(14,145)</w:t>
            </w:r>
          </w:p>
        </w:tc>
        <w:tc>
          <w:tcPr>
            <w:tcW w:w="0" w:type="dxa"/>
            <w:vAlign w:val="bottom"/>
          </w:tcPr>
          <w:p>
            <w:pPr>
              <w:spacing w:after="0"/>
              <w:rPr>
                <w:sz w:val="1"/>
                <w:szCs w:val="1"/>
                <w:color w:val="auto"/>
              </w:rPr>
            </w:pPr>
          </w:p>
        </w:tc>
      </w:tr>
      <w:tr>
        <w:trPr>
          <w:trHeight w:val="224"/>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11,876</w:t>
            </w:r>
          </w:p>
        </w:tc>
        <w:tc>
          <w:tcPr>
            <w:tcW w:w="0" w:type="dxa"/>
            <w:vAlign w:val="bottom"/>
          </w:tcPr>
          <w:p>
            <w:pPr>
              <w:spacing w:after="0"/>
              <w:rPr>
                <w:sz w:val="1"/>
                <w:szCs w:val="1"/>
                <w:color w:val="auto"/>
              </w:rPr>
            </w:pPr>
          </w:p>
        </w:tc>
      </w:tr>
      <w:tr>
        <w:trPr>
          <w:trHeight w:val="151"/>
        </w:trPr>
        <w:tc>
          <w:tcPr>
            <w:tcW w:w="462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Income before income tax expense and earnings from equity</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74,697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68,531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239,601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190,782</w:t>
            </w: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affiliates</w:t>
            </w: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43,086</w:t>
            </w:r>
          </w:p>
        </w:tc>
        <w:tc>
          <w:tcPr>
            <w:tcW w:w="0" w:type="dxa"/>
            <w:vAlign w:val="bottom"/>
          </w:tcPr>
          <w:p>
            <w:pPr>
              <w:spacing w:after="0"/>
              <w:rPr>
                <w:sz w:val="1"/>
                <w:szCs w:val="1"/>
                <w:color w:val="auto"/>
              </w:rPr>
            </w:pPr>
          </w:p>
        </w:tc>
      </w:tr>
      <w:tr>
        <w:trPr>
          <w:trHeight w:val="21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earnings from equity affiliates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53,071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191,103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147,696</w:t>
            </w:r>
          </w:p>
        </w:tc>
        <w:tc>
          <w:tcPr>
            <w:tcW w:w="0" w:type="dxa"/>
            <w:vAlign w:val="bottom"/>
          </w:tcPr>
          <w:p>
            <w:pPr>
              <w:spacing w:after="0"/>
              <w:rPr>
                <w:sz w:val="1"/>
                <w:szCs w:val="1"/>
                <w:color w:val="auto"/>
              </w:rPr>
            </w:pPr>
          </w:p>
        </w:tc>
      </w:tr>
      <w:tr>
        <w:trPr>
          <w:trHeight w:val="224"/>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2"/>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58,161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53,037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190,773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147,625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64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6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24"/>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171"/>
        </w:trPr>
        <w:tc>
          <w:tcPr>
            <w:tcW w:w="46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w w:val="99"/>
              </w:rPr>
              <w:t>Weighted average number of shares used in computing earnings</w:t>
            </w: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160,495,712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161,732,872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161,963,152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163,197,767</w:t>
            </w:r>
          </w:p>
        </w:tc>
        <w:tc>
          <w:tcPr>
            <w:tcW w:w="0" w:type="dxa"/>
            <w:vAlign w:val="bottom"/>
          </w:tcPr>
          <w:p>
            <w:pPr>
              <w:spacing w:after="0"/>
              <w:rPr>
                <w:sz w:val="1"/>
                <w:szCs w:val="1"/>
                <w:color w:val="auto"/>
              </w:rPr>
            </w:pPr>
          </w:p>
        </w:tc>
      </w:tr>
      <w:tr>
        <w:trPr>
          <w:trHeight w:val="224"/>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161,714,486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163,187,733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163,481,053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164,620,081</w:t>
            </w: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(1) 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356"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0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20" w:type="dxa"/>
            <w:vAlign w:val="bottom"/>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2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4"/>
        </w:trPr>
        <w:tc>
          <w:tcPr>
            <w:tcW w:w="4200" w:type="dxa"/>
            <w:vAlign w:val="bottom"/>
            <w:tcBorders>
              <w:bottom w:val="single" w:sz="8" w:color="CCEEFF"/>
            </w:tcBorders>
          </w:tcPr>
          <w:p>
            <w:pPr>
              <w:spacing w:after="0"/>
              <w:rPr>
                <w:sz w:val="16"/>
                <w:szCs w:val="16"/>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190,773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147,625</w:t>
            </w:r>
          </w:p>
        </w:tc>
      </w:tr>
      <w:tr>
        <w:trPr>
          <w:trHeight w:val="224"/>
        </w:trPr>
        <w:tc>
          <w:tcPr>
            <w:tcW w:w="4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gain/(loss) on cash flow hedges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w:t>
            </w:r>
          </w:p>
        </w:tc>
      </w:tr>
      <w:tr>
        <w:trPr>
          <w:trHeight w:val="224"/>
        </w:trPr>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24"/>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Reclassification adjustments:</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4"/>
        </w:trPr>
        <w:tc>
          <w:tcPr>
            <w:tcW w:w="4200" w:type="dxa"/>
            <w:vAlign w:val="bottom"/>
          </w:tcPr>
          <w:p>
            <w:pPr>
              <w:ind w:left="340"/>
              <w:spacing w:after="0" w:line="224" w:lineRule="exact"/>
              <w:rPr>
                <w:sz w:val="20"/>
                <w:szCs w:val="20"/>
                <w:color w:val="auto"/>
              </w:rPr>
            </w:pPr>
            <w:r>
              <w:rPr>
                <w:rFonts w:ascii="Times New Roman" w:cs="Times New Roman" w:eastAsia="Times New Roman" w:hAnsi="Times New Roman"/>
                <w:sz w:val="18"/>
                <w:szCs w:val="18"/>
                <w:color w:val="auto"/>
              </w:rPr>
              <w:t xml:space="preserve">(Gain)/loss on cash flow hedges </w:t>
            </w:r>
            <w:r>
              <w:rPr>
                <w:rFonts w:ascii="Times New Roman" w:cs="Times New Roman" w:eastAsia="Times New Roman" w:hAnsi="Times New Roman"/>
                <w:sz w:val="22"/>
                <w:szCs w:val="22"/>
                <w:color w:val="auto"/>
                <w:vertAlign w:val="superscript"/>
              </w:rPr>
              <w:t>(1)</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4"/>
        </w:trPr>
        <w:tc>
          <w:tcPr>
            <w:tcW w:w="4200" w:type="dxa"/>
            <w:vAlign w:val="bottom"/>
            <w:shd w:val="clear" w:color="auto" w:fill="CCEEFF"/>
          </w:tcPr>
          <w:p>
            <w:pPr>
              <w:ind w:left="340"/>
              <w:spacing w:after="0" w:line="224" w:lineRule="exact"/>
              <w:rPr>
                <w:sz w:val="20"/>
                <w:szCs w:val="20"/>
                <w:color w:val="auto"/>
              </w:rPr>
            </w:pPr>
            <w:r>
              <w:rPr>
                <w:rFonts w:ascii="Times New Roman" w:cs="Times New Roman" w:eastAsia="Times New Roman" w:hAnsi="Times New Roman"/>
                <w:sz w:val="18"/>
                <w:szCs w:val="18"/>
                <w:color w:val="auto"/>
              </w:rPr>
              <w:t xml:space="preserve">Retirement benefits </w:t>
            </w:r>
            <w:r>
              <w:rPr>
                <w:rFonts w:ascii="Times New Roman" w:cs="Times New Roman" w:eastAsia="Times New Roman" w:hAnsi="Times New Roman"/>
                <w:sz w:val="22"/>
                <w:szCs w:val="22"/>
                <w:color w:val="auto"/>
                <w:vertAlign w:val="superscript"/>
              </w:rPr>
              <w:t>(2)</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4"/>
        </w:trPr>
        <w:tc>
          <w:tcPr>
            <w:tcW w:w="4200" w:type="dxa"/>
            <w:vAlign w:val="bottom"/>
            <w:tcBorders>
              <w:bottom w:val="single" w:sz="8" w:color="CCEEFF"/>
            </w:tcBorders>
          </w:tcPr>
          <w:p>
            <w:pPr>
              <w:ind w:left="140"/>
              <w:spacing w:after="0" w:line="224" w:lineRule="exact"/>
              <w:rPr>
                <w:sz w:val="20"/>
                <w:szCs w:val="20"/>
                <w:color w:val="auto"/>
              </w:rPr>
            </w:pPr>
            <w:r>
              <w:rPr>
                <w:rFonts w:ascii="Times New Roman" w:cs="Times New Roman" w:eastAsia="Times New Roman" w:hAnsi="Times New Roman"/>
                <w:sz w:val="18"/>
                <w:szCs w:val="18"/>
                <w:b w:val="1"/>
                <w:bCs w:val="1"/>
                <w:color w:val="auto"/>
              </w:rPr>
              <w:t xml:space="preserve">Income tax effects relating to above </w:t>
            </w:r>
            <w:r>
              <w:rPr>
                <w:rFonts w:ascii="Times New Roman" w:cs="Times New Roman" w:eastAsia="Times New Roman" w:hAnsi="Times New Roman"/>
                <w:sz w:val="22"/>
                <w:szCs w:val="22"/>
                <w:b w:val="1"/>
                <w:bCs w:val="1"/>
                <w:color w:val="auto"/>
                <w:vertAlign w:val="superscript"/>
              </w:rPr>
              <w:t>(3)</w:t>
            </w:r>
          </w:p>
        </w:tc>
        <w:tc>
          <w:tcPr>
            <w:tcW w:w="6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w:t>
            </w:r>
          </w:p>
        </w:tc>
      </w:tr>
      <w:tr>
        <w:trPr>
          <w:trHeight w:val="217"/>
        </w:trPr>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other comprehensive income/(loss)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(34,543)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13,515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(14,255)</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4,447</w:t>
            </w:r>
          </w:p>
        </w:tc>
      </w:tr>
      <w:tr>
        <w:trPr>
          <w:trHeight w:val="217"/>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23,618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66,552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176,518</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152,072</w:t>
            </w:r>
          </w:p>
        </w:tc>
      </w:tr>
      <w:tr>
        <w:trPr>
          <w:trHeight w:val="20"/>
        </w:trPr>
        <w:tc>
          <w:tcPr>
            <w:tcW w:w="4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560" w:hanging="397"/>
        <w:spacing w:after="0" w:line="272" w:lineRule="auto"/>
        <w:tabs>
          <w:tab w:leader="none" w:pos="552"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6"/>
          <w:szCs w:val="16"/>
          <w:i w:val="1"/>
          <w:iCs w:val="1"/>
          <w:color w:val="auto"/>
        </w:rPr>
        <w:t>These are reclassified to net income and are included in revenues, cost of revenues, operating expenses and interest expense, as applicable in the unaudited consolidated statements of income.</w:t>
      </w:r>
    </w:p>
    <w:p>
      <w:pPr>
        <w:spacing w:after="0" w:line="188" w:lineRule="exact"/>
        <w:rPr>
          <w:rFonts w:ascii="Times New Roman" w:cs="Times New Roman" w:eastAsia="Times New Roman" w:hAnsi="Times New Roman"/>
          <w:sz w:val="14"/>
          <w:szCs w:val="14"/>
          <w:i w:val="1"/>
          <w:iCs w:val="1"/>
          <w:color w:val="auto"/>
        </w:rPr>
      </w:pPr>
    </w:p>
    <w:p>
      <w:pPr>
        <w:ind w:left="560" w:hanging="397"/>
        <w:spacing w:after="0"/>
        <w:tabs>
          <w:tab w:leader="none" w:pos="56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6"/>
          <w:szCs w:val="16"/>
          <w:i w:val="1"/>
          <w:iCs w:val="1"/>
          <w:color w:val="auto"/>
        </w:rPr>
        <w:t>These are reclassified to net income and are included in other income, net in the unaudited consolidated statements of income.</w:t>
      </w:r>
    </w:p>
    <w:p>
      <w:pPr>
        <w:spacing w:after="0" w:line="237" w:lineRule="exact"/>
        <w:rPr>
          <w:rFonts w:ascii="Times New Roman" w:cs="Times New Roman" w:eastAsia="Times New Roman" w:hAnsi="Times New Roman"/>
          <w:sz w:val="14"/>
          <w:szCs w:val="14"/>
          <w:i w:val="1"/>
          <w:iCs w:val="1"/>
          <w:color w:val="auto"/>
        </w:rPr>
      </w:pPr>
    </w:p>
    <w:p>
      <w:pPr>
        <w:ind w:left="560" w:hanging="397"/>
        <w:spacing w:after="0"/>
        <w:tabs>
          <w:tab w:leader="none" w:pos="56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6"/>
          <w:szCs w:val="16"/>
          <w:i w:val="1"/>
          <w:iCs w:val="1"/>
          <w:color w:val="auto"/>
        </w:rPr>
        <w:t>These are income tax effects recognized on cash flow hedges, retirement benefits and currency translation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0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2025 and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count)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20" w:type="dxa"/>
            <w:vAlign w:val="bottom"/>
            <w:gridSpan w:val="5"/>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restart"/>
          </w:tcPr>
          <w:p>
            <w:pPr>
              <w:jc w:val="center"/>
              <w:ind w:right="200"/>
              <w:spacing w:after="0" w:line="119"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8"/>
                <w:szCs w:val="8"/>
                <w:color w:val="auto"/>
              </w:rPr>
            </w:pPr>
          </w:p>
        </w:tc>
        <w:tc>
          <w:tcPr>
            <w:tcW w:w="860" w:type="dxa"/>
            <w:vAlign w:val="bottom"/>
            <w:gridSpan w:val="2"/>
            <w:vMerge w:val="restart"/>
          </w:tcPr>
          <w:p>
            <w:pPr>
              <w:ind w:left="40"/>
              <w:spacing w:after="0" w:line="119"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8"/>
                <w:szCs w:val="8"/>
                <w:color w:val="auto"/>
              </w:rPr>
            </w:pPr>
          </w:p>
        </w:tc>
        <w:tc>
          <w:tcPr>
            <w:tcW w:w="1260" w:type="dxa"/>
            <w:vAlign w:val="bottom"/>
            <w:gridSpan w:val="2"/>
            <w:vMerge w:val="restart"/>
          </w:tcPr>
          <w:p>
            <w:pPr>
              <w:ind w:left="40"/>
              <w:spacing w:after="0" w:line="119"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020" w:type="dxa"/>
            <w:vAlign w:val="bottom"/>
            <w:gridSpan w:val="5"/>
            <w:vMerge w:val="continue"/>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400" w:type="dxa"/>
            <w:vAlign w:val="bottom"/>
          </w:tcPr>
          <w:p>
            <w:pPr>
              <w:spacing w:after="0"/>
              <w:rPr>
                <w:sz w:val="16"/>
                <w:szCs w:val="16"/>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70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207,810,635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625,984</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1,414,572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(134,434)</w:t>
            </w:r>
          </w:p>
        </w:tc>
        <w:tc>
          <w:tcPr>
            <w:tcW w:w="1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(45,981,304)</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(845,379)</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1,060,950</w:t>
            </w:r>
          </w:p>
        </w:tc>
        <w:tc>
          <w:tcPr>
            <w:tcW w:w="0" w:type="dxa"/>
            <w:vAlign w:val="bottom"/>
          </w:tcPr>
          <w:p>
            <w:pPr>
              <w:spacing w:after="0"/>
              <w:rPr>
                <w:sz w:val="1"/>
                <w:szCs w:val="1"/>
                <w:color w:val="auto"/>
              </w:rPr>
            </w:pPr>
          </w:p>
        </w:tc>
      </w:tr>
      <w:tr>
        <w:trPr>
          <w:trHeight w:val="135"/>
        </w:trPr>
        <w:tc>
          <w:tcPr>
            <w:tcW w:w="24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127,376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6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3,843</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plans</w:t>
            </w: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23,139</w:t>
            </w:r>
          </w:p>
        </w:tc>
        <w:tc>
          <w:tcPr>
            <w:tcW w:w="0" w:type="dxa"/>
            <w:vAlign w:val="bottom"/>
          </w:tcPr>
          <w:p>
            <w:pPr>
              <w:spacing w:after="0"/>
              <w:rPr>
                <w:sz w:val="1"/>
                <w:szCs w:val="1"/>
                <w:color w:val="auto"/>
              </w:rPr>
            </w:pPr>
          </w:p>
        </w:tc>
      </w:tr>
      <w:tr>
        <w:trPr>
          <w:trHeight w:val="19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(771,520)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(33,467)</w:t>
            </w:r>
          </w:p>
        </w:tc>
        <w:tc>
          <w:tcPr>
            <w:tcW w:w="0" w:type="dxa"/>
            <w:vAlign w:val="bottom"/>
          </w:tcPr>
          <w:p>
            <w:pPr>
              <w:spacing w:after="0"/>
              <w:rPr>
                <w:sz w:val="1"/>
                <w:szCs w:val="1"/>
                <w:color w:val="auto"/>
              </w:rPr>
            </w:pPr>
          </w:p>
        </w:tc>
      </w:tr>
      <w:tr>
        <w:trPr>
          <w:trHeight w:val="143"/>
        </w:trPr>
        <w:tc>
          <w:tcPr>
            <w:tcW w:w="24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Excise tax on repurchase of common</w:t>
            </w:r>
          </w:p>
        </w:tc>
        <w:tc>
          <w:tcPr>
            <w:tcW w:w="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0" w:type="dxa"/>
            <w:vAlign w:val="bottom"/>
          </w:tcPr>
          <w:p>
            <w:pPr>
              <w:spacing w:after="0"/>
              <w:rPr>
                <w:sz w:val="1"/>
                <w:szCs w:val="1"/>
                <w:color w:val="auto"/>
              </w:rPr>
            </w:pPr>
          </w:p>
        </w:tc>
      </w:tr>
      <w:tr>
        <w:trPr>
          <w:trHeight w:val="19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net of stock issuances</w:t>
            </w: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Accelerated share repurchase</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5, 19</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(2,302,556)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0" w:type="dxa"/>
            <w:vAlign w:val="bottom"/>
          </w:tcPr>
          <w:p>
            <w:pPr>
              <w:spacing w:after="0"/>
              <w:rPr>
                <w:sz w:val="1"/>
                <w:szCs w:val="1"/>
                <w:color w:val="auto"/>
              </w:rPr>
            </w:pPr>
          </w:p>
        </w:tc>
      </w:tr>
      <w:tr>
        <w:trPr>
          <w:trHeight w:val="205"/>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(34,543)</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(34,543)</w:t>
            </w:r>
          </w:p>
        </w:tc>
        <w:tc>
          <w:tcPr>
            <w:tcW w:w="0" w:type="dxa"/>
            <w:vAlign w:val="bottom"/>
          </w:tcPr>
          <w:p>
            <w:pPr>
              <w:spacing w:after="0"/>
              <w:rPr>
                <w:sz w:val="1"/>
                <w:szCs w:val="1"/>
                <w:color w:val="auto"/>
              </w:rPr>
            </w:pPr>
          </w:p>
        </w:tc>
      </w:tr>
      <w:tr>
        <w:trPr>
          <w:trHeight w:val="191"/>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58,161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58,161</w:t>
            </w:r>
          </w:p>
        </w:tc>
        <w:tc>
          <w:tcPr>
            <w:tcW w:w="0" w:type="dxa"/>
            <w:vAlign w:val="bottom"/>
          </w:tcPr>
          <w:p>
            <w:pPr>
              <w:spacing w:after="0"/>
              <w:rPr>
                <w:sz w:val="1"/>
                <w:szCs w:val="1"/>
                <w:color w:val="auto"/>
              </w:rPr>
            </w:pPr>
          </w:p>
        </w:tc>
      </w:tr>
      <w:tr>
        <w:trPr>
          <w:trHeight w:val="222"/>
        </w:trPr>
        <w:tc>
          <w:tcPr>
            <w:tcW w:w="2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207,938,011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627,966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1,472,733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(168,977)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(49,055,380)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(979,540)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952,389</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0" w:type="dxa"/>
            <w:vAlign w:val="bottom"/>
            <w:gridSpan w:val="5"/>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jc w:val="center"/>
              <w:ind w:right="200"/>
              <w:spacing w:after="0" w:line="12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860" w:type="dxa"/>
            <w:vAlign w:val="bottom"/>
            <w:gridSpan w:val="2"/>
            <w:vMerge w:val="restart"/>
          </w:tcPr>
          <w:p>
            <w:pPr>
              <w:ind w:left="60"/>
              <w:spacing w:after="0" w:line="123"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9"/>
                <w:szCs w:val="9"/>
                <w:color w:val="auto"/>
              </w:rPr>
            </w:pPr>
          </w:p>
        </w:tc>
        <w:tc>
          <w:tcPr>
            <w:tcW w:w="1220" w:type="dxa"/>
            <w:vAlign w:val="bottom"/>
            <w:gridSpan w:val="2"/>
            <w:vMerge w:val="restart"/>
          </w:tcPr>
          <w:p>
            <w:pPr>
              <w:jc w:val="center"/>
              <w:ind w:right="220"/>
              <w:spacing w:after="0" w:line="12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20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400" w:type="dxa"/>
            <w:vAlign w:val="bottom"/>
          </w:tcPr>
          <w:p>
            <w:pPr>
              <w:spacing w:after="0"/>
              <w:rPr>
                <w:sz w:val="2"/>
                <w:szCs w:val="2"/>
                <w:color w:val="auto"/>
              </w:rPr>
            </w:pPr>
          </w:p>
        </w:tc>
        <w:tc>
          <w:tcPr>
            <w:tcW w:w="6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4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Income/(Loss)</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204,783,113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520,922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1,178,251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(136,108)</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(42,606,731)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(710,663)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852,606</w:t>
            </w:r>
          </w:p>
        </w:tc>
        <w:tc>
          <w:tcPr>
            <w:tcW w:w="0" w:type="dxa"/>
            <w:vAlign w:val="bottom"/>
          </w:tcPr>
          <w:p>
            <w:pPr>
              <w:spacing w:after="0"/>
              <w:rPr>
                <w:sz w:val="1"/>
                <w:szCs w:val="1"/>
                <w:color w:val="auto"/>
              </w:rPr>
            </w:pPr>
          </w:p>
        </w:tc>
      </w:tr>
      <w:tr>
        <w:trPr>
          <w:trHeight w:val="135"/>
        </w:trPr>
        <w:tc>
          <w:tcPr>
            <w:tcW w:w="24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533,889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2,414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9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2,415</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plans</w:t>
            </w: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21,232</w:t>
            </w:r>
          </w:p>
        </w:tc>
        <w:tc>
          <w:tcPr>
            <w:tcW w:w="0" w:type="dxa"/>
            <w:vAlign w:val="bottom"/>
          </w:tcPr>
          <w:p>
            <w:pPr>
              <w:spacing w:after="0"/>
              <w:rPr>
                <w:sz w:val="1"/>
                <w:szCs w:val="1"/>
                <w:color w:val="auto"/>
              </w:rPr>
            </w:pPr>
          </w:p>
        </w:tc>
      </w:tr>
      <w:tr>
        <w:trPr>
          <w:trHeight w:val="19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(1,009,246)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(34,830)</w:t>
            </w:r>
          </w:p>
        </w:tc>
        <w:tc>
          <w:tcPr>
            <w:tcW w:w="0" w:type="dxa"/>
            <w:vAlign w:val="bottom"/>
          </w:tcPr>
          <w:p>
            <w:pPr>
              <w:spacing w:after="0"/>
              <w:rPr>
                <w:sz w:val="1"/>
                <w:szCs w:val="1"/>
                <w:color w:val="auto"/>
              </w:rPr>
            </w:pPr>
          </w:p>
        </w:tc>
      </w:tr>
      <w:tr>
        <w:trPr>
          <w:trHeight w:val="143"/>
        </w:trPr>
        <w:tc>
          <w:tcPr>
            <w:tcW w:w="24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Excise tax on repurchase of common</w:t>
            </w:r>
          </w:p>
        </w:tc>
        <w:tc>
          <w:tcPr>
            <w:tcW w:w="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19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net of stock issuances</w:t>
            </w: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Accelerated share repurchase</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5, 19</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(820,433)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(27,862)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13,515</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13,515</w:t>
            </w:r>
          </w:p>
        </w:tc>
        <w:tc>
          <w:tcPr>
            <w:tcW w:w="0" w:type="dxa"/>
            <w:vAlign w:val="bottom"/>
          </w:tcPr>
          <w:p>
            <w:pPr>
              <w:spacing w:after="0"/>
              <w:rPr>
                <w:sz w:val="1"/>
                <w:szCs w:val="1"/>
                <w:color w:val="auto"/>
              </w:rPr>
            </w:pPr>
          </w:p>
        </w:tc>
      </w:tr>
      <w:tr>
        <w:trPr>
          <w:trHeight w:val="191"/>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53,037</w:t>
            </w:r>
          </w:p>
        </w:tc>
        <w:tc>
          <w:tcPr>
            <w:tcW w:w="0" w:type="dxa"/>
            <w:vAlign w:val="bottom"/>
          </w:tcPr>
          <w:p>
            <w:pPr>
              <w:spacing w:after="0"/>
              <w:rPr>
                <w:sz w:val="1"/>
                <w:szCs w:val="1"/>
                <w:color w:val="auto"/>
              </w:rPr>
            </w:pPr>
          </w:p>
        </w:tc>
      </w:tr>
      <w:tr>
        <w:trPr>
          <w:trHeight w:val="222"/>
        </w:trPr>
        <w:tc>
          <w:tcPr>
            <w:tcW w:w="2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205,317,002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572,430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1,231,288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(122,593)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(44,436,410)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(773,767)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907,563</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(UNAUDITED)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 and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count)</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12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restart"/>
          </w:tcPr>
          <w:p>
            <w:pPr>
              <w:jc w:val="center"/>
              <w:ind w:right="200"/>
              <w:spacing w:after="0" w:line="12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860" w:type="dxa"/>
            <w:vAlign w:val="bottom"/>
            <w:gridSpan w:val="2"/>
            <w:vMerge w:val="restart"/>
          </w:tcPr>
          <w:p>
            <w:pPr>
              <w:ind w:left="40"/>
              <w:spacing w:after="0" w:line="123"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9"/>
                <w:szCs w:val="9"/>
                <w:color w:val="auto"/>
              </w:rPr>
            </w:pPr>
          </w:p>
        </w:tc>
        <w:tc>
          <w:tcPr>
            <w:tcW w:w="1220" w:type="dxa"/>
            <w:vAlign w:val="bottom"/>
            <w:gridSpan w:val="2"/>
            <w:vMerge w:val="restart"/>
          </w:tcPr>
          <w:p>
            <w:pPr>
              <w:ind w:left="40"/>
              <w:spacing w:after="0" w:line="12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12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4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206,510,587</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588,583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1,281,960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(154,722)</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(44,709,375)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(786,165)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929,862</w:t>
            </w:r>
          </w:p>
        </w:tc>
        <w:tc>
          <w:tcPr>
            <w:tcW w:w="0" w:type="dxa"/>
            <w:vAlign w:val="bottom"/>
          </w:tcPr>
          <w:p>
            <w:pPr>
              <w:spacing w:after="0"/>
              <w:rPr>
                <w:sz w:val="1"/>
                <w:szCs w:val="1"/>
                <w:color w:val="auto"/>
              </w:rPr>
            </w:pPr>
          </w:p>
        </w:tc>
      </w:tr>
      <w:tr>
        <w:trPr>
          <w:trHeight w:val="135"/>
        </w:trPr>
        <w:tc>
          <w:tcPr>
            <w:tcW w:w="24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1,427,424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2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5,666</w:t>
            </w:r>
          </w:p>
        </w:tc>
        <w:tc>
          <w:tcPr>
            <w:tcW w:w="0" w:type="dxa"/>
            <w:vAlign w:val="bottom"/>
          </w:tcPr>
          <w:p>
            <w:pPr>
              <w:spacing w:after="0"/>
              <w:rPr>
                <w:sz w:val="1"/>
                <w:szCs w:val="1"/>
                <w:color w:val="auto"/>
              </w:rPr>
            </w:pPr>
          </w:p>
        </w:tc>
      </w:tr>
      <w:tr>
        <w:trPr>
          <w:trHeight w:val="188"/>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plans</w:t>
            </w: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58,718</w:t>
            </w:r>
          </w:p>
        </w:tc>
        <w:tc>
          <w:tcPr>
            <w:tcW w:w="0" w:type="dxa"/>
            <w:vAlign w:val="bottom"/>
          </w:tcPr>
          <w:p>
            <w:pPr>
              <w:spacing w:after="0"/>
              <w:rPr>
                <w:sz w:val="1"/>
                <w:szCs w:val="1"/>
                <w:color w:val="auto"/>
              </w:rPr>
            </w:pPr>
          </w:p>
        </w:tc>
      </w:tr>
      <w:tr>
        <w:trPr>
          <w:trHeight w:val="19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(2,043,449)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(92,710)</w:t>
            </w:r>
          </w:p>
        </w:tc>
        <w:tc>
          <w:tcPr>
            <w:tcW w:w="0" w:type="dxa"/>
            <w:vAlign w:val="bottom"/>
          </w:tcPr>
          <w:p>
            <w:pPr>
              <w:spacing w:after="0"/>
              <w:rPr>
                <w:sz w:val="1"/>
                <w:szCs w:val="1"/>
                <w:color w:val="auto"/>
              </w:rPr>
            </w:pPr>
          </w:p>
        </w:tc>
      </w:tr>
      <w:tr>
        <w:trPr>
          <w:trHeight w:val="143"/>
        </w:trPr>
        <w:tc>
          <w:tcPr>
            <w:tcW w:w="242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Excise tax on repurchase of common</w:t>
            </w:r>
          </w:p>
        </w:tc>
        <w:tc>
          <w:tcPr>
            <w:tcW w:w="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net of stock issuances</w:t>
            </w: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Accelerated share repurchase</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5, 19</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(2,302,556)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(14,255)</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(14,255)</w:t>
            </w:r>
          </w:p>
        </w:tc>
        <w:tc>
          <w:tcPr>
            <w:tcW w:w="0" w:type="dxa"/>
            <w:vAlign w:val="bottom"/>
          </w:tcPr>
          <w:p>
            <w:pPr>
              <w:spacing w:after="0"/>
              <w:rPr>
                <w:sz w:val="1"/>
                <w:szCs w:val="1"/>
                <w:color w:val="auto"/>
              </w:rPr>
            </w:pPr>
          </w:p>
        </w:tc>
      </w:tr>
      <w:tr>
        <w:trPr>
          <w:trHeight w:val="191"/>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190,773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190,773</w:t>
            </w:r>
          </w:p>
        </w:tc>
        <w:tc>
          <w:tcPr>
            <w:tcW w:w="0" w:type="dxa"/>
            <w:vAlign w:val="bottom"/>
          </w:tcPr>
          <w:p>
            <w:pPr>
              <w:spacing w:after="0"/>
              <w:rPr>
                <w:sz w:val="1"/>
                <w:szCs w:val="1"/>
                <w:color w:val="auto"/>
              </w:rPr>
            </w:pPr>
          </w:p>
        </w:tc>
      </w:tr>
      <w:tr>
        <w:trPr>
          <w:trHeight w:val="222"/>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207,938,011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627,966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1,472,733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(168,977)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(49,055,380)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(979,540)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952,389</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10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restart"/>
          </w:tcPr>
          <w:p>
            <w:pPr>
              <w:jc w:val="center"/>
              <w:ind w:right="220"/>
              <w:spacing w:after="0" w:line="12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860" w:type="dxa"/>
            <w:vAlign w:val="bottom"/>
            <w:gridSpan w:val="2"/>
            <w:vMerge w:val="restart"/>
          </w:tcPr>
          <w:p>
            <w:pPr>
              <w:ind w:left="60"/>
              <w:spacing w:after="0" w:line="123"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9"/>
                <w:szCs w:val="9"/>
                <w:color w:val="auto"/>
              </w:rPr>
            </w:pPr>
          </w:p>
        </w:tc>
        <w:tc>
          <w:tcPr>
            <w:tcW w:w="1220" w:type="dxa"/>
            <w:vAlign w:val="bottom"/>
            <w:gridSpan w:val="2"/>
            <w:vMerge w:val="restart"/>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10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400" w:type="dxa"/>
            <w:vAlign w:val="bottom"/>
          </w:tcPr>
          <w:p>
            <w:pPr>
              <w:spacing w:after="0"/>
              <w:rPr>
                <w:sz w:val="2"/>
                <w:szCs w:val="2"/>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4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203,410,038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508,028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1,083,663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(127,040)</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(38,132,158)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(575,417)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889,437</w:t>
            </w:r>
          </w:p>
        </w:tc>
        <w:tc>
          <w:tcPr>
            <w:tcW w:w="0" w:type="dxa"/>
            <w:vAlign w:val="bottom"/>
          </w:tcPr>
          <w:p>
            <w:pPr>
              <w:spacing w:after="0"/>
              <w:rPr>
                <w:sz w:val="1"/>
                <w:szCs w:val="1"/>
                <w:color w:val="auto"/>
              </w:rPr>
            </w:pPr>
          </w:p>
        </w:tc>
      </w:tr>
      <w:tr>
        <w:trPr>
          <w:trHeight w:val="135"/>
        </w:trPr>
        <w:tc>
          <w:tcPr>
            <w:tcW w:w="24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1,906,964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4,361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4,363</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plans</w:t>
            </w: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57,179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57,179</w:t>
            </w:r>
          </w:p>
        </w:tc>
        <w:tc>
          <w:tcPr>
            <w:tcW w:w="0" w:type="dxa"/>
            <w:vAlign w:val="bottom"/>
          </w:tcPr>
          <w:p>
            <w:pPr>
              <w:spacing w:after="0"/>
              <w:rPr>
                <w:sz w:val="1"/>
                <w:szCs w:val="1"/>
                <w:color w:val="auto"/>
              </w:rPr>
            </w:pPr>
          </w:p>
        </w:tc>
      </w:tr>
      <w:tr>
        <w:trPr>
          <w:trHeight w:val="19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(2,133,735)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(69,458)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(69,458)</w:t>
            </w:r>
          </w:p>
        </w:tc>
        <w:tc>
          <w:tcPr>
            <w:tcW w:w="0" w:type="dxa"/>
            <w:vAlign w:val="bottom"/>
          </w:tcPr>
          <w:p>
            <w:pPr>
              <w:spacing w:after="0"/>
              <w:rPr>
                <w:sz w:val="1"/>
                <w:szCs w:val="1"/>
                <w:color w:val="auto"/>
              </w:rPr>
            </w:pPr>
          </w:p>
        </w:tc>
      </w:tr>
      <w:tr>
        <w:trPr>
          <w:trHeight w:val="143"/>
        </w:trPr>
        <w:tc>
          <w:tcPr>
            <w:tcW w:w="24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Excise tax on repurchase of common</w:t>
            </w:r>
          </w:p>
        </w:tc>
        <w:tc>
          <w:tcPr>
            <w:tcW w:w="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0" w:type="dxa"/>
            <w:vAlign w:val="bottom"/>
          </w:tcPr>
          <w:p>
            <w:pPr>
              <w:spacing w:after="0"/>
              <w:rPr>
                <w:sz w:val="1"/>
                <w:szCs w:val="1"/>
                <w:color w:val="auto"/>
              </w:rPr>
            </w:pPr>
          </w:p>
        </w:tc>
      </w:tr>
      <w:tr>
        <w:trPr>
          <w:trHeight w:val="19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net of stock issuances</w:t>
            </w: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Accelerated share repurchase</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5, 19</w:t>
            </w:r>
          </w:p>
        </w:tc>
        <w:tc>
          <w:tcPr>
            <w:tcW w:w="1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(4,170,517)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(127,862)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0" w:type="dxa"/>
            <w:vAlign w:val="bottom"/>
          </w:tcPr>
          <w:p>
            <w:pPr>
              <w:spacing w:after="0"/>
              <w:rPr>
                <w:sz w:val="1"/>
                <w:szCs w:val="1"/>
                <w:color w:val="auto"/>
              </w:rPr>
            </w:pPr>
          </w:p>
        </w:tc>
      </w:tr>
      <w:tr>
        <w:trPr>
          <w:trHeight w:val="205"/>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4,447</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4,447</w:t>
            </w:r>
          </w:p>
        </w:tc>
        <w:tc>
          <w:tcPr>
            <w:tcW w:w="0" w:type="dxa"/>
            <w:vAlign w:val="bottom"/>
          </w:tcPr>
          <w:p>
            <w:pPr>
              <w:spacing w:after="0"/>
              <w:rPr>
                <w:sz w:val="1"/>
                <w:szCs w:val="1"/>
                <w:color w:val="auto"/>
              </w:rPr>
            </w:pPr>
          </w:p>
        </w:tc>
      </w:tr>
      <w:tr>
        <w:trPr>
          <w:trHeight w:val="191"/>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147,625</w:t>
            </w:r>
          </w:p>
        </w:tc>
        <w:tc>
          <w:tcPr>
            <w:tcW w:w="0" w:type="dxa"/>
            <w:vAlign w:val="bottom"/>
          </w:tcPr>
          <w:p>
            <w:pPr>
              <w:spacing w:after="0"/>
              <w:rPr>
                <w:sz w:val="1"/>
                <w:szCs w:val="1"/>
                <w:color w:val="auto"/>
              </w:rPr>
            </w:pPr>
          </w:p>
        </w:tc>
      </w:tr>
      <w:tr>
        <w:trPr>
          <w:trHeight w:val="222"/>
        </w:trPr>
        <w:tc>
          <w:tcPr>
            <w:tcW w:w="2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205,317,002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572,430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1,231,288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(122,593)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(44,436,410)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(773,767)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907,563</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356"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88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40" w:type="dxa"/>
            <w:vAlign w:val="bottom"/>
          </w:tcPr>
          <w:p>
            <w:pPr>
              <w:spacing w:after="0"/>
              <w:rPr>
                <w:sz w:val="16"/>
                <w:szCs w:val="16"/>
                <w:color w:val="auto"/>
              </w:rPr>
            </w:pPr>
          </w:p>
        </w:tc>
      </w:tr>
      <w:tr>
        <w:trPr>
          <w:trHeight w:val="24"/>
        </w:trPr>
        <w:tc>
          <w:tcPr>
            <w:tcW w:w="77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4"/>
        </w:trPr>
        <w:tc>
          <w:tcPr>
            <w:tcW w:w="77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r>
      <w:tr>
        <w:trPr>
          <w:trHeight w:val="184"/>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9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190,773</w:t>
            </w:r>
          </w:p>
        </w:tc>
        <w:tc>
          <w:tcPr>
            <w:tcW w:w="120" w:type="dxa"/>
            <w:vAlign w:val="bottom"/>
          </w:tcPr>
          <w:p>
            <w:pPr>
              <w:spacing w:after="0"/>
              <w:rPr>
                <w:sz w:val="16"/>
                <w:szCs w:val="16"/>
                <w:color w:val="auto"/>
              </w:rPr>
            </w:pP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147,625</w:t>
            </w: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0"/>
        </w:trPr>
        <w:tc>
          <w:tcPr>
            <w:tcW w:w="7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42,877</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39,068</w:t>
            </w:r>
          </w:p>
        </w:tc>
      </w:tr>
      <w:tr>
        <w:trPr>
          <w:trHeight w:val="205"/>
        </w:trPr>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58,718</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57,179</w:t>
            </w:r>
          </w:p>
        </w:tc>
      </w:tr>
      <w:tr>
        <w:trPr>
          <w:trHeight w:val="190"/>
        </w:trPr>
        <w:tc>
          <w:tcPr>
            <w:tcW w:w="7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Reduction in the carrying amount of operating lease right-of-use assets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18,393</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16,070</w:t>
            </w:r>
          </w:p>
        </w:tc>
      </w:tr>
      <w:tr>
        <w:trPr>
          <w:trHeight w:val="205"/>
        </w:trPr>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Fair value mark-to-market of investments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(3,191)</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w:t>
            </w:r>
          </w:p>
        </w:tc>
      </w:tr>
      <w:tr>
        <w:trPr>
          <w:trHeight w:val="190"/>
        </w:trPr>
        <w:tc>
          <w:tcPr>
            <w:tcW w:w="7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Unrealized foreign currency exchange (gain)/loss, net</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(10,978)</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(3,064)</w:t>
            </w:r>
          </w:p>
        </w:tc>
      </w:tr>
      <w:tr>
        <w:trPr>
          <w:trHeight w:val="205"/>
        </w:trPr>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income tax benefit</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(6,520)</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(25,423)</w:t>
            </w:r>
          </w:p>
        </w:tc>
      </w:tr>
      <w:tr>
        <w:trPr>
          <w:trHeight w:val="190"/>
        </w:trPr>
        <w:tc>
          <w:tcPr>
            <w:tcW w:w="7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Others, net</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1,975</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0"/>
        </w:trPr>
        <w:tc>
          <w:tcPr>
            <w:tcW w:w="7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(45,395)</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(28,900)</w:t>
            </w:r>
          </w:p>
        </w:tc>
      </w:tr>
      <w:tr>
        <w:trPr>
          <w:trHeight w:val="205"/>
        </w:trPr>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(5,352)</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(6,961)</w:t>
            </w:r>
          </w:p>
        </w:tc>
      </w:tr>
      <w:tr>
        <w:trPr>
          <w:trHeight w:val="190"/>
        </w:trPr>
        <w:tc>
          <w:tcPr>
            <w:tcW w:w="7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Income taxes payable, net</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(8,438)</w:t>
            </w:r>
          </w:p>
        </w:tc>
      </w:tr>
      <w:tr>
        <w:trPr>
          <w:trHeight w:val="205"/>
        </w:trPr>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revenue</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90"/>
        </w:trPr>
        <w:tc>
          <w:tcPr>
            <w:tcW w:w="7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employee costs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(6,435)</w:t>
            </w:r>
          </w:p>
        </w:tc>
      </w:tr>
      <w:tr>
        <w:trPr>
          <w:trHeight w:val="205"/>
        </w:trPr>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15,068</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10,177</w:t>
            </w:r>
          </w:p>
        </w:tc>
      </w:tr>
      <w:tr>
        <w:trPr>
          <w:trHeight w:val="190"/>
        </w:trPr>
        <w:tc>
          <w:tcPr>
            <w:tcW w:w="7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(18,895)</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(15,180)</w:t>
            </w:r>
          </w:p>
        </w:tc>
      </w:tr>
      <w:tr>
        <w:trPr>
          <w:trHeight w:val="205"/>
        </w:trPr>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10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w:t>
            </w:r>
          </w:p>
        </w:tc>
      </w:tr>
      <w:tr>
        <w:trPr>
          <w:trHeight w:val="228"/>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233,336</w:t>
            </w:r>
          </w:p>
        </w:tc>
        <w:tc>
          <w:tcPr>
            <w:tcW w:w="12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163,179</w:t>
            </w:r>
          </w:p>
        </w:tc>
      </w:tr>
      <w:tr>
        <w:trPr>
          <w:trHeight w:val="190"/>
        </w:trPr>
        <w:tc>
          <w:tcPr>
            <w:tcW w:w="77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06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r>
      <w:tr>
        <w:trPr>
          <w:trHeight w:val="205"/>
        </w:trPr>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(41,727)</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(36,188)</w:t>
            </w:r>
          </w:p>
        </w:tc>
      </w:tr>
      <w:tr>
        <w:trPr>
          <w:trHeight w:val="190"/>
        </w:trPr>
        <w:tc>
          <w:tcPr>
            <w:tcW w:w="7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r>
      <w:tr>
        <w:trPr>
          <w:trHeight w:val="205"/>
        </w:trPr>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Investment in equity affiliate</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r>
      <w:tr>
        <w:trPr>
          <w:trHeight w:val="190"/>
        </w:trPr>
        <w:tc>
          <w:tcPr>
            <w:tcW w:w="7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Business acquisition (net of cash acquired)</w:t>
            </w:r>
          </w:p>
        </w:tc>
        <w:tc>
          <w:tcPr>
            <w:tcW w:w="106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(24,466)</w:t>
            </w:r>
          </w:p>
        </w:tc>
      </w:tr>
      <w:tr>
        <w:trPr>
          <w:trHeight w:val="205"/>
        </w:trPr>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(247,289)</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(225,555)</w:t>
            </w:r>
          </w:p>
        </w:tc>
      </w:tr>
      <w:tr>
        <w:trPr>
          <w:trHeight w:val="191"/>
        </w:trPr>
        <w:tc>
          <w:tcPr>
            <w:tcW w:w="7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Proceeds from redemption of investments</w:t>
            </w:r>
          </w:p>
        </w:tc>
        <w:tc>
          <w:tcPr>
            <w:tcW w:w="10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207,266</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192,162</w:t>
            </w:r>
          </w:p>
        </w:tc>
      </w:tr>
      <w:tr>
        <w:trPr>
          <w:trHeight w:val="197"/>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for investing activities</w:t>
            </w:r>
          </w:p>
        </w:tc>
        <w:tc>
          <w:tcPr>
            <w:tcW w:w="10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(82,609)</w:t>
            </w:r>
          </w:p>
        </w:tc>
        <w:tc>
          <w:tcPr>
            <w:tcW w:w="12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(94,475)</w:t>
            </w:r>
          </w:p>
        </w:tc>
      </w:tr>
      <w:tr>
        <w:trPr>
          <w:trHeight w:val="33"/>
        </w:trPr>
        <w:tc>
          <w:tcPr>
            <w:tcW w:w="7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7"/>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0"/>
        </w:trPr>
        <w:tc>
          <w:tcPr>
            <w:tcW w:w="7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Principal payments of finance lease liabilities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205"/>
        </w:trPr>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borrowings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290,000</w:t>
            </w:r>
          </w:p>
        </w:tc>
      </w:tr>
      <w:tr>
        <w:trPr>
          <w:trHeight w:val="190"/>
        </w:trPr>
        <w:tc>
          <w:tcPr>
            <w:tcW w:w="7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Repayments of borrowings</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(108,750)</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(145,000)</w:t>
            </w:r>
          </w:p>
        </w:tc>
      </w:tr>
      <w:tr>
        <w:trPr>
          <w:trHeight w:val="205"/>
        </w:trPr>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(218,908)</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(195,880)</w:t>
            </w:r>
          </w:p>
        </w:tc>
      </w:tr>
      <w:tr>
        <w:trPr>
          <w:trHeight w:val="190"/>
        </w:trPr>
        <w:tc>
          <w:tcPr>
            <w:tcW w:w="7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106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r>
      <w:tr>
        <w:trPr>
          <w:trHeight w:val="205"/>
        </w:trPr>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5,094</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3,524</w:t>
            </w:r>
          </w:p>
        </w:tc>
      </w:tr>
      <w:tr>
        <w:trPr>
          <w:trHeight w:val="224"/>
        </w:trPr>
        <w:tc>
          <w:tcPr>
            <w:tcW w:w="7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10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r>
      <w:tr>
        <w:trPr>
          <w:trHeight w:val="191"/>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for financing activities</w:t>
            </w:r>
          </w:p>
        </w:tc>
        <w:tc>
          <w:tcPr>
            <w:tcW w:w="106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(147,929)</w:t>
            </w:r>
          </w:p>
        </w:tc>
        <w:tc>
          <w:tcPr>
            <w:tcW w:w="12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(52,171)</w:t>
            </w:r>
          </w:p>
        </w:tc>
      </w:tr>
      <w:tr>
        <w:trPr>
          <w:trHeight w:val="184"/>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w:t>
            </w:r>
          </w:p>
        </w:tc>
        <w:tc>
          <w:tcPr>
            <w:tcW w:w="10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5,637</w:t>
            </w: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1,330</w:t>
            </w:r>
          </w:p>
        </w:tc>
      </w:tr>
      <w:tr>
        <w:trPr>
          <w:trHeight w:val="197"/>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8,435</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17,863</w:t>
            </w:r>
          </w:p>
        </w:tc>
      </w:tr>
      <w:tr>
        <w:trPr>
          <w:trHeight w:val="191"/>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the beginning of the period</w:t>
            </w:r>
          </w:p>
        </w:tc>
        <w:tc>
          <w:tcPr>
            <w:tcW w:w="10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171,398</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145,401</w:t>
            </w:r>
          </w:p>
        </w:tc>
      </w:tr>
      <w:tr>
        <w:trPr>
          <w:trHeight w:val="216"/>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the end of the period</w:t>
            </w:r>
          </w:p>
        </w:tc>
        <w:tc>
          <w:tcPr>
            <w:tcW w:w="106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179,833</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163,264</w:t>
            </w:r>
          </w:p>
        </w:tc>
      </w:tr>
      <w:tr>
        <w:trPr>
          <w:trHeight w:val="23"/>
        </w:trPr>
        <w:tc>
          <w:tcPr>
            <w:tcW w:w="77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5"/>
        </w:trPr>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w:t>
            </w:r>
          </w:p>
        </w:tc>
        <w:tc>
          <w:tcPr>
            <w:tcW w:w="106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12,473</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14,346</w:t>
            </w:r>
          </w:p>
        </w:tc>
      </w:tr>
      <w:tr>
        <w:trPr>
          <w:trHeight w:val="190"/>
        </w:trPr>
        <w:tc>
          <w:tcPr>
            <w:tcW w:w="7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Income taxes</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55,119</w:t>
            </w:r>
          </w:p>
        </w:tc>
        <w:tc>
          <w:tcPr>
            <w:tcW w:w="120" w:type="dxa"/>
            <w:vAlign w:val="bottom"/>
          </w:tcPr>
          <w:p>
            <w:pPr>
              <w:spacing w:after="0"/>
              <w:rPr>
                <w:sz w:val="16"/>
                <w:szCs w:val="16"/>
                <w:color w:val="auto"/>
              </w:rPr>
            </w:pP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78,069</w:t>
            </w: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0"/>
        </w:trPr>
        <w:tc>
          <w:tcPr>
            <w:tcW w:w="7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Additions to property and equipment not yet paid</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3,379</w:t>
            </w:r>
          </w:p>
        </w:tc>
        <w:tc>
          <w:tcPr>
            <w:tcW w:w="120" w:type="dxa"/>
            <w:vAlign w:val="bottom"/>
          </w:tcPr>
          <w:p>
            <w:pPr>
              <w:spacing w:after="0"/>
              <w:rPr>
                <w:sz w:val="16"/>
                <w:szCs w:val="16"/>
                <w:color w:val="auto"/>
              </w:rPr>
            </w:pP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2,756</w:t>
            </w:r>
          </w:p>
        </w:tc>
      </w:tr>
      <w:tr>
        <w:trPr>
          <w:trHeight w:val="205"/>
        </w:trPr>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Assets acquired under finance lease</w:t>
            </w:r>
          </w:p>
        </w:tc>
        <w:tc>
          <w:tcPr>
            <w:tcW w:w="106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r>
    </w:tbl>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9" w:lineRule="exact"/>
        <w:rPr>
          <w:sz w:val="20"/>
          <w:szCs w:val="20"/>
          <w:color w:val="auto"/>
        </w:rPr>
      </w:pPr>
    </w:p>
    <w:p>
      <w:pPr>
        <w:jc w:val="both"/>
        <w:ind w:firstLine="395"/>
        <w:spacing w:after="0" w:line="236" w:lineRule="auto"/>
        <w:rPr>
          <w:sz w:val="20"/>
          <w:szCs w:val="20"/>
          <w:color w:val="auto"/>
        </w:rPr>
      </w:pPr>
      <w:r>
        <w:rPr>
          <w:rFonts w:ascii="Times New Roman" w:cs="Times New Roman" w:eastAsia="Times New Roman" w:hAnsi="Times New Roman"/>
          <w:sz w:val="18"/>
          <w:szCs w:val="18"/>
          <w:color w:val="auto"/>
        </w:rPr>
        <w:t>ExlService Holdings, Inc. (“ExlService Holdings”) is organized as a corporation under the laws of the State of Delaware. ExlService Holdings, together with its subsidiaries and affiliates (collectively, the “Company”), is a global data and artificial intelligence (“AI”) company that offers services and solutions to reinvent client business models, drive better outcomes and unlock growth with speed. The Company harnesses the power of data, AI, and deep industry knowledge to transform businesses, including the world’s leading corporations in industries including insurance, healthcare and life sciences, banking and capital markets, retail, communications and media, and energy and infrastructure, among others.</w:t>
      </w:r>
    </w:p>
    <w:p>
      <w:pPr>
        <w:spacing w:after="0" w:line="2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clients are located principally in the United States of America and the United Kingdom.</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Preparation and Principles of Consolidation</w:t>
      </w:r>
    </w:p>
    <w:p>
      <w:pPr>
        <w:spacing w:after="0" w:line="231" w:lineRule="exact"/>
        <w:rPr>
          <w:sz w:val="20"/>
          <w:szCs w:val="20"/>
          <w:color w:val="auto"/>
        </w:rPr>
      </w:pPr>
    </w:p>
    <w:p>
      <w:pPr>
        <w:jc w:val="both"/>
        <w:ind w:firstLine="395"/>
        <w:spacing w:after="0" w:line="234" w:lineRule="auto"/>
        <w:rPr>
          <w:sz w:val="20"/>
          <w:szCs w:val="20"/>
          <w:color w:val="auto"/>
        </w:rPr>
      </w:pPr>
      <w:r>
        <w:rPr>
          <w:rFonts w:ascii="Times New Roman" w:cs="Times New Roman" w:eastAsia="Times New Roman" w:hAnsi="Times New Roman"/>
          <w:sz w:val="18"/>
          <w:szCs w:val="18"/>
          <w:color w:val="auto"/>
        </w:rPr>
        <w:t>The unaudited consolidated financial statements have been prepared in conformity with United States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2024.</w:t>
      </w:r>
    </w:p>
    <w:p>
      <w:pPr>
        <w:spacing w:after="0" w:line="206" w:lineRule="exact"/>
        <w:rPr>
          <w:sz w:val="20"/>
          <w:szCs w:val="20"/>
          <w:color w:val="auto"/>
        </w:rPr>
      </w:pPr>
    </w:p>
    <w:p>
      <w:pPr>
        <w:jc w:val="both"/>
        <w:ind w:firstLine="395"/>
        <w:spacing w:after="0" w:line="241" w:lineRule="auto"/>
        <w:rPr>
          <w:sz w:val="20"/>
          <w:szCs w:val="20"/>
          <w:color w:val="auto"/>
        </w:rPr>
      </w:pPr>
      <w:r>
        <w:rPr>
          <w:rFonts w:ascii="Times New Roman" w:cs="Times New Roman" w:eastAsia="Times New Roman" w:hAnsi="Times New Roman"/>
          <w:sz w:val="18"/>
          <w:szCs w:val="18"/>
          <w:color w:val="auto"/>
        </w:rPr>
        <w:t>The unaudited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205" w:lineRule="exact"/>
        <w:rPr>
          <w:sz w:val="20"/>
          <w:szCs w:val="20"/>
          <w:color w:val="auto"/>
        </w:rPr>
      </w:pPr>
    </w:p>
    <w:p>
      <w:pPr>
        <w:jc w:val="both"/>
        <w:ind w:firstLine="395"/>
        <w:spacing w:after="0" w:line="237"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financial statements of ExlService Holdings and all of its subsidiaries. The standalone financial statements of subsidiaries are fully consolidated on a line-by-line basis. Intra-group balances and transactions, and gains and losses arising from intra-group transactions, are eliminated while preparing consolidated financial statements. The Company’s investments in equity affiliates are recorded using equity method of accounting.</w:t>
      </w:r>
    </w:p>
    <w:p>
      <w:pPr>
        <w:spacing w:after="0" w:line="22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the first quarter of 2025, the Company implemented operational and structural changes to accelerate the execution of its data and AI strategy. Under the new structure, the Company reports its financial performance based on new segments described in Note 3 - Segment Information to the unaudited consolidated financial statements. In conjunction with the new reporting structure, the Company has recast prior period amounts, wherever applicable, to conform to the way the Company internally manages and monitors segment performance. This change primarily impacted Note 3 - Segment Information and Note 10 - Goodwill and Other Intangible Assets to the unaudited consolidated financial statements. This change in segment presentation does not affect the Company’s unaudited consolidated statements of income, balance sheets or statements of cash flows.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31" w:lineRule="exact"/>
        <w:rPr>
          <w:sz w:val="20"/>
          <w:szCs w:val="20"/>
          <w:color w:val="auto"/>
        </w:rPr>
      </w:pPr>
    </w:p>
    <w:p>
      <w:pPr>
        <w:jc w:val="both"/>
        <w:ind w:firstLine="395"/>
        <w:spacing w:after="0" w:line="232" w:lineRule="auto"/>
        <w:rPr>
          <w:sz w:val="20"/>
          <w:szCs w:val="20"/>
          <w:color w:val="auto"/>
        </w:rPr>
      </w:pPr>
      <w:r>
        <w:rPr>
          <w:rFonts w:ascii="Times New Roman" w:cs="Times New Roman" w:eastAsia="Times New Roman" w:hAnsi="Times New Roman"/>
          <w:sz w:val="18"/>
          <w:szCs w:val="18"/>
          <w:color w:val="auto"/>
        </w:rPr>
        <w:t>The preparation of the unaudited consolidated financial statements in conformity with U.S. GAAP requires management to make estimates and assumptions that affect the carrying amounts of assets and liabilities and disclosure of contingent assets and liabilities included in the unaudited consolidated financial statements. Although these estimates are based on management’s best assessment of the current business environment, actual results may be different from these estimates. The significant estimates that affect the unaudited consolidated financial statements include, but are not limited to, estimates of the contingent consideration, credit risk of customers, the nature and timing of the satisfaction of performance obligations, the standalone selling price of performance obligations, variable consideration in a customer contract, expected recoverability from customers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3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with contingent fee arrangements, estimated costs to complete fixed price contracts, assets and obligations related to employee benefit plans, deferred tax valuation allowances, income-tax uncertainties and other contingencies, valuation of derivative financial instruments and stock-based awards, and useful life of long-lived assets and other intangible assets. The significant assumptions underneath these estimates include, but are not limited to assumptions to calculate stock-based compensation expense, determine pattern of generation of economic benefits to calculate depreciation and amortization for long-lived assets and other intangible assets, and recoverability of long-lived assets, goodwill and other intangible assets.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Recent Accounting Pronouncements</w:t>
      </w:r>
    </w:p>
    <w:p>
      <w:pPr>
        <w:spacing w:after="0" w:line="22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6"/>
          <w:szCs w:val="16"/>
          <w:color w:val="auto"/>
        </w:rPr>
        <w:t xml:space="preserve">In December 2023, the Financial Accounting Standards Board (“FASB”) issued Accounting Standards Update (“ASU”) No. 2023-09,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(“Accounting Standards Codification (“ASC”) Topic 740”), Improvements to Income Tax Disclosures. </w:t>
      </w:r>
      <w:r>
        <w:rPr>
          <w:rFonts w:ascii="Times New Roman" w:cs="Times New Roman" w:eastAsia="Times New Roman" w:hAnsi="Times New Roman"/>
          <w:sz w:val="16"/>
          <w:szCs w:val="16"/>
          <w:color w:val="auto"/>
        </w:rPr>
        <w:t>This ASU expands disclosures relating to the entity’s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income tax rate reconciliation, income taxes paid and certain other disclosures related to income taxes. The ASU is effective for annual periods beginning after December 15, 2024. The Company is currently evaluating the impact of the new disclosure requirements. This ASU will affect the Company’s annual income tax disclosures but is not expected to impact its consolidated balance sheets or statements of income for the year ending December 31, 2025.</w:t>
      </w:r>
    </w:p>
    <w:p>
      <w:pPr>
        <w:spacing w:after="0" w:line="19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(“ASC Topic 220”):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w:t>
      </w:r>
      <w:r>
        <w:rPr>
          <w:rFonts w:ascii="Times New Roman" w:cs="Times New Roman" w:eastAsia="Times New Roman" w:hAnsi="Times New Roman"/>
          <w:sz w:val="18"/>
          <w:szCs w:val="18"/>
          <w:color w:val="auto"/>
        </w:rPr>
        <w:t>. This ASU improves disclosures relating to the disaggregation of income statement expenses, requires additional disclosures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nature of expenses in commonly presented financial statement captions on an annual and interim basis for all public business entities. The ASU will be effective for annual reporting periods beginning after December 15, 2026, and interim periods within annual reporting periods beginning after December 15, 2027, with early adoption permitted. The Company is currently evaluating the impact of this ASU on its consolidated financial statements.</w:t>
      </w:r>
    </w:p>
    <w:p>
      <w:pPr>
        <w:spacing w:after="0" w:line="21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Instruments—Credit Losses (“ASC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This ASU provides a practical expedient when estimating expected credit losses for current accounts receivable and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assets arising from transactions accounted for under ASC Topic 606. The ASU will be effective for annual reporting periods beginning after December 15, 2025, including interim periods within those years, with early adoption permitted. The Company is currently evaluating the impact of this ASU and does not expect it to have a material effect on the consolidated financial statements.</w:t>
      </w:r>
    </w:p>
    <w:p>
      <w:pPr>
        <w:spacing w:after="0" w:line="212" w:lineRule="exact"/>
        <w:rPr>
          <w:sz w:val="20"/>
          <w:szCs w:val="20"/>
          <w:color w:val="auto"/>
        </w:rPr>
      </w:pPr>
    </w:p>
    <w:p>
      <w:pPr>
        <w:jc w:val="both"/>
        <w:ind w:firstLine="395"/>
        <w:spacing w:after="0" w:line="294" w:lineRule="auto"/>
        <w:rPr>
          <w:sz w:val="20"/>
          <w:szCs w:val="20"/>
          <w:color w:val="auto"/>
        </w:rPr>
      </w:pPr>
      <w:r>
        <w:rPr>
          <w:rFonts w:ascii="Times New Roman" w:cs="Times New Roman" w:eastAsia="Times New Roman" w:hAnsi="Times New Roman"/>
          <w:sz w:val="16"/>
          <w:szCs w:val="16"/>
          <w:color w:val="auto"/>
        </w:rPr>
        <w:t xml:space="preserve">In September 2025, the FASB issued ASU No. 2025-06, </w:t>
      </w:r>
      <w:r>
        <w:rPr>
          <w:rFonts w:ascii="Times New Roman" w:cs="Times New Roman" w:eastAsia="Times New Roman" w:hAnsi="Times New Roman"/>
          <w:sz w:val="16"/>
          <w:szCs w:val="16"/>
          <w:i w:val="1"/>
          <w:iCs w:val="1"/>
          <w:color w:val="auto"/>
        </w:rPr>
        <w:t>Intangibles—Goodwill and Other—Internal-Use Software (Subtopic 350-40)</w:t>
      </w:r>
      <w:r>
        <w:rPr>
          <w:rFonts w:ascii="Times New Roman" w:cs="Times New Roman" w:eastAsia="Times New Roman" w:hAnsi="Times New Roman"/>
          <w:sz w:val="16"/>
          <w:szCs w:val="16"/>
          <w:color w:val="auto"/>
        </w:rPr>
        <w:t>. This ASU enhances the guidance for internal-use software development costs by removing references to project stages and simplifying the criteria for when capitalization of software development costs shall begin. The ASU will be effective for annual reporting periods beginning after December 15, 2027, including interim periods within those years, with early adoption permitted. The Company is currently evaluating the impact of this ASU on its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Recently Adopted and Applicable Accounting Pronouncements</w:t>
      </w:r>
    </w:p>
    <w:p>
      <w:pPr>
        <w:spacing w:after="0" w:line="229" w:lineRule="exact"/>
        <w:rPr>
          <w:sz w:val="20"/>
          <w:szCs w:val="20"/>
          <w:color w:val="auto"/>
        </w:rPr>
      </w:pPr>
    </w:p>
    <w:p>
      <w:pPr>
        <w:jc w:val="both"/>
        <w:ind w:firstLine="395"/>
        <w:spacing w:after="0" w:line="236" w:lineRule="auto"/>
        <w:rPr>
          <w:sz w:val="20"/>
          <w:szCs w:val="20"/>
          <w:color w:val="auto"/>
        </w:rPr>
      </w:pPr>
      <w:r>
        <w:rPr>
          <w:rFonts w:ascii="Times New Roman" w:cs="Times New Roman" w:eastAsia="Times New Roman" w:hAnsi="Times New Roman"/>
          <w:sz w:val="18"/>
          <w:szCs w:val="18"/>
          <w:color w:val="auto"/>
        </w:rPr>
        <w:t xml:space="preserve">In March 2024, the FASB issued ASU No. 2024-01, </w:t>
      </w:r>
      <w:r>
        <w:rPr>
          <w:rFonts w:ascii="Times New Roman" w:cs="Times New Roman" w:eastAsia="Times New Roman" w:hAnsi="Times New Roman"/>
          <w:sz w:val="18"/>
          <w:szCs w:val="18"/>
          <w:i w:val="1"/>
          <w:iCs w:val="1"/>
          <w:color w:val="auto"/>
        </w:rPr>
        <w:t>Compensation-Stock Compensation (“ASC Topic 718”)</w:t>
      </w:r>
      <w:r>
        <w:rPr>
          <w:rFonts w:ascii="Times New Roman" w:cs="Times New Roman" w:eastAsia="Times New Roman" w:hAnsi="Times New Roman"/>
          <w:sz w:val="18"/>
          <w:szCs w:val="18"/>
          <w:color w:val="auto"/>
        </w:rPr>
        <w:t>. This ASU clarifies how to evaluate whether profits interest and similar awards given to employees and non-employees are within the scope of share-based payment arrangement under ASC Topic 718. The ASU will be effective for annual periods beginning after December 15, 2024, including interim periods within those years, with early adoption permitted. The Company has early adopted this ASU beginning January 1, 2024. The adoption of this ASU did not have a material impact on the Company’s unaudited consolidated financial statements.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Information</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is a provider of data and AI-led and digital operations services in an integrated manner for clients across industry verticals.</w:t>
      </w:r>
    </w:p>
    <w:p>
      <w:pPr>
        <w:spacing w:after="0" w:line="227" w:lineRule="exact"/>
        <w:rPr>
          <w:sz w:val="20"/>
          <w:szCs w:val="20"/>
          <w:color w:val="auto"/>
        </w:rPr>
      </w:pPr>
    </w:p>
    <w:p>
      <w:pPr>
        <w:jc w:val="both"/>
        <w:ind w:firstLine="395"/>
        <w:spacing w:after="0" w:line="241" w:lineRule="auto"/>
        <w:rPr>
          <w:sz w:val="20"/>
          <w:szCs w:val="20"/>
          <w:color w:val="auto"/>
        </w:rPr>
      </w:pPr>
      <w:r>
        <w:rPr>
          <w:rFonts w:ascii="Times New Roman" w:cs="Times New Roman" w:eastAsia="Times New Roman" w:hAnsi="Times New Roman"/>
          <w:sz w:val="18"/>
          <w:szCs w:val="18"/>
          <w:color w:val="auto"/>
        </w:rPr>
        <w:t>In the first quarter of 2025, the Company implemented operational and structural changes to align with how the Company’s Chief Operating Decision Maker (“CODM”) reviews financial information and makes operating decisions. This new operating model comprises of Industry Market Units (“IMUs”) which focus on delivering higher value to clients by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leveraging full suite of capabilities; and Strategic Growth Units which rapidly advance the capabilities specific to various industries and client needs.</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Consequently, the Company realigned its reportable segments to the IMUs as follows:</w:t>
      </w:r>
    </w:p>
    <w:p>
      <w:pPr>
        <w:spacing w:after="0" w:line="10" w:lineRule="exact"/>
        <w:rPr>
          <w:sz w:val="20"/>
          <w:szCs w:val="20"/>
          <w:color w:val="auto"/>
        </w:rPr>
      </w:pPr>
    </w:p>
    <w:p>
      <w:pPr>
        <w:ind w:left="1020" w:hanging="3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 w:lineRule="exact"/>
        <w:rPr>
          <w:rFonts w:ascii="Times New Roman" w:cs="Times New Roman" w:eastAsia="Times New Roman" w:hAnsi="Times New Roman"/>
          <w:sz w:val="18"/>
          <w:szCs w:val="18"/>
          <w:color w:val="auto"/>
        </w:rPr>
      </w:pPr>
    </w:p>
    <w:p>
      <w:pPr>
        <w:ind w:left="1020" w:hanging="3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and Life Sciences,</w:t>
      </w:r>
    </w:p>
    <w:p>
      <w:pPr>
        <w:spacing w:after="0" w:line="3" w:lineRule="exact"/>
        <w:rPr>
          <w:rFonts w:ascii="Times New Roman" w:cs="Times New Roman" w:eastAsia="Times New Roman" w:hAnsi="Times New Roman"/>
          <w:sz w:val="18"/>
          <w:szCs w:val="18"/>
          <w:color w:val="auto"/>
        </w:rPr>
      </w:pPr>
    </w:p>
    <w:p>
      <w:pPr>
        <w:ind w:left="1020" w:hanging="3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Capital Markets and Diversified Industries,</w:t>
      </w:r>
    </w:p>
    <w:p>
      <w:pPr>
        <w:spacing w:after="0" w:line="3" w:lineRule="exact"/>
        <w:rPr>
          <w:rFonts w:ascii="Times New Roman" w:cs="Times New Roman" w:eastAsia="Times New Roman" w:hAnsi="Times New Roman"/>
          <w:sz w:val="18"/>
          <w:szCs w:val="18"/>
          <w:color w:val="auto"/>
        </w:rPr>
      </w:pPr>
    </w:p>
    <w:p>
      <w:pPr>
        <w:ind w:left="1020" w:hanging="3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Growth Markets</w:t>
      </w:r>
    </w:p>
    <w:p>
      <w:pPr>
        <w:spacing w:after="0" w:line="22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The primary changes in the new reportable segments reflect 1) the integration of the former Analytics reportable segment as a core capability within each of the IMUs, ensuring alignment with the specialized needs of clients across IMUs, 2) the reorganization of the former Emerging Business reportable segment into a Banking, Capital Markets and Diversified Industries reportable segment, excluding Life Sciences, which is now a part of the new Healthcare and Life Sciences reportable segment, and 3) the formation of International Growth Markets as a separate business unit to represent all service and solutions offerings to clients in the United Kingdom, Europe, Middle East, Asia-Pacific and South Africa geographies across all industry verticals. The International Growth Markets business unit will help the Company to strategically expand its footprint in markets outside of North America and drive focus on offerings and expansion in those markets in new and existing clients.</w:t>
      </w:r>
    </w:p>
    <w:p>
      <w:pPr>
        <w:spacing w:after="0" w:line="2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addition, revenues by service type are now presented as data and AI-led and digital operations services. Revenues attributable to geographical regions are now presented as North America (including the United States, Canada and Mexico), the United Kingdom &amp; Europe, and the Rest of World.</w:t>
      </w:r>
    </w:p>
    <w:p>
      <w:pPr>
        <w:spacing w:after="0" w:line="19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has recast segment disclosures for the prior periods presented herein to conform to the new segment structure. This change in segment presentation does not affect the Company’s unaudited consolidated statements of income, balance sheet or statements of cash flows.</w:t>
      </w:r>
    </w:p>
    <w:p>
      <w:pPr>
        <w:spacing w:after="0" w:line="19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Company’s Chief Executive Officer has been identified as the CODM. The CODM generally reviews financial information such as revenues, cost of revenues and gross profit to allocate an overall budget and measure segment performance.</w:t>
      </w:r>
    </w:p>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Revenues and cost of revenues for the three months ended September 30, 2025 and 2024, respectively, for each of the reportable segments, are as follows:</w:t>
      </w:r>
    </w:p>
    <w:p>
      <w:pPr>
        <w:spacing w:after="0" w:line="30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p>
      <w:pPr>
        <w:spacing w:after="0" w:line="25" w:lineRule="exact"/>
        <w:rPr>
          <w:sz w:val="20"/>
          <w:szCs w:val="20"/>
          <w:color w:val="auto"/>
        </w:rPr>
      </w:pPr>
    </w:p>
    <w:tbl>
      <w:tblPr>
        <w:tblLayout w:type="fixed"/>
        <w:tblInd w:w="400" w:type="dxa"/>
        <w:tblCellMar>
          <w:top w:w="0" w:type="dxa"/>
          <w:left w:w="0" w:type="dxa"/>
          <w:bottom w:w="0" w:type="dxa"/>
          <w:right w:w="0" w:type="dxa"/>
        </w:tblCellMar>
      </w:tblPr>
      <w:tr>
        <w:trPr>
          <w:trHeight w:val="143"/>
        </w:trPr>
        <w:tc>
          <w:tcPr>
            <w:tcW w:w="40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Healthcare and</w:t>
            </w:r>
          </w:p>
        </w:tc>
        <w:tc>
          <w:tcPr>
            <w:tcW w:w="14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gridSpan w:val="2"/>
            <w:shd w:val="clear" w:color="auto" w:fill="CCEEFF"/>
          </w:tcPr>
          <w:p>
            <w:pPr>
              <w:jc w:val="center"/>
              <w:ind w:right="240"/>
              <w:spacing w:after="0" w:line="143" w:lineRule="exact"/>
              <w:rPr>
                <w:sz w:val="20"/>
                <w:szCs w:val="20"/>
                <w:color w:val="auto"/>
              </w:rPr>
            </w:pPr>
            <w:r>
              <w:rPr>
                <w:rFonts w:ascii="Times New Roman" w:cs="Times New Roman" w:eastAsia="Times New Roman" w:hAnsi="Times New Roman"/>
                <w:sz w:val="15"/>
                <w:szCs w:val="15"/>
                <w:b w:val="1"/>
                <w:bCs w:val="1"/>
                <w:color w:val="auto"/>
                <w:w w:val="98"/>
              </w:rPr>
              <w:t>Banking, Capital</w:t>
            </w:r>
          </w:p>
        </w:tc>
        <w:tc>
          <w:tcPr>
            <w:tcW w:w="12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International</w:t>
            </w:r>
          </w:p>
        </w:tc>
        <w:tc>
          <w:tcPr>
            <w:tcW w:w="2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Insurance</w:t>
            </w:r>
          </w:p>
        </w:tc>
        <w:tc>
          <w:tcPr>
            <w:tcW w:w="120" w:type="dxa"/>
            <w:vAlign w:val="bottom"/>
            <w:shd w:val="clear" w:color="auto" w:fill="CCEEFF"/>
          </w:tcPr>
          <w:p>
            <w:pPr>
              <w:spacing w:after="0"/>
              <w:rPr>
                <w:sz w:val="12"/>
                <w:szCs w:val="12"/>
                <w:color w:val="auto"/>
              </w:rPr>
            </w:pPr>
          </w:p>
        </w:tc>
        <w:tc>
          <w:tcPr>
            <w:tcW w:w="124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right="220"/>
              <w:spacing w:after="0" w:line="145" w:lineRule="exact"/>
              <w:rPr>
                <w:sz w:val="20"/>
                <w:szCs w:val="20"/>
                <w:color w:val="auto"/>
              </w:rPr>
            </w:pPr>
            <w:r>
              <w:rPr>
                <w:rFonts w:ascii="Times New Roman" w:cs="Times New Roman" w:eastAsia="Times New Roman" w:hAnsi="Times New Roman"/>
                <w:sz w:val="15"/>
                <w:szCs w:val="15"/>
                <w:b w:val="1"/>
                <w:bCs w:val="1"/>
                <w:color w:val="auto"/>
                <w:w w:val="99"/>
              </w:rPr>
              <w:t>Markets and</w:t>
            </w:r>
          </w:p>
        </w:tc>
        <w:tc>
          <w:tcPr>
            <w:tcW w:w="120" w:type="dxa"/>
            <w:vAlign w:val="bottom"/>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31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23"/>
        </w:trPr>
        <w:tc>
          <w:tcPr>
            <w:tcW w:w="4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jc w:val="center"/>
              <w:ind w:right="220"/>
              <w:spacing w:after="0" w:line="150" w:lineRule="exact"/>
              <w:rPr>
                <w:sz w:val="20"/>
                <w:szCs w:val="20"/>
                <w:color w:val="auto"/>
              </w:rPr>
            </w:pPr>
            <w:r>
              <w:rPr>
                <w:rFonts w:ascii="Times New Roman" w:cs="Times New Roman" w:eastAsia="Times New Roman" w:hAnsi="Times New Roman"/>
                <w:sz w:val="15"/>
                <w:szCs w:val="15"/>
                <w:b w:val="1"/>
                <w:bCs w:val="1"/>
                <w:color w:val="auto"/>
                <w:w w:val="98"/>
              </w:rPr>
              <w:t>Life Sciences</w:t>
            </w:r>
          </w:p>
        </w:tc>
        <w:tc>
          <w:tcPr>
            <w:tcW w:w="140" w:type="dxa"/>
            <w:vAlign w:val="bottom"/>
            <w:shd w:val="clear" w:color="auto" w:fill="CCEEFF"/>
          </w:tcPr>
          <w:p>
            <w:pPr>
              <w:spacing w:after="0"/>
              <w:rPr>
                <w:sz w:val="10"/>
                <w:szCs w:val="10"/>
                <w:color w:val="auto"/>
              </w:rPr>
            </w:pPr>
          </w:p>
        </w:tc>
        <w:tc>
          <w:tcPr>
            <w:tcW w:w="1360" w:type="dxa"/>
            <w:vAlign w:val="bottom"/>
            <w:gridSpan w:val="2"/>
            <w:vMerge w:val="restart"/>
            <w:shd w:val="clear" w:color="auto" w:fill="CCEEFF"/>
          </w:tcPr>
          <w:p>
            <w:pPr>
              <w:jc w:val="center"/>
              <w:ind w:right="220"/>
              <w:spacing w:after="0" w:line="150" w:lineRule="exact"/>
              <w:rPr>
                <w:sz w:val="20"/>
                <w:szCs w:val="20"/>
                <w:color w:val="auto"/>
              </w:rPr>
            </w:pPr>
            <w:r>
              <w:rPr>
                <w:rFonts w:ascii="Times New Roman" w:cs="Times New Roman" w:eastAsia="Times New Roman" w:hAnsi="Times New Roman"/>
                <w:sz w:val="15"/>
                <w:szCs w:val="15"/>
                <w:b w:val="1"/>
                <w:bCs w:val="1"/>
                <w:color w:val="auto"/>
                <w:w w:val="99"/>
              </w:rPr>
              <w:t>Diversified</w:t>
            </w:r>
          </w:p>
        </w:tc>
        <w:tc>
          <w:tcPr>
            <w:tcW w:w="1260" w:type="dxa"/>
            <w:vAlign w:val="bottom"/>
            <w:gridSpan w:val="3"/>
            <w:vMerge w:val="restart"/>
            <w:shd w:val="clear" w:color="auto" w:fill="CCEEFF"/>
          </w:tcPr>
          <w:p>
            <w:pPr>
              <w:ind w:left="40"/>
              <w:spacing w:after="0" w:line="150" w:lineRule="exact"/>
              <w:rPr>
                <w:sz w:val="20"/>
                <w:szCs w:val="20"/>
                <w:color w:val="auto"/>
              </w:rPr>
            </w:pPr>
            <w:r>
              <w:rPr>
                <w:rFonts w:ascii="Times New Roman" w:cs="Times New Roman" w:eastAsia="Times New Roman" w:hAnsi="Times New Roman"/>
                <w:sz w:val="15"/>
                <w:szCs w:val="15"/>
                <w:b w:val="1"/>
                <w:bCs w:val="1"/>
                <w:color w:val="auto"/>
              </w:rPr>
              <w:t>Growth Markets</w:t>
            </w:r>
          </w:p>
        </w:tc>
        <w:tc>
          <w:tcPr>
            <w:tcW w:w="24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gridSpan w:val="2"/>
            <w:vMerge w:val="continue"/>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gridSpan w:val="2"/>
            <w:vMerge w:val="continue"/>
            <w:shd w:val="clear" w:color="auto" w:fill="CCEEFF"/>
          </w:tcPr>
          <w:p>
            <w:pPr>
              <w:spacing w:after="0"/>
              <w:rPr>
                <w:sz w:val="2"/>
                <w:szCs w:val="2"/>
                <w:color w:val="auto"/>
              </w:rPr>
            </w:pPr>
          </w:p>
        </w:tc>
        <w:tc>
          <w:tcPr>
            <w:tcW w:w="1260" w:type="dxa"/>
            <w:vAlign w:val="bottom"/>
            <w:gridSpan w:val="3"/>
            <w:vMerge w:val="continue"/>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Industries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 net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180,547</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135,271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120,996</w:t>
            </w:r>
          </w:p>
        </w:tc>
        <w:tc>
          <w:tcPr>
            <w:tcW w:w="10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92,771</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529,585</w:t>
            </w: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7"/>
                <w:szCs w:val="17"/>
                <w:color w:val="auto"/>
              </w:rPr>
              <w:t xml:space="preserve">Cost of revenues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Employee costs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274,444</w:t>
            </w: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Infrastructure and technology costs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36,697</w:t>
            </w:r>
          </w:p>
        </w:tc>
        <w:tc>
          <w:tcPr>
            <w:tcW w:w="0" w:type="dxa"/>
            <w:vAlign w:val="bottom"/>
          </w:tcPr>
          <w:p>
            <w:pPr>
              <w:spacing w:after="0"/>
              <w:rPr>
                <w:sz w:val="1"/>
                <w:szCs w:val="1"/>
                <w:color w:val="auto"/>
              </w:rPr>
            </w:pPr>
          </w:p>
        </w:tc>
      </w:tr>
      <w:tr>
        <w:trPr>
          <w:trHeight w:val="224"/>
        </w:trPr>
        <w:tc>
          <w:tcPr>
            <w:tcW w:w="4020" w:type="dxa"/>
            <w:vAlign w:val="bottom"/>
            <w:tcBorders>
              <w:bottom w:val="single" w:sz="8" w:color="CCEEFF"/>
            </w:tcBorders>
          </w:tcPr>
          <w:p>
            <w:pPr>
              <w:ind w:left="140"/>
              <w:spacing w:after="0" w:line="224" w:lineRule="exact"/>
              <w:rPr>
                <w:sz w:val="20"/>
                <w:szCs w:val="20"/>
                <w:color w:val="auto"/>
              </w:rPr>
            </w:pPr>
            <w:r>
              <w:rPr>
                <w:rFonts w:ascii="Times New Roman" w:cs="Times New Roman" w:eastAsia="Times New Roman" w:hAnsi="Times New Roman"/>
                <w:sz w:val="17"/>
                <w:szCs w:val="17"/>
                <w:color w:val="auto"/>
              </w:rPr>
              <w:t xml:space="preserve">Other costs </w:t>
            </w:r>
            <w:r>
              <w:rPr>
                <w:rFonts w:ascii="Times New Roman" w:cs="Times New Roman" w:eastAsia="Times New Roman" w:hAnsi="Times New Roman"/>
                <w:sz w:val="21"/>
                <w:szCs w:val="21"/>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14,508</w:t>
            </w:r>
          </w:p>
        </w:tc>
        <w:tc>
          <w:tcPr>
            <w:tcW w:w="0" w:type="dxa"/>
            <w:vAlign w:val="bottom"/>
          </w:tcPr>
          <w:p>
            <w:pPr>
              <w:spacing w:after="0"/>
              <w:rPr>
                <w:sz w:val="1"/>
                <w:szCs w:val="1"/>
                <w:color w:val="auto"/>
              </w:rPr>
            </w:pPr>
          </w:p>
        </w:tc>
      </w:tr>
      <w:tr>
        <w:trPr>
          <w:trHeight w:val="242"/>
        </w:trPr>
        <w:tc>
          <w:tcPr>
            <w:tcW w:w="4020" w:type="dxa"/>
            <w:vAlign w:val="bottom"/>
            <w:tcBorders>
              <w:bottom w:val="single" w:sz="8" w:color="CCEEFF"/>
            </w:tcBorders>
            <w:shd w:val="clear" w:color="auto" w:fill="CCEEFF"/>
          </w:tcPr>
          <w:p>
            <w:pPr>
              <w:ind w:left="20"/>
              <w:spacing w:after="0" w:line="217" w:lineRule="exact"/>
              <w:rPr>
                <w:sz w:val="20"/>
                <w:szCs w:val="20"/>
                <w:color w:val="auto"/>
              </w:rPr>
            </w:pPr>
            <w:r>
              <w:rPr>
                <w:rFonts w:ascii="Times New Roman" w:cs="Times New Roman" w:eastAsia="Times New Roman" w:hAnsi="Times New Roman"/>
                <w:sz w:val="17"/>
                <w:szCs w:val="17"/>
                <w:color w:val="auto"/>
              </w:rPr>
              <w:t xml:space="preserve">Gross profit </w:t>
            </w:r>
            <w:r>
              <w:rPr>
                <w:rFonts w:ascii="Times New Roman" w:cs="Times New Roman" w:eastAsia="Times New Roman" w:hAnsi="Times New Roman"/>
                <w:sz w:val="21"/>
                <w:szCs w:val="21"/>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203,936</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127,762</w:t>
            </w:r>
          </w:p>
        </w:tc>
        <w:tc>
          <w:tcPr>
            <w:tcW w:w="0" w:type="dxa"/>
            <w:vAlign w:val="bottom"/>
          </w:tcPr>
          <w:p>
            <w:pPr>
              <w:spacing w:after="0"/>
              <w:rPr>
                <w:sz w:val="1"/>
                <w:szCs w:val="1"/>
                <w:color w:val="auto"/>
              </w:rPr>
            </w:pPr>
          </w:p>
        </w:tc>
      </w:tr>
      <w:tr>
        <w:trPr>
          <w:trHeight w:val="21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76,174</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9" w:right="339" w:bottom="1440" w:gutter="0" w:footer="0" w:header="0"/>
        </w:sectPr>
      </w:pPr>
    </w:p>
    <w:p>
      <w:pPr>
        <w:ind w:left="420"/>
        <w:spacing w:after="0" w:line="205" w:lineRule="auto"/>
        <w:rPr>
          <w:sz w:val="20"/>
          <w:szCs w:val="20"/>
          <w:color w:val="auto"/>
        </w:rPr>
      </w:pPr>
      <w:r>
        <w:rPr>
          <w:rFonts w:ascii="Times New Roman" w:cs="Times New Roman" w:eastAsia="Times New Roman" w:hAnsi="Times New Roman"/>
          <w:sz w:val="17"/>
          <w:szCs w:val="17"/>
          <w:color w:val="auto"/>
        </w:rPr>
        <w:t>Foreign exchange gain, net, interest expense and other</w:t>
      </w:r>
    </w:p>
    <w:p>
      <w:pPr>
        <w:ind w:left="420"/>
        <w:spacing w:after="0"/>
        <w:rPr>
          <w:sz w:val="20"/>
          <w:szCs w:val="20"/>
          <w:color w:val="auto"/>
        </w:rPr>
      </w:pPr>
      <w:r>
        <w:rPr>
          <w:rFonts w:ascii="Times New Roman" w:cs="Times New Roman" w:eastAsia="Times New Roman" w:hAnsi="Times New Roman"/>
          <w:sz w:val="17"/>
          <w:szCs w:val="17"/>
          <w:color w:val="auto"/>
        </w:rPr>
        <w:t>income, net</w:t>
      </w:r>
    </w:p>
    <w:p>
      <w:pPr>
        <w:ind w:left="420"/>
        <w:spacing w:after="0" w:line="228" w:lineRule="auto"/>
        <w:rPr>
          <w:sz w:val="20"/>
          <w:szCs w:val="20"/>
          <w:color w:val="auto"/>
        </w:rPr>
      </w:pPr>
      <w:r>
        <w:rPr>
          <w:rFonts w:ascii="Times New Roman" w:cs="Times New Roman" w:eastAsia="Times New Roman" w:hAnsi="Times New Roman"/>
          <w:sz w:val="17"/>
          <w:szCs w:val="17"/>
          <w:color w:val="auto"/>
        </w:rPr>
        <w:t>Income before income tax expense and earnings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-105410</wp:posOffset>
            </wp:positionV>
            <wp:extent cx="6576060" cy="2425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76060" cy="242570"/>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17"/>
          <w:szCs w:val="17"/>
          <w:color w:val="auto"/>
        </w:rPr>
        <w:t>equity affiliates</w:t>
      </w:r>
    </w:p>
    <w:p>
      <w:pPr>
        <w:spacing w:after="0" w:line="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(1) Exclusive of depreciation and amortization expense.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8"/>
          <w:szCs w:val="18"/>
          <w:color w:val="auto"/>
        </w:rPr>
        <w:t>(1,477)</w:t>
      </w:r>
    </w:p>
    <w:p>
      <w:pPr>
        <w:spacing w:after="0" w:line="148" w:lineRule="exact"/>
        <w:rPr>
          <w:sz w:val="20"/>
          <w:szCs w:val="20"/>
          <w:color w:val="auto"/>
        </w:rPr>
      </w:pPr>
    </w:p>
    <w:p>
      <w:pPr>
        <w:ind w:left="540" w:hanging="532"/>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74,697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016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675" cy="8255"/>
                    </a:xfrm>
                    <a:prstGeom prst="rect">
                      <a:avLst/>
                    </a:prstGeom>
                    <a:noFill/>
                  </pic:spPr>
                </pic:pic>
              </a:graphicData>
            </a:graphic>
          </wp:anchor>
        </w:drawing>
      </w:r>
    </w:p>
    <w:p>
      <w:pPr>
        <w:spacing w:after="0" w:line="492" w:lineRule="exact"/>
        <w:rPr>
          <w:sz w:val="20"/>
          <w:szCs w:val="20"/>
          <w:color w:val="auto"/>
        </w:rPr>
      </w:pPr>
    </w:p>
    <w:p>
      <w:pPr>
        <w:sectPr>
          <w:pgSz w:w="11900" w:h="16838" w:orient="portrait"/>
          <w:cols w:equalWidth="0" w:num="2">
            <w:col w:w="8940" w:space="720"/>
            <w:col w:w="1580"/>
          </w:cols>
          <w:pgMar w:left="320" w:top="119" w:right="339" w:bottom="1440" w:gutter="0" w:footer="0" w:header="0"/>
          <w:type w:val="continuous"/>
        </w:sectPr>
      </w:pPr>
    </w:p>
    <w:p>
      <w:pPr>
        <w:spacing w:after="0" w:line="63" w:lineRule="exact"/>
        <w:rPr>
          <w:sz w:val="20"/>
          <w:szCs w:val="20"/>
          <w:color w:val="auto"/>
        </w:rPr>
      </w:pPr>
    </w:p>
    <w:p>
      <w:pPr>
        <w:ind w:left="400" w:firstLine="237"/>
        <w:spacing w:after="0" w:line="268" w:lineRule="auto"/>
        <w:tabs>
          <w:tab w:leader="none" w:pos="8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primarily include travel and entertainment costs and other direct pass-through expenses related to client contracts for the Company’s direct marketing business.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p>
      <w:pPr>
        <w:spacing w:after="0" w:line="25" w:lineRule="exact"/>
        <w:rPr>
          <w:sz w:val="20"/>
          <w:szCs w:val="20"/>
          <w:color w:val="auto"/>
        </w:rPr>
      </w:pPr>
    </w:p>
    <w:tbl>
      <w:tblPr>
        <w:tblLayout w:type="fixed"/>
        <w:tblInd w:w="400" w:type="dxa"/>
        <w:tblCellMar>
          <w:top w:w="0" w:type="dxa"/>
          <w:left w:w="0" w:type="dxa"/>
          <w:bottom w:w="0" w:type="dxa"/>
          <w:right w:w="0" w:type="dxa"/>
        </w:tblCellMar>
      </w:tblPr>
      <w:tr>
        <w:trPr>
          <w:trHeight w:val="143"/>
        </w:trPr>
        <w:tc>
          <w:tcPr>
            <w:tcW w:w="46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Healthcare and</w:t>
            </w:r>
          </w:p>
        </w:tc>
        <w:tc>
          <w:tcPr>
            <w:tcW w:w="16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gridSpan w:val="2"/>
            <w:shd w:val="clear" w:color="auto" w:fill="CCEEFF"/>
          </w:tcPr>
          <w:p>
            <w:pPr>
              <w:jc w:val="center"/>
              <w:ind w:right="260"/>
              <w:spacing w:after="0" w:line="143" w:lineRule="exact"/>
              <w:rPr>
                <w:sz w:val="20"/>
                <w:szCs w:val="20"/>
                <w:color w:val="auto"/>
              </w:rPr>
            </w:pPr>
            <w:r>
              <w:rPr>
                <w:rFonts w:ascii="Times New Roman" w:cs="Times New Roman" w:eastAsia="Times New Roman" w:hAnsi="Times New Roman"/>
                <w:sz w:val="15"/>
                <w:szCs w:val="15"/>
                <w:b w:val="1"/>
                <w:bCs w:val="1"/>
                <w:color w:val="auto"/>
                <w:w w:val="98"/>
              </w:rPr>
              <w:t>Banking, Capital</w:t>
            </w:r>
          </w:p>
        </w:tc>
        <w:tc>
          <w:tcPr>
            <w:tcW w:w="14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International</w:t>
            </w:r>
          </w:p>
        </w:tc>
        <w:tc>
          <w:tcPr>
            <w:tcW w:w="2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46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80" w:type="dxa"/>
            <w:vAlign w:val="bottom"/>
            <w:gridSpan w:val="2"/>
            <w:vMerge w:val="restart"/>
            <w:shd w:val="clear" w:color="auto" w:fill="CCEEFF"/>
          </w:tcPr>
          <w:p>
            <w:pPr>
              <w:ind w:left="40"/>
              <w:spacing w:after="0" w:line="150" w:lineRule="exact"/>
              <w:rPr>
                <w:sz w:val="20"/>
                <w:szCs w:val="20"/>
                <w:color w:val="auto"/>
              </w:rPr>
            </w:pPr>
            <w:r>
              <w:rPr>
                <w:rFonts w:ascii="Times New Roman" w:cs="Times New Roman" w:eastAsia="Times New Roman" w:hAnsi="Times New Roman"/>
                <w:sz w:val="15"/>
                <w:szCs w:val="15"/>
                <w:b w:val="1"/>
                <w:bCs w:val="1"/>
                <w:color w:val="auto"/>
              </w:rPr>
              <w:t>Insurance</w:t>
            </w:r>
          </w:p>
        </w:tc>
        <w:tc>
          <w:tcPr>
            <w:tcW w:w="120" w:type="dxa"/>
            <w:vAlign w:val="bottom"/>
            <w:shd w:val="clear" w:color="auto" w:fill="CCEEFF"/>
          </w:tcPr>
          <w:p>
            <w:pPr>
              <w:spacing w:after="0"/>
              <w:rPr>
                <w:sz w:val="5"/>
                <w:szCs w:val="5"/>
                <w:color w:val="auto"/>
              </w:rPr>
            </w:pPr>
          </w:p>
        </w:tc>
        <w:tc>
          <w:tcPr>
            <w:tcW w:w="124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20" w:type="dxa"/>
            <w:vAlign w:val="bottom"/>
            <w:gridSpan w:val="2"/>
            <w:vMerge w:val="restart"/>
            <w:shd w:val="clear" w:color="auto" w:fill="CCEEFF"/>
          </w:tcPr>
          <w:p>
            <w:pPr>
              <w:jc w:val="center"/>
              <w:ind w:right="240"/>
              <w:spacing w:after="0" w:line="150" w:lineRule="exact"/>
              <w:rPr>
                <w:sz w:val="20"/>
                <w:szCs w:val="20"/>
                <w:color w:val="auto"/>
              </w:rPr>
            </w:pPr>
            <w:r>
              <w:rPr>
                <w:rFonts w:ascii="Times New Roman" w:cs="Times New Roman" w:eastAsia="Times New Roman" w:hAnsi="Times New Roman"/>
                <w:sz w:val="15"/>
                <w:szCs w:val="15"/>
                <w:b w:val="1"/>
                <w:bCs w:val="1"/>
                <w:color w:val="auto"/>
                <w:w w:val="99"/>
              </w:rPr>
              <w:t>Markets and</w:t>
            </w:r>
          </w:p>
        </w:tc>
        <w:tc>
          <w:tcPr>
            <w:tcW w:w="14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700" w:type="dxa"/>
            <w:vAlign w:val="bottom"/>
            <w:vMerge w:val="restart"/>
            <w:shd w:val="clear" w:color="auto" w:fill="CCEEFF"/>
          </w:tcPr>
          <w:p>
            <w:pPr>
              <w:jc w:val="right"/>
              <w:ind w:right="134"/>
              <w:spacing w:after="0" w:line="150"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84"/>
        </w:trPr>
        <w:tc>
          <w:tcPr>
            <w:tcW w:w="46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8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Life Sciences</w:t>
            </w:r>
          </w:p>
        </w:tc>
        <w:tc>
          <w:tcPr>
            <w:tcW w:w="160" w:type="dxa"/>
            <w:vAlign w:val="bottom"/>
            <w:shd w:val="clear" w:color="auto" w:fill="CCEEFF"/>
          </w:tcPr>
          <w:p>
            <w:pPr>
              <w:spacing w:after="0"/>
              <w:rPr>
                <w:sz w:val="7"/>
                <w:szCs w:val="7"/>
                <w:color w:val="auto"/>
              </w:rPr>
            </w:pPr>
          </w:p>
        </w:tc>
        <w:tc>
          <w:tcPr>
            <w:tcW w:w="1420" w:type="dxa"/>
            <w:vAlign w:val="bottom"/>
            <w:gridSpan w:val="2"/>
            <w:vMerge w:val="continue"/>
            <w:shd w:val="clear" w:color="auto" w:fill="CCEEFF"/>
          </w:tcPr>
          <w:p>
            <w:pPr>
              <w:spacing w:after="0"/>
              <w:rPr>
                <w:sz w:val="7"/>
                <w:szCs w:val="7"/>
                <w:color w:val="auto"/>
              </w:rPr>
            </w:pPr>
          </w:p>
        </w:tc>
        <w:tc>
          <w:tcPr>
            <w:tcW w:w="1280" w:type="dxa"/>
            <w:vAlign w:val="bottom"/>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Growth Markets</w:t>
            </w:r>
          </w:p>
        </w:tc>
        <w:tc>
          <w:tcPr>
            <w:tcW w:w="26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40" w:type="dxa"/>
            <w:vAlign w:val="bottom"/>
            <w:gridSpan w:val="2"/>
            <w:vMerge w:val="continue"/>
            <w:shd w:val="clear" w:color="auto" w:fill="CCEEFF"/>
          </w:tcPr>
          <w:p>
            <w:pPr>
              <w:spacing w:after="0"/>
              <w:rPr>
                <w:sz w:val="9"/>
                <w:szCs w:val="9"/>
                <w:color w:val="auto"/>
              </w:rPr>
            </w:pPr>
          </w:p>
        </w:tc>
        <w:tc>
          <w:tcPr>
            <w:tcW w:w="1580" w:type="dxa"/>
            <w:vAlign w:val="bottom"/>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Diversified Industries</w:t>
            </w:r>
          </w:p>
        </w:tc>
        <w:tc>
          <w:tcPr>
            <w:tcW w:w="1280" w:type="dxa"/>
            <w:vAlign w:val="bottom"/>
            <w:gridSpan w:val="3"/>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46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80" w:type="dxa"/>
            <w:vAlign w:val="bottom"/>
            <w:gridSpan w:val="3"/>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 net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166,416</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111,197</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108,300</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86,160</w:t>
            </w: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472,07</w:t>
            </w:r>
          </w:p>
        </w:tc>
        <w:tc>
          <w:tcPr>
            <w:tcW w:w="0" w:type="dxa"/>
            <w:vAlign w:val="bottom"/>
          </w:tcPr>
          <w:p>
            <w:pPr>
              <w:spacing w:after="0"/>
              <w:rPr>
                <w:sz w:val="1"/>
                <w:szCs w:val="1"/>
                <w:color w:val="auto"/>
              </w:rPr>
            </w:pPr>
          </w:p>
        </w:tc>
      </w:tr>
      <w:tr>
        <w:trPr>
          <w:trHeight w:val="224"/>
        </w:trPr>
        <w:tc>
          <w:tcPr>
            <w:tcW w:w="462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7"/>
                <w:szCs w:val="17"/>
                <w:color w:val="auto"/>
              </w:rPr>
              <w:t xml:space="preserve">Cost of revenues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Employee costs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242,20</w:t>
            </w:r>
          </w:p>
        </w:tc>
        <w:tc>
          <w:tcPr>
            <w:tcW w:w="0" w:type="dxa"/>
            <w:vAlign w:val="bottom"/>
          </w:tcPr>
          <w:p>
            <w:pPr>
              <w:spacing w:after="0"/>
              <w:rPr>
                <w:sz w:val="1"/>
                <w:szCs w:val="1"/>
                <w:color w:val="auto"/>
              </w:rPr>
            </w:pPr>
          </w:p>
        </w:tc>
      </w:tr>
      <w:tr>
        <w:trPr>
          <w:trHeight w:val="224"/>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Infrastructure and technology costs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0" w:type="dxa"/>
            <w:vAlign w:val="bottom"/>
          </w:tcPr>
          <w:p>
            <w:pPr>
              <w:spacing w:after="0"/>
              <w:rPr>
                <w:sz w:val="1"/>
                <w:szCs w:val="1"/>
                <w:color w:val="auto"/>
              </w:rPr>
            </w:pPr>
          </w:p>
        </w:tc>
      </w:tr>
      <w:tr>
        <w:trPr>
          <w:trHeight w:val="224"/>
        </w:trPr>
        <w:tc>
          <w:tcPr>
            <w:tcW w:w="4620" w:type="dxa"/>
            <w:vAlign w:val="bottom"/>
            <w:tcBorders>
              <w:bottom w:val="single" w:sz="8" w:color="CCEEFF"/>
            </w:tcBorders>
          </w:tcPr>
          <w:p>
            <w:pPr>
              <w:ind w:left="140"/>
              <w:spacing w:after="0" w:line="224" w:lineRule="exact"/>
              <w:rPr>
                <w:sz w:val="20"/>
                <w:szCs w:val="20"/>
                <w:color w:val="auto"/>
              </w:rPr>
            </w:pPr>
            <w:r>
              <w:rPr>
                <w:rFonts w:ascii="Times New Roman" w:cs="Times New Roman" w:eastAsia="Times New Roman" w:hAnsi="Times New Roman"/>
                <w:sz w:val="17"/>
                <w:szCs w:val="17"/>
                <w:color w:val="auto"/>
              </w:rPr>
              <w:t xml:space="preserve">Other costs </w:t>
            </w:r>
            <w:r>
              <w:rPr>
                <w:rFonts w:ascii="Times New Roman" w:cs="Times New Roman" w:eastAsia="Times New Roman" w:hAnsi="Times New Roman"/>
                <w:sz w:val="21"/>
                <w:szCs w:val="21"/>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42"/>
        </w:trPr>
        <w:tc>
          <w:tcPr>
            <w:tcW w:w="4620" w:type="dxa"/>
            <w:vAlign w:val="bottom"/>
            <w:tcBorders>
              <w:bottom w:val="single" w:sz="8" w:color="CCEEFF"/>
            </w:tcBorders>
            <w:shd w:val="clear" w:color="auto" w:fill="CCEEFF"/>
          </w:tcPr>
          <w:p>
            <w:pPr>
              <w:ind w:left="20"/>
              <w:spacing w:after="0" w:line="217" w:lineRule="exact"/>
              <w:rPr>
                <w:sz w:val="20"/>
                <w:szCs w:val="20"/>
                <w:color w:val="auto"/>
              </w:rPr>
            </w:pPr>
            <w:r>
              <w:rPr>
                <w:rFonts w:ascii="Times New Roman" w:cs="Times New Roman" w:eastAsia="Times New Roman" w:hAnsi="Times New Roman"/>
                <w:sz w:val="17"/>
                <w:szCs w:val="17"/>
                <w:color w:val="auto"/>
              </w:rPr>
              <w:t xml:space="preserve">Gross profit </w:t>
            </w:r>
            <w:r>
              <w:rPr>
                <w:rFonts w:ascii="Times New Roman" w:cs="Times New Roman" w:eastAsia="Times New Roman" w:hAnsi="Times New Roman"/>
                <w:sz w:val="21"/>
                <w:szCs w:val="21"/>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108,86</w:t>
            </w:r>
          </w:p>
        </w:tc>
        <w:tc>
          <w:tcPr>
            <w:tcW w:w="0" w:type="dxa"/>
            <w:vAlign w:val="bottom"/>
          </w:tcPr>
          <w:p>
            <w:pPr>
              <w:spacing w:after="0"/>
              <w:rPr>
                <w:sz w:val="1"/>
                <w:szCs w:val="1"/>
                <w:color w:val="auto"/>
              </w:rPr>
            </w:pPr>
          </w:p>
        </w:tc>
      </w:tr>
      <w:tr>
        <w:trPr>
          <w:trHeight w:val="21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0" w:type="dxa"/>
            <w:vAlign w:val="bottom"/>
          </w:tcPr>
          <w:p>
            <w:pPr>
              <w:spacing w:after="0"/>
              <w:rPr>
                <w:sz w:val="1"/>
                <w:szCs w:val="1"/>
                <w:color w:val="auto"/>
              </w:rPr>
            </w:pPr>
          </w:p>
        </w:tc>
      </w:tr>
      <w:tr>
        <w:trPr>
          <w:trHeight w:val="224"/>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 exchange gain, net, interest expense and other income, net</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43"/>
        </w:trPr>
        <w:tc>
          <w:tcPr>
            <w:tcW w:w="46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Income before income tax expense and earnings from equity</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0" w:type="dxa"/>
            <w:vAlign w:val="bottom"/>
          </w:tcPr>
          <w:p>
            <w:pPr>
              <w:spacing w:after="0"/>
              <w:rPr>
                <w:sz w:val="1"/>
                <w:szCs w:val="1"/>
                <w:color w:val="auto"/>
              </w:rPr>
            </w:pPr>
          </w:p>
        </w:tc>
      </w:tr>
      <w:tr>
        <w:trPr>
          <w:trHeight w:val="213"/>
        </w:trPr>
        <w:tc>
          <w:tcPr>
            <w:tcW w:w="4620" w:type="dxa"/>
            <w:vAlign w:val="bottom"/>
            <w:tcBorders>
              <w:bottom w:val="single" w:sz="8" w:color="CCEEFF"/>
            </w:tcBorders>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color w:val="auto"/>
              </w:rPr>
              <w:t>affiliates</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ind w:left="880" w:hanging="243"/>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of depreciation and amortization expense.</w:t>
      </w:r>
    </w:p>
    <w:p>
      <w:pPr>
        <w:spacing w:after="0" w:line="240" w:lineRule="exact"/>
        <w:rPr>
          <w:rFonts w:ascii="Times New Roman" w:cs="Times New Roman" w:eastAsia="Times New Roman" w:hAnsi="Times New Roman"/>
          <w:sz w:val="18"/>
          <w:szCs w:val="18"/>
          <w:color w:val="auto"/>
        </w:rPr>
      </w:pPr>
    </w:p>
    <w:p>
      <w:pPr>
        <w:ind w:left="400" w:right="100" w:firstLine="237"/>
        <w:spacing w:after="0" w:line="268" w:lineRule="auto"/>
        <w:tabs>
          <w:tab w:leader="none" w:pos="8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primarily include travel and entertainment costs and other direct pass-through expenses related to client contracts for the Company’s direct marketing business.</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Revenues and cost of revenues for the nine months ended September 30, 2025 and 2024, respectively, for each of the reportable segments, are as follows:</w:t>
      </w:r>
    </w:p>
    <w:p>
      <w:pPr>
        <w:spacing w:after="0" w:line="305"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p>
      <w:pPr>
        <w:spacing w:after="0" w:line="25" w:lineRule="exact"/>
        <w:rPr>
          <w:sz w:val="20"/>
          <w:szCs w:val="20"/>
          <w:color w:val="auto"/>
        </w:rPr>
      </w:pPr>
    </w:p>
    <w:tbl>
      <w:tblPr>
        <w:tblLayout w:type="fixed"/>
        <w:tblInd w:w="400" w:type="dxa"/>
        <w:tblCellMar>
          <w:top w:w="0" w:type="dxa"/>
          <w:left w:w="0" w:type="dxa"/>
          <w:bottom w:w="0" w:type="dxa"/>
          <w:right w:w="0" w:type="dxa"/>
        </w:tblCellMar>
      </w:tblPr>
      <w:tr>
        <w:trPr>
          <w:trHeight w:val="143"/>
        </w:trPr>
        <w:tc>
          <w:tcPr>
            <w:tcW w:w="46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Healthcare and</w:t>
            </w:r>
          </w:p>
        </w:tc>
        <w:tc>
          <w:tcPr>
            <w:tcW w:w="16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gridSpan w:val="2"/>
            <w:shd w:val="clear" w:color="auto" w:fill="CCEEFF"/>
          </w:tcPr>
          <w:p>
            <w:pPr>
              <w:jc w:val="center"/>
              <w:ind w:right="260"/>
              <w:spacing w:after="0" w:line="143" w:lineRule="exact"/>
              <w:rPr>
                <w:sz w:val="20"/>
                <w:szCs w:val="20"/>
                <w:color w:val="auto"/>
              </w:rPr>
            </w:pPr>
            <w:r>
              <w:rPr>
                <w:rFonts w:ascii="Times New Roman" w:cs="Times New Roman" w:eastAsia="Times New Roman" w:hAnsi="Times New Roman"/>
                <w:sz w:val="15"/>
                <w:szCs w:val="15"/>
                <w:b w:val="1"/>
                <w:bCs w:val="1"/>
                <w:color w:val="auto"/>
                <w:w w:val="98"/>
              </w:rPr>
              <w:t>Banking, Capital</w:t>
            </w:r>
          </w:p>
        </w:tc>
        <w:tc>
          <w:tcPr>
            <w:tcW w:w="14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International</w:t>
            </w:r>
          </w:p>
        </w:tc>
        <w:tc>
          <w:tcPr>
            <w:tcW w:w="2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46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80" w:type="dxa"/>
            <w:vAlign w:val="bottom"/>
            <w:gridSpan w:val="2"/>
            <w:vMerge w:val="restart"/>
            <w:shd w:val="clear" w:color="auto" w:fill="CCEEFF"/>
          </w:tcPr>
          <w:p>
            <w:pPr>
              <w:ind w:left="40"/>
              <w:spacing w:after="0" w:line="145" w:lineRule="exact"/>
              <w:rPr>
                <w:sz w:val="20"/>
                <w:szCs w:val="20"/>
                <w:color w:val="auto"/>
              </w:rPr>
            </w:pPr>
            <w:r>
              <w:rPr>
                <w:rFonts w:ascii="Times New Roman" w:cs="Times New Roman" w:eastAsia="Times New Roman" w:hAnsi="Times New Roman"/>
                <w:sz w:val="15"/>
                <w:szCs w:val="15"/>
                <w:b w:val="1"/>
                <w:bCs w:val="1"/>
                <w:color w:val="auto"/>
              </w:rPr>
              <w:t>Insurance</w:t>
            </w:r>
          </w:p>
        </w:tc>
        <w:tc>
          <w:tcPr>
            <w:tcW w:w="120" w:type="dxa"/>
            <w:vAlign w:val="bottom"/>
            <w:shd w:val="clear" w:color="auto" w:fill="CCEEFF"/>
          </w:tcPr>
          <w:p>
            <w:pPr>
              <w:spacing w:after="0"/>
              <w:rPr>
                <w:sz w:val="5"/>
                <w:szCs w:val="5"/>
                <w:color w:val="auto"/>
              </w:rPr>
            </w:pPr>
          </w:p>
        </w:tc>
        <w:tc>
          <w:tcPr>
            <w:tcW w:w="124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20" w:type="dxa"/>
            <w:vAlign w:val="bottom"/>
            <w:gridSpan w:val="2"/>
            <w:vMerge w:val="restart"/>
            <w:shd w:val="clear" w:color="auto" w:fill="CCEEFF"/>
          </w:tcPr>
          <w:p>
            <w:pPr>
              <w:jc w:val="center"/>
              <w:ind w:right="240"/>
              <w:spacing w:after="0" w:line="145" w:lineRule="exact"/>
              <w:rPr>
                <w:sz w:val="20"/>
                <w:szCs w:val="20"/>
                <w:color w:val="auto"/>
              </w:rPr>
            </w:pPr>
            <w:r>
              <w:rPr>
                <w:rFonts w:ascii="Times New Roman" w:cs="Times New Roman" w:eastAsia="Times New Roman" w:hAnsi="Times New Roman"/>
                <w:sz w:val="15"/>
                <w:szCs w:val="15"/>
                <w:b w:val="1"/>
                <w:bCs w:val="1"/>
                <w:color w:val="auto"/>
                <w:w w:val="99"/>
              </w:rPr>
              <w:t>Markets and</w:t>
            </w:r>
          </w:p>
        </w:tc>
        <w:tc>
          <w:tcPr>
            <w:tcW w:w="14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20" w:type="dxa"/>
            <w:vAlign w:val="bottom"/>
            <w:vMerge w:val="restart"/>
            <w:shd w:val="clear" w:color="auto" w:fill="CCEEFF"/>
          </w:tcPr>
          <w:p>
            <w:pPr>
              <w:jc w:val="right"/>
              <w:ind w:right="134"/>
              <w:spacing w:after="0" w:line="145"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79"/>
        </w:trPr>
        <w:tc>
          <w:tcPr>
            <w:tcW w:w="46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Life Sciences</w:t>
            </w:r>
          </w:p>
        </w:tc>
        <w:tc>
          <w:tcPr>
            <w:tcW w:w="160" w:type="dxa"/>
            <w:vAlign w:val="bottom"/>
            <w:shd w:val="clear" w:color="auto" w:fill="CCEEFF"/>
          </w:tcPr>
          <w:p>
            <w:pPr>
              <w:spacing w:after="0"/>
              <w:rPr>
                <w:sz w:val="6"/>
                <w:szCs w:val="6"/>
                <w:color w:val="auto"/>
              </w:rPr>
            </w:pPr>
          </w:p>
        </w:tc>
        <w:tc>
          <w:tcPr>
            <w:tcW w:w="1420" w:type="dxa"/>
            <w:vAlign w:val="bottom"/>
            <w:gridSpan w:val="2"/>
            <w:vMerge w:val="continue"/>
            <w:shd w:val="clear" w:color="auto" w:fill="CCEEFF"/>
          </w:tcPr>
          <w:p>
            <w:pPr>
              <w:spacing w:after="0"/>
              <w:rPr>
                <w:sz w:val="6"/>
                <w:szCs w:val="6"/>
                <w:color w:val="auto"/>
              </w:rPr>
            </w:pPr>
          </w:p>
        </w:tc>
        <w:tc>
          <w:tcPr>
            <w:tcW w:w="1280" w:type="dxa"/>
            <w:vAlign w:val="bottom"/>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Growth Markets</w:t>
            </w:r>
          </w:p>
        </w:tc>
        <w:tc>
          <w:tcPr>
            <w:tcW w:w="24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4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gridSpan w:val="2"/>
            <w:vMerge w:val="continue"/>
            <w:shd w:val="clear" w:color="auto" w:fill="CCEEFF"/>
          </w:tcPr>
          <w:p>
            <w:pPr>
              <w:spacing w:after="0"/>
              <w:rPr>
                <w:sz w:val="10"/>
                <w:szCs w:val="10"/>
                <w:color w:val="auto"/>
              </w:rPr>
            </w:pPr>
          </w:p>
        </w:tc>
        <w:tc>
          <w:tcPr>
            <w:tcW w:w="1580" w:type="dxa"/>
            <w:vAlign w:val="bottom"/>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Diversified Industries</w:t>
            </w:r>
          </w:p>
        </w:tc>
        <w:tc>
          <w:tcPr>
            <w:tcW w:w="1280" w:type="dxa"/>
            <w:vAlign w:val="bottom"/>
            <w:gridSpan w:val="3"/>
            <w:vMerge w:val="continue"/>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46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80" w:type="dxa"/>
            <w:vAlign w:val="bottom"/>
            <w:gridSpan w:val="3"/>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 net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524,777</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390,352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359,787</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270,148</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1,545,06</w:t>
            </w:r>
          </w:p>
        </w:tc>
        <w:tc>
          <w:tcPr>
            <w:tcW w:w="0" w:type="dxa"/>
            <w:vAlign w:val="bottom"/>
          </w:tcPr>
          <w:p>
            <w:pPr>
              <w:spacing w:after="0"/>
              <w:rPr>
                <w:sz w:val="1"/>
                <w:szCs w:val="1"/>
                <w:color w:val="auto"/>
              </w:rPr>
            </w:pPr>
          </w:p>
        </w:tc>
      </w:tr>
      <w:tr>
        <w:trPr>
          <w:trHeight w:val="224"/>
        </w:trPr>
        <w:tc>
          <w:tcPr>
            <w:tcW w:w="462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7"/>
                <w:szCs w:val="17"/>
                <w:color w:val="auto"/>
              </w:rPr>
              <w:t xml:space="preserve">Cost of revenues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Employee costs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143,563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805,16</w:t>
            </w:r>
          </w:p>
        </w:tc>
        <w:tc>
          <w:tcPr>
            <w:tcW w:w="0" w:type="dxa"/>
            <w:vAlign w:val="bottom"/>
          </w:tcPr>
          <w:p>
            <w:pPr>
              <w:spacing w:after="0"/>
              <w:rPr>
                <w:sz w:val="1"/>
                <w:szCs w:val="1"/>
                <w:color w:val="auto"/>
              </w:rPr>
            </w:pPr>
          </w:p>
        </w:tc>
      </w:tr>
      <w:tr>
        <w:trPr>
          <w:trHeight w:val="224"/>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Infrastructure and technology costs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106,11</w:t>
            </w:r>
          </w:p>
        </w:tc>
        <w:tc>
          <w:tcPr>
            <w:tcW w:w="0" w:type="dxa"/>
            <w:vAlign w:val="bottom"/>
          </w:tcPr>
          <w:p>
            <w:pPr>
              <w:spacing w:after="0"/>
              <w:rPr>
                <w:sz w:val="1"/>
                <w:szCs w:val="1"/>
                <w:color w:val="auto"/>
              </w:rPr>
            </w:pPr>
          </w:p>
        </w:tc>
      </w:tr>
      <w:tr>
        <w:trPr>
          <w:trHeight w:val="224"/>
        </w:trPr>
        <w:tc>
          <w:tcPr>
            <w:tcW w:w="4620" w:type="dxa"/>
            <w:vAlign w:val="bottom"/>
            <w:tcBorders>
              <w:bottom w:val="single" w:sz="8" w:color="CCEEFF"/>
            </w:tcBorders>
          </w:tcPr>
          <w:p>
            <w:pPr>
              <w:ind w:left="140"/>
              <w:spacing w:after="0" w:line="224" w:lineRule="exact"/>
              <w:rPr>
                <w:sz w:val="20"/>
                <w:szCs w:val="20"/>
                <w:color w:val="auto"/>
              </w:rPr>
            </w:pPr>
            <w:r>
              <w:rPr>
                <w:rFonts w:ascii="Times New Roman" w:cs="Times New Roman" w:eastAsia="Times New Roman" w:hAnsi="Times New Roman"/>
                <w:sz w:val="17"/>
                <w:szCs w:val="17"/>
                <w:color w:val="auto"/>
              </w:rPr>
              <w:t xml:space="preserve">Other costs </w:t>
            </w:r>
            <w:r>
              <w:rPr>
                <w:rFonts w:ascii="Times New Roman" w:cs="Times New Roman" w:eastAsia="Times New Roman" w:hAnsi="Times New Roman"/>
                <w:sz w:val="21"/>
                <w:szCs w:val="21"/>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0" w:type="dxa"/>
            <w:vAlign w:val="bottom"/>
          </w:tcPr>
          <w:p>
            <w:pPr>
              <w:spacing w:after="0"/>
              <w:rPr>
                <w:sz w:val="1"/>
                <w:szCs w:val="1"/>
                <w:color w:val="auto"/>
              </w:rPr>
            </w:pPr>
          </w:p>
        </w:tc>
      </w:tr>
      <w:tr>
        <w:trPr>
          <w:trHeight w:val="242"/>
        </w:trPr>
        <w:tc>
          <w:tcPr>
            <w:tcW w:w="4620" w:type="dxa"/>
            <w:vAlign w:val="bottom"/>
            <w:tcBorders>
              <w:bottom w:val="single" w:sz="8" w:color="CCEEFF"/>
            </w:tcBorders>
            <w:shd w:val="clear" w:color="auto" w:fill="CCEEFF"/>
          </w:tcPr>
          <w:p>
            <w:pPr>
              <w:ind w:left="20"/>
              <w:spacing w:after="0" w:line="217" w:lineRule="exact"/>
              <w:rPr>
                <w:sz w:val="20"/>
                <w:szCs w:val="20"/>
                <w:color w:val="auto"/>
              </w:rPr>
            </w:pPr>
            <w:r>
              <w:rPr>
                <w:rFonts w:ascii="Times New Roman" w:cs="Times New Roman" w:eastAsia="Times New Roman" w:hAnsi="Times New Roman"/>
                <w:sz w:val="17"/>
                <w:szCs w:val="17"/>
                <w:color w:val="auto"/>
              </w:rPr>
              <w:t xml:space="preserve">Gross profit </w:t>
            </w:r>
            <w:r>
              <w:rPr>
                <w:rFonts w:ascii="Times New Roman" w:cs="Times New Roman" w:eastAsia="Times New Roman" w:hAnsi="Times New Roman"/>
                <w:sz w:val="21"/>
                <w:szCs w:val="21"/>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188,891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96,835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591,43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355,71</w:t>
            </w:r>
          </w:p>
        </w:tc>
        <w:tc>
          <w:tcPr>
            <w:tcW w:w="0" w:type="dxa"/>
            <w:vAlign w:val="bottom"/>
          </w:tcPr>
          <w:p>
            <w:pPr>
              <w:spacing w:after="0"/>
              <w:rPr>
                <w:sz w:val="1"/>
                <w:szCs w:val="1"/>
                <w:color w:val="auto"/>
              </w:rPr>
            </w:pPr>
          </w:p>
        </w:tc>
      </w:tr>
      <w:tr>
        <w:trPr>
          <w:trHeight w:val="21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235,72</w:t>
            </w:r>
          </w:p>
        </w:tc>
        <w:tc>
          <w:tcPr>
            <w:tcW w:w="0" w:type="dxa"/>
            <w:vAlign w:val="bottom"/>
          </w:tcPr>
          <w:p>
            <w:pPr>
              <w:spacing w:after="0"/>
              <w:rPr>
                <w:sz w:val="1"/>
                <w:szCs w:val="1"/>
                <w:color w:val="auto"/>
              </w:rPr>
            </w:pPr>
          </w:p>
        </w:tc>
      </w:tr>
      <w:tr>
        <w:trPr>
          <w:trHeight w:val="224"/>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 exchange gain, net, interest expense and other income, net</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138"/>
        </w:trPr>
        <w:tc>
          <w:tcPr>
            <w:tcW w:w="462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Income before income tax expense and earnings from equity</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239,60</w:t>
            </w:r>
          </w:p>
        </w:tc>
        <w:tc>
          <w:tcPr>
            <w:tcW w:w="0" w:type="dxa"/>
            <w:vAlign w:val="bottom"/>
          </w:tcPr>
          <w:p>
            <w:pPr>
              <w:spacing w:after="0"/>
              <w:rPr>
                <w:sz w:val="1"/>
                <w:szCs w:val="1"/>
                <w:color w:val="auto"/>
              </w:rPr>
            </w:pPr>
          </w:p>
        </w:tc>
      </w:tr>
      <w:tr>
        <w:trPr>
          <w:trHeight w:val="217"/>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affiliates</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ind w:left="880" w:hanging="243"/>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of depreciation and amortization expense.</w:t>
      </w:r>
    </w:p>
    <w:p>
      <w:pPr>
        <w:spacing w:after="0" w:line="240" w:lineRule="exact"/>
        <w:rPr>
          <w:rFonts w:ascii="Times New Roman" w:cs="Times New Roman" w:eastAsia="Times New Roman" w:hAnsi="Times New Roman"/>
          <w:sz w:val="18"/>
          <w:szCs w:val="18"/>
          <w:color w:val="auto"/>
        </w:rPr>
      </w:pPr>
    </w:p>
    <w:p>
      <w:pPr>
        <w:ind w:left="400" w:right="100" w:firstLine="237"/>
        <w:spacing w:after="0" w:line="268" w:lineRule="auto"/>
        <w:tabs>
          <w:tab w:leader="none" w:pos="8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primarily include travel and entertainment costs and other direct pass-through expenses related to client contracts for the Company’s direct marketing business.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p>
      <w:pPr>
        <w:spacing w:after="0" w:line="25" w:lineRule="exact"/>
        <w:rPr>
          <w:sz w:val="20"/>
          <w:szCs w:val="20"/>
          <w:color w:val="auto"/>
        </w:rPr>
      </w:pPr>
    </w:p>
    <w:tbl>
      <w:tblPr>
        <w:tblLayout w:type="fixed"/>
        <w:tblInd w:w="400" w:type="dxa"/>
        <w:tblCellMar>
          <w:top w:w="0" w:type="dxa"/>
          <w:left w:w="0" w:type="dxa"/>
          <w:bottom w:w="0" w:type="dxa"/>
          <w:right w:w="0" w:type="dxa"/>
        </w:tblCellMar>
      </w:tblPr>
      <w:tr>
        <w:trPr>
          <w:trHeight w:val="143"/>
        </w:trPr>
        <w:tc>
          <w:tcPr>
            <w:tcW w:w="46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Healthcare and</w:t>
            </w:r>
          </w:p>
        </w:tc>
        <w:tc>
          <w:tcPr>
            <w:tcW w:w="16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gridSpan w:val="2"/>
            <w:shd w:val="clear" w:color="auto" w:fill="CCEEFF"/>
          </w:tcPr>
          <w:p>
            <w:pPr>
              <w:jc w:val="center"/>
              <w:ind w:right="260"/>
              <w:spacing w:after="0" w:line="143" w:lineRule="exact"/>
              <w:rPr>
                <w:sz w:val="20"/>
                <w:szCs w:val="20"/>
                <w:color w:val="auto"/>
              </w:rPr>
            </w:pPr>
            <w:r>
              <w:rPr>
                <w:rFonts w:ascii="Times New Roman" w:cs="Times New Roman" w:eastAsia="Times New Roman" w:hAnsi="Times New Roman"/>
                <w:sz w:val="15"/>
                <w:szCs w:val="15"/>
                <w:b w:val="1"/>
                <w:bCs w:val="1"/>
                <w:color w:val="auto"/>
                <w:w w:val="98"/>
              </w:rPr>
              <w:t>Banking, Capital</w:t>
            </w:r>
          </w:p>
        </w:tc>
        <w:tc>
          <w:tcPr>
            <w:tcW w:w="14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International</w:t>
            </w:r>
          </w:p>
        </w:tc>
        <w:tc>
          <w:tcPr>
            <w:tcW w:w="2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46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80" w:type="dxa"/>
            <w:vAlign w:val="bottom"/>
            <w:gridSpan w:val="2"/>
            <w:vMerge w:val="restart"/>
            <w:shd w:val="clear" w:color="auto" w:fill="CCEEFF"/>
          </w:tcPr>
          <w:p>
            <w:pPr>
              <w:ind w:left="40"/>
              <w:spacing w:after="0" w:line="150" w:lineRule="exact"/>
              <w:rPr>
                <w:sz w:val="20"/>
                <w:szCs w:val="20"/>
                <w:color w:val="auto"/>
              </w:rPr>
            </w:pPr>
            <w:r>
              <w:rPr>
                <w:rFonts w:ascii="Times New Roman" w:cs="Times New Roman" w:eastAsia="Times New Roman" w:hAnsi="Times New Roman"/>
                <w:sz w:val="15"/>
                <w:szCs w:val="15"/>
                <w:b w:val="1"/>
                <w:bCs w:val="1"/>
                <w:color w:val="auto"/>
              </w:rPr>
              <w:t>Insurance</w:t>
            </w:r>
          </w:p>
        </w:tc>
        <w:tc>
          <w:tcPr>
            <w:tcW w:w="120" w:type="dxa"/>
            <w:vAlign w:val="bottom"/>
            <w:shd w:val="clear" w:color="auto" w:fill="CCEEFF"/>
          </w:tcPr>
          <w:p>
            <w:pPr>
              <w:spacing w:after="0"/>
              <w:rPr>
                <w:sz w:val="5"/>
                <w:szCs w:val="5"/>
                <w:color w:val="auto"/>
              </w:rPr>
            </w:pPr>
          </w:p>
        </w:tc>
        <w:tc>
          <w:tcPr>
            <w:tcW w:w="124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20" w:type="dxa"/>
            <w:vAlign w:val="bottom"/>
            <w:gridSpan w:val="2"/>
            <w:vMerge w:val="restart"/>
            <w:shd w:val="clear" w:color="auto" w:fill="CCEEFF"/>
          </w:tcPr>
          <w:p>
            <w:pPr>
              <w:jc w:val="center"/>
              <w:ind w:right="240"/>
              <w:spacing w:after="0" w:line="150" w:lineRule="exact"/>
              <w:rPr>
                <w:sz w:val="20"/>
                <w:szCs w:val="20"/>
                <w:color w:val="auto"/>
              </w:rPr>
            </w:pPr>
            <w:r>
              <w:rPr>
                <w:rFonts w:ascii="Times New Roman" w:cs="Times New Roman" w:eastAsia="Times New Roman" w:hAnsi="Times New Roman"/>
                <w:sz w:val="15"/>
                <w:szCs w:val="15"/>
                <w:b w:val="1"/>
                <w:bCs w:val="1"/>
                <w:color w:val="auto"/>
                <w:w w:val="99"/>
              </w:rPr>
              <w:t>Markets and</w:t>
            </w:r>
          </w:p>
        </w:tc>
        <w:tc>
          <w:tcPr>
            <w:tcW w:w="14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20" w:type="dxa"/>
            <w:vAlign w:val="bottom"/>
            <w:vMerge w:val="restart"/>
            <w:shd w:val="clear" w:color="auto" w:fill="CCEEFF"/>
          </w:tcPr>
          <w:p>
            <w:pPr>
              <w:jc w:val="right"/>
              <w:ind w:right="134"/>
              <w:spacing w:after="0" w:line="150"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84"/>
        </w:trPr>
        <w:tc>
          <w:tcPr>
            <w:tcW w:w="46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8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Life Sciences</w:t>
            </w:r>
          </w:p>
        </w:tc>
        <w:tc>
          <w:tcPr>
            <w:tcW w:w="160" w:type="dxa"/>
            <w:vAlign w:val="bottom"/>
            <w:shd w:val="clear" w:color="auto" w:fill="CCEEFF"/>
          </w:tcPr>
          <w:p>
            <w:pPr>
              <w:spacing w:after="0"/>
              <w:rPr>
                <w:sz w:val="7"/>
                <w:szCs w:val="7"/>
                <w:color w:val="auto"/>
              </w:rPr>
            </w:pPr>
          </w:p>
        </w:tc>
        <w:tc>
          <w:tcPr>
            <w:tcW w:w="1420" w:type="dxa"/>
            <w:vAlign w:val="bottom"/>
            <w:gridSpan w:val="2"/>
            <w:vMerge w:val="continue"/>
            <w:shd w:val="clear" w:color="auto" w:fill="CCEEFF"/>
          </w:tcPr>
          <w:p>
            <w:pPr>
              <w:spacing w:after="0"/>
              <w:rPr>
                <w:sz w:val="7"/>
                <w:szCs w:val="7"/>
                <w:color w:val="auto"/>
              </w:rPr>
            </w:pPr>
          </w:p>
        </w:tc>
        <w:tc>
          <w:tcPr>
            <w:tcW w:w="1280" w:type="dxa"/>
            <w:vAlign w:val="bottom"/>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Growth Markets</w:t>
            </w:r>
          </w:p>
        </w:tc>
        <w:tc>
          <w:tcPr>
            <w:tcW w:w="24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40" w:type="dxa"/>
            <w:vAlign w:val="bottom"/>
            <w:gridSpan w:val="2"/>
            <w:vMerge w:val="continue"/>
            <w:shd w:val="clear" w:color="auto" w:fill="CCEEFF"/>
          </w:tcPr>
          <w:p>
            <w:pPr>
              <w:spacing w:after="0"/>
              <w:rPr>
                <w:sz w:val="9"/>
                <w:szCs w:val="9"/>
                <w:color w:val="auto"/>
              </w:rPr>
            </w:pPr>
          </w:p>
        </w:tc>
        <w:tc>
          <w:tcPr>
            <w:tcW w:w="1580" w:type="dxa"/>
            <w:vAlign w:val="bottom"/>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Diversified Industries</w:t>
            </w:r>
          </w:p>
        </w:tc>
        <w:tc>
          <w:tcPr>
            <w:tcW w:w="1280" w:type="dxa"/>
            <w:vAlign w:val="bottom"/>
            <w:gridSpan w:val="3"/>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46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80" w:type="dxa"/>
            <w:vAlign w:val="bottom"/>
            <w:gridSpan w:val="3"/>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 net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483,142</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317,970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316,126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239,708</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1,356,94</w:t>
            </w:r>
          </w:p>
        </w:tc>
        <w:tc>
          <w:tcPr>
            <w:tcW w:w="0" w:type="dxa"/>
            <w:vAlign w:val="bottom"/>
          </w:tcPr>
          <w:p>
            <w:pPr>
              <w:spacing w:after="0"/>
              <w:rPr>
                <w:sz w:val="1"/>
                <w:szCs w:val="1"/>
                <w:color w:val="auto"/>
              </w:rPr>
            </w:pPr>
          </w:p>
        </w:tc>
      </w:tr>
      <w:tr>
        <w:trPr>
          <w:trHeight w:val="224"/>
        </w:trPr>
        <w:tc>
          <w:tcPr>
            <w:tcW w:w="462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7"/>
                <w:szCs w:val="17"/>
                <w:color w:val="auto"/>
              </w:rPr>
              <w:t xml:space="preserve">Cost of revenues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Employee costs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701,42</w:t>
            </w:r>
          </w:p>
        </w:tc>
        <w:tc>
          <w:tcPr>
            <w:tcW w:w="0" w:type="dxa"/>
            <w:vAlign w:val="bottom"/>
          </w:tcPr>
          <w:p>
            <w:pPr>
              <w:spacing w:after="0"/>
              <w:rPr>
                <w:sz w:val="1"/>
                <w:szCs w:val="1"/>
                <w:color w:val="auto"/>
              </w:rPr>
            </w:pPr>
          </w:p>
        </w:tc>
      </w:tr>
      <w:tr>
        <w:trPr>
          <w:trHeight w:val="224"/>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Infrastructure and technology costs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93,98</w:t>
            </w:r>
          </w:p>
        </w:tc>
        <w:tc>
          <w:tcPr>
            <w:tcW w:w="0" w:type="dxa"/>
            <w:vAlign w:val="bottom"/>
          </w:tcPr>
          <w:p>
            <w:pPr>
              <w:spacing w:after="0"/>
              <w:rPr>
                <w:sz w:val="1"/>
                <w:szCs w:val="1"/>
                <w:color w:val="auto"/>
              </w:rPr>
            </w:pPr>
          </w:p>
        </w:tc>
      </w:tr>
      <w:tr>
        <w:trPr>
          <w:trHeight w:val="224"/>
        </w:trPr>
        <w:tc>
          <w:tcPr>
            <w:tcW w:w="4620" w:type="dxa"/>
            <w:vAlign w:val="bottom"/>
            <w:tcBorders>
              <w:bottom w:val="single" w:sz="8" w:color="CCEEFF"/>
            </w:tcBorders>
          </w:tcPr>
          <w:p>
            <w:pPr>
              <w:ind w:left="140"/>
              <w:spacing w:after="0" w:line="224" w:lineRule="exact"/>
              <w:rPr>
                <w:sz w:val="20"/>
                <w:szCs w:val="20"/>
                <w:color w:val="auto"/>
              </w:rPr>
            </w:pPr>
            <w:r>
              <w:rPr>
                <w:rFonts w:ascii="Times New Roman" w:cs="Times New Roman" w:eastAsia="Times New Roman" w:hAnsi="Times New Roman"/>
                <w:sz w:val="17"/>
                <w:szCs w:val="17"/>
                <w:color w:val="auto"/>
              </w:rPr>
              <w:t xml:space="preserve">Other costs </w:t>
            </w:r>
            <w:r>
              <w:rPr>
                <w:rFonts w:ascii="Times New Roman" w:cs="Times New Roman" w:eastAsia="Times New Roman" w:hAnsi="Times New Roman"/>
                <w:sz w:val="21"/>
                <w:szCs w:val="21"/>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0" w:type="dxa"/>
            <w:vAlign w:val="bottom"/>
          </w:tcPr>
          <w:p>
            <w:pPr>
              <w:spacing w:after="0"/>
              <w:rPr>
                <w:sz w:val="1"/>
                <w:szCs w:val="1"/>
                <w:color w:val="auto"/>
              </w:rPr>
            </w:pPr>
          </w:p>
        </w:tc>
      </w:tr>
      <w:tr>
        <w:trPr>
          <w:trHeight w:val="242"/>
        </w:trPr>
        <w:tc>
          <w:tcPr>
            <w:tcW w:w="4620" w:type="dxa"/>
            <w:vAlign w:val="bottom"/>
            <w:tcBorders>
              <w:bottom w:val="single" w:sz="8" w:color="CCEEFF"/>
            </w:tcBorders>
            <w:shd w:val="clear" w:color="auto" w:fill="CCEEFF"/>
          </w:tcPr>
          <w:p>
            <w:pPr>
              <w:ind w:left="20"/>
              <w:spacing w:after="0" w:line="217" w:lineRule="exact"/>
              <w:rPr>
                <w:sz w:val="20"/>
                <w:szCs w:val="20"/>
                <w:color w:val="auto"/>
              </w:rPr>
            </w:pPr>
            <w:r>
              <w:rPr>
                <w:rFonts w:ascii="Times New Roman" w:cs="Times New Roman" w:eastAsia="Times New Roman" w:hAnsi="Times New Roman"/>
                <w:sz w:val="17"/>
                <w:szCs w:val="17"/>
                <w:color w:val="auto"/>
              </w:rPr>
              <w:t xml:space="preserve">Gross profit </w:t>
            </w:r>
            <w:r>
              <w:rPr>
                <w:rFonts w:ascii="Times New Roman" w:cs="Times New Roman" w:eastAsia="Times New Roman" w:hAnsi="Times New Roman"/>
                <w:sz w:val="21"/>
                <w:szCs w:val="21"/>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167,252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315,23</w:t>
            </w:r>
          </w:p>
        </w:tc>
        <w:tc>
          <w:tcPr>
            <w:tcW w:w="0" w:type="dxa"/>
            <w:vAlign w:val="bottom"/>
          </w:tcPr>
          <w:p>
            <w:pPr>
              <w:spacing w:after="0"/>
              <w:rPr>
                <w:sz w:val="1"/>
                <w:szCs w:val="1"/>
                <w:color w:val="auto"/>
              </w:rPr>
            </w:pPr>
          </w:p>
        </w:tc>
      </w:tr>
      <w:tr>
        <w:trPr>
          <w:trHeight w:val="21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192,37</w:t>
            </w:r>
          </w:p>
        </w:tc>
        <w:tc>
          <w:tcPr>
            <w:tcW w:w="0" w:type="dxa"/>
            <w:vAlign w:val="bottom"/>
          </w:tcPr>
          <w:p>
            <w:pPr>
              <w:spacing w:after="0"/>
              <w:rPr>
                <w:sz w:val="1"/>
                <w:szCs w:val="1"/>
                <w:color w:val="auto"/>
              </w:rPr>
            </w:pPr>
          </w:p>
        </w:tc>
      </w:tr>
      <w:tr>
        <w:trPr>
          <w:trHeight w:val="224"/>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 exchange gain, net, interest expense and other income, net</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143"/>
        </w:trPr>
        <w:tc>
          <w:tcPr>
            <w:tcW w:w="46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Income before income tax expense and earnings from equity</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190,78</w:t>
            </w:r>
          </w:p>
        </w:tc>
        <w:tc>
          <w:tcPr>
            <w:tcW w:w="0" w:type="dxa"/>
            <w:vAlign w:val="bottom"/>
          </w:tcPr>
          <w:p>
            <w:pPr>
              <w:spacing w:after="0"/>
              <w:rPr>
                <w:sz w:val="1"/>
                <w:szCs w:val="1"/>
                <w:color w:val="auto"/>
              </w:rPr>
            </w:pPr>
          </w:p>
        </w:tc>
      </w:tr>
      <w:tr>
        <w:trPr>
          <w:trHeight w:val="213"/>
        </w:trPr>
        <w:tc>
          <w:tcPr>
            <w:tcW w:w="4620" w:type="dxa"/>
            <w:vAlign w:val="bottom"/>
            <w:tcBorders>
              <w:bottom w:val="single" w:sz="8" w:color="CCEEFF"/>
            </w:tcBorders>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color w:val="auto"/>
              </w:rPr>
              <w:t>affiliates</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ind w:left="880" w:hanging="243"/>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of depreciation and amortization expense.</w:t>
      </w:r>
    </w:p>
    <w:p>
      <w:pPr>
        <w:spacing w:after="0" w:line="240" w:lineRule="exact"/>
        <w:rPr>
          <w:rFonts w:ascii="Times New Roman" w:cs="Times New Roman" w:eastAsia="Times New Roman" w:hAnsi="Times New Roman"/>
          <w:sz w:val="18"/>
          <w:szCs w:val="18"/>
          <w:color w:val="auto"/>
        </w:rPr>
      </w:pPr>
    </w:p>
    <w:p>
      <w:pPr>
        <w:ind w:left="400" w:right="100" w:firstLine="237"/>
        <w:spacing w:after="0" w:line="268" w:lineRule="auto"/>
        <w:tabs>
          <w:tab w:leader="none" w:pos="8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primarily include travel and entertainment costs and other direct pass-through expenses related to client contracts for the Company’s direct marketing business.</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Revenues, net by service type, were as follows:</w:t>
      </w:r>
    </w:p>
    <w:p>
      <w:pPr>
        <w:spacing w:after="0" w:line="37"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20" w:type="dxa"/>
            <w:vAlign w:val="bottom"/>
            <w:gridSpan w:val="4"/>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49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49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Data and AI-led </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845,169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722,743</w:t>
            </w:r>
          </w:p>
        </w:tc>
      </w:tr>
      <w:tr>
        <w:trPr>
          <w:trHeight w:val="224"/>
        </w:trPr>
        <w:tc>
          <w:tcPr>
            <w:tcW w:w="490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Digital operations </w:t>
            </w:r>
            <w:r>
              <w:rPr>
                <w:rFonts w:ascii="Times New Roman" w:cs="Times New Roman" w:eastAsia="Times New Roman" w:hAnsi="Times New Roman"/>
                <w:sz w:val="22"/>
                <w:szCs w:val="22"/>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699,895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634,203</w:t>
            </w:r>
          </w:p>
        </w:tc>
      </w:tr>
      <w:tr>
        <w:trPr>
          <w:trHeight w:val="242"/>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529,585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472,073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1,545,064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1,356,946</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76" w:lineRule="exact"/>
        <w:rPr>
          <w:sz w:val="20"/>
          <w:szCs w:val="20"/>
          <w:color w:val="auto"/>
        </w:rPr>
      </w:pPr>
    </w:p>
    <w:p>
      <w:pPr>
        <w:jc w:val="both"/>
        <w:ind w:right="100" w:firstLine="637"/>
        <w:spacing w:after="0" w:line="276" w:lineRule="auto"/>
        <w:tabs>
          <w:tab w:leader="none" w:pos="90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Data and AI-led revenue comes from AI-powered solutions and services in which the Company embeds data and AI into client workflows. Leveraging the Company’s depth of domain knowledge, analytics, data management and digital engineering expertise, the Company’s industry-specific offerings are designed to help clients accelerate growth, improve customer experience, enhance efficiency, and deliver lasting competitive advantages. As clients evolve from digital operations to data and AI-powered operations and outcomes, these capabilities represent the next stage of enterprise transformation.</w:t>
      </w:r>
    </w:p>
    <w:p>
      <w:pPr>
        <w:spacing w:after="0" w:line="180" w:lineRule="exact"/>
        <w:rPr>
          <w:rFonts w:ascii="Times New Roman" w:cs="Times New Roman" w:eastAsia="Times New Roman" w:hAnsi="Times New Roman"/>
          <w:sz w:val="16"/>
          <w:szCs w:val="16"/>
          <w:color w:val="auto"/>
        </w:rPr>
      </w:pPr>
    </w:p>
    <w:p>
      <w:pPr>
        <w:jc w:val="both"/>
        <w:ind w:right="100" w:firstLine="637"/>
        <w:spacing w:after="0" w:line="234" w:lineRule="auto"/>
        <w:tabs>
          <w:tab w:leader="none" w:pos="8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operations revenue comes from the Company’s industry-specific solutions and services that help clients run essential business functions with greater speed, accuracy, and efficiency. The Company applies deep industry expertise and tailored technology—whether its proprietary technology or client technology—to solve complex challenges and drive measurable outcomes. These digital operations deployments form the foundation for future client transformation opportunities to infuse AI into client workflows and unlock even greater value.</w:t>
      </w:r>
    </w:p>
    <w:p>
      <w:pPr>
        <w:spacing w:after="0" w:line="2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All four reportable segments of the Company include revenues from both data and AI-led and digital operations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3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attributes revenues based on geographical markets where the customer operations being served by it are located.</w:t>
      </w:r>
    </w:p>
    <w:p>
      <w:pPr>
        <w:spacing w:after="0" w:line="37"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4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520" w:type="dxa"/>
            <w:vAlign w:val="bottom"/>
            <w:gridSpan w:val="4"/>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7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net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436,865</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385,914</w:t>
            </w:r>
          </w:p>
        </w:tc>
        <w:tc>
          <w:tcPr>
            <w:tcW w:w="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1,275,036</w:t>
            </w: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1,117,238</w:t>
            </w:r>
          </w:p>
        </w:tc>
        <w:tc>
          <w:tcPr>
            <w:tcW w:w="0" w:type="dxa"/>
            <w:vAlign w:val="bottom"/>
          </w:tcPr>
          <w:p>
            <w:pPr>
              <w:spacing w:after="0"/>
              <w:rPr>
                <w:sz w:val="1"/>
                <w:szCs w:val="1"/>
                <w:color w:val="auto"/>
              </w:rPr>
            </w:pPr>
          </w:p>
        </w:tc>
      </w:tr>
      <w:tr>
        <w:trPr>
          <w:trHeight w:val="224"/>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 &amp; Europe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228,999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201,269</w:t>
            </w:r>
          </w:p>
        </w:tc>
        <w:tc>
          <w:tcPr>
            <w:tcW w:w="0" w:type="dxa"/>
            <w:vAlign w:val="bottom"/>
          </w:tcPr>
          <w:p>
            <w:pPr>
              <w:spacing w:after="0"/>
              <w:rPr>
                <w:sz w:val="1"/>
                <w:szCs w:val="1"/>
                <w:color w:val="auto"/>
              </w:rPr>
            </w:pPr>
          </w:p>
        </w:tc>
      </w:tr>
      <w:tr>
        <w:trPr>
          <w:trHeight w:val="224"/>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41,029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38,439</w:t>
            </w:r>
          </w:p>
        </w:tc>
        <w:tc>
          <w:tcPr>
            <w:tcW w:w="0" w:type="dxa"/>
            <w:vAlign w:val="bottom"/>
          </w:tcPr>
          <w:p>
            <w:pPr>
              <w:spacing w:after="0"/>
              <w:rPr>
                <w:sz w:val="1"/>
                <w:szCs w:val="1"/>
                <w:color w:val="auto"/>
              </w:rPr>
            </w:pPr>
          </w:p>
        </w:tc>
      </w:tr>
      <w:tr>
        <w:trPr>
          <w:trHeight w:val="242"/>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529,585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472,073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1,545,064</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1,356,946</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Revenues, net by industry verticals, were as follows: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4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7"/>
                <w:szCs w:val="17"/>
                <w:color w:val="auto"/>
              </w:rPr>
            </w:pPr>
          </w:p>
        </w:tc>
        <w:tc>
          <w:tcPr>
            <w:tcW w:w="2520" w:type="dxa"/>
            <w:vAlign w:val="bottom"/>
            <w:gridSpan w:val="4"/>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7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197,045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565,764</w:t>
            </w:r>
          </w:p>
        </w:tc>
        <w:tc>
          <w:tcPr>
            <w:tcW w:w="0" w:type="dxa"/>
            <w:vAlign w:val="bottom"/>
          </w:tcPr>
          <w:p>
            <w:pPr>
              <w:spacing w:after="0"/>
              <w:rPr>
                <w:sz w:val="1"/>
                <w:szCs w:val="1"/>
                <w:color w:val="auto"/>
              </w:rPr>
            </w:pPr>
          </w:p>
        </w:tc>
      </w:tr>
      <w:tr>
        <w:trPr>
          <w:trHeight w:val="22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 and Life Sciences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111,496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391,066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318,834</w:t>
            </w:r>
          </w:p>
        </w:tc>
        <w:tc>
          <w:tcPr>
            <w:tcW w:w="0" w:type="dxa"/>
            <w:vAlign w:val="bottom"/>
          </w:tcPr>
          <w:p>
            <w:pPr>
              <w:spacing w:after="0"/>
              <w:rPr>
                <w:sz w:val="1"/>
                <w:szCs w:val="1"/>
                <w:color w:val="auto"/>
              </w:rPr>
            </w:pPr>
          </w:p>
        </w:tc>
      </w:tr>
      <w:tr>
        <w:trPr>
          <w:trHeight w:val="224"/>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Banking, Capital Markets and Diversified Industries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182,935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163,532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539,268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472,348</w:t>
            </w:r>
          </w:p>
        </w:tc>
        <w:tc>
          <w:tcPr>
            <w:tcW w:w="0" w:type="dxa"/>
            <w:vAlign w:val="bottom"/>
          </w:tcPr>
          <w:p>
            <w:pPr>
              <w:spacing w:after="0"/>
              <w:rPr>
                <w:sz w:val="1"/>
                <w:szCs w:val="1"/>
                <w:color w:val="auto"/>
              </w:rPr>
            </w:pPr>
          </w:p>
        </w:tc>
      </w:tr>
      <w:tr>
        <w:trPr>
          <w:trHeight w:val="21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529,585</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472,073</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1,545,064</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1,356,946</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Long-lived assets by geographic area, which consist of property and equipment, net and operating lease ROU assets were as follows:</w:t>
      </w:r>
    </w:p>
    <w:p>
      <w:pPr>
        <w:spacing w:after="0" w:line="37"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0" w:type="dxa"/>
            <w:vAlign w:val="bottom"/>
          </w:tcPr>
          <w:p>
            <w:pPr>
              <w:spacing w:after="0"/>
              <w:rPr>
                <w:sz w:val="16"/>
                <w:szCs w:val="16"/>
                <w:color w:val="auto"/>
              </w:rPr>
            </w:pPr>
          </w:p>
        </w:tc>
      </w:tr>
      <w:tr>
        <w:trPr>
          <w:trHeight w:val="24"/>
        </w:trPr>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84"/>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40" w:type="dxa"/>
            <w:vAlign w:val="bottom"/>
          </w:tcPr>
          <w:p>
            <w:pPr>
              <w:spacing w:after="0"/>
              <w:rPr>
                <w:sz w:val="16"/>
                <w:szCs w:val="16"/>
                <w:color w:val="auto"/>
              </w:rPr>
            </w:pPr>
          </w:p>
        </w:tc>
        <w:tc>
          <w:tcPr>
            <w:tcW w:w="16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2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2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64,094</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63,040</w:t>
            </w:r>
          </w:p>
        </w:tc>
      </w:tr>
      <w:tr>
        <w:trPr>
          <w:trHeight w:val="22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52,510</w:t>
            </w:r>
          </w:p>
        </w:tc>
      </w:tr>
      <w:tr>
        <w:trPr>
          <w:trHeight w:val="22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Philippines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25,881</w:t>
            </w:r>
          </w:p>
        </w:tc>
      </w:tr>
      <w:tr>
        <w:trPr>
          <w:trHeight w:val="22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Africa</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23,828</w:t>
            </w:r>
          </w:p>
        </w:tc>
      </w:tr>
      <w:tr>
        <w:trPr>
          <w:trHeight w:val="224"/>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5,362</w:t>
            </w:r>
          </w:p>
        </w:tc>
      </w:tr>
      <w:tr>
        <w:trPr>
          <w:trHeight w:val="242"/>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170,621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Revenues, net and Accounts Receivable, net</w:t>
      </w:r>
    </w:p>
    <w:p>
      <w:pPr>
        <w:spacing w:after="0" w:line="229" w:lineRule="exact"/>
        <w:rPr>
          <w:sz w:val="20"/>
          <w:szCs w:val="20"/>
          <w:color w:val="auto"/>
        </w:rPr>
      </w:pPr>
    </w:p>
    <w:p>
      <w:pPr>
        <w:ind w:firstLine="395"/>
        <w:spacing w:after="0" w:line="239" w:lineRule="auto"/>
        <w:rPr>
          <w:sz w:val="20"/>
          <w:szCs w:val="20"/>
          <w:color w:val="auto"/>
        </w:rPr>
      </w:pPr>
      <w:r>
        <w:rPr>
          <w:rFonts w:ascii="Times New Roman" w:cs="Times New Roman" w:eastAsia="Times New Roman" w:hAnsi="Times New Roman"/>
          <w:sz w:val="18"/>
          <w:szCs w:val="18"/>
          <w:color w:val="auto"/>
        </w:rPr>
        <w:t>Refer to Note 3 - Segment Information to the unaudited consolidated financial statements for revenues disaggregated by reportable segments, service type, geography and industry verticals.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contract assets and contract liabilities from contracts with customers:</w:t>
      </w:r>
    </w:p>
    <w:p>
      <w:pPr>
        <w:spacing w:after="0" w:line="45"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6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00" w:type="dxa"/>
            <w:vAlign w:val="bottom"/>
            <w:tcBorders>
              <w:bottom w:val="single" w:sz="8" w:color="auto"/>
            </w:tcBorders>
          </w:tcPr>
          <w:p>
            <w:pPr>
              <w:spacing w:after="0"/>
              <w:rPr>
                <w:sz w:val="18"/>
                <w:szCs w:val="18"/>
                <w:color w:val="auto"/>
              </w:rPr>
            </w:pPr>
          </w:p>
        </w:tc>
      </w:tr>
      <w:tr>
        <w:trPr>
          <w:trHeight w:val="205"/>
        </w:trPr>
        <w:tc>
          <w:tcPr>
            <w:tcW w:w="6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0" w:type="dxa"/>
            <w:vAlign w:val="bottom"/>
          </w:tcPr>
          <w:p>
            <w:pPr>
              <w:spacing w:after="0"/>
              <w:rPr>
                <w:sz w:val="17"/>
                <w:szCs w:val="17"/>
                <w:color w:val="auto"/>
              </w:rPr>
            </w:pPr>
          </w:p>
        </w:tc>
        <w:tc>
          <w:tcPr>
            <w:tcW w:w="16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8"/>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351,426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304,322</w:t>
            </w:r>
          </w:p>
        </w:tc>
      </w:tr>
      <w:tr>
        <w:trPr>
          <w:trHeight w:val="22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39,700</w:t>
            </w:r>
          </w:p>
        </w:tc>
      </w:tr>
      <w:tr>
        <w:trPr>
          <w:trHeight w:val="224"/>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4"/>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 (consideration received in advance)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15,484</w:t>
            </w:r>
          </w:p>
        </w:tc>
      </w:tr>
      <w:tr>
        <w:trPr>
          <w:trHeight w:val="224"/>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Consideration received for process transition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60"/>
          </w:cols>
          <w:pgMar w:left="320" w:top="119" w:right="7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352" w:lineRule="exact"/>
        <w:rPr>
          <w:sz w:val="20"/>
          <w:szCs w:val="20"/>
          <w:color w:val="auto"/>
        </w:rPr>
      </w:pPr>
    </w:p>
    <w:p>
      <w:pPr>
        <w:jc w:val="both"/>
        <w:ind w:firstLine="395"/>
        <w:spacing w:after="0" w:line="237" w:lineRule="auto"/>
        <w:rPr>
          <w:sz w:val="20"/>
          <w:szCs w:val="20"/>
          <w:color w:val="auto"/>
        </w:rPr>
      </w:pPr>
      <w:r>
        <w:rPr>
          <w:rFonts w:ascii="Times New Roman" w:cs="Times New Roman" w:eastAsia="Times New Roman" w:hAnsi="Times New Roman"/>
          <w:sz w:val="18"/>
          <w:szCs w:val="18"/>
          <w:color w:val="auto"/>
        </w:rPr>
        <w:t>Accounts receivable includes $147,896 and $121,817 as of September 30, 2025 and December 31, 2024, respectively, representing unbilled receivables. The Company has accrued the unbilled receivables for work performed in accordance with the terms of contracts with customers and considers no performance risk associated with its unbilled receivables. Contract assets as of September 30, 2025 and December 31, 2024, includes receivables of $25,863 and $33,472, respectively, from our payment integrity services. There are no performance risks associated with these contract assets.</w:t>
      </w:r>
    </w:p>
    <w:p>
      <w:pPr>
        <w:spacing w:after="0" w:line="2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were no significant cumulative catch-up impact or impairment related to contract assets as of September 30, 2025 and December 31, 2024.</w:t>
      </w:r>
    </w:p>
    <w:p>
      <w:pPr>
        <w:spacing w:after="0" w:line="227"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Revenue recognized during the three and nine months ended September 30, 2025 and 2024, which was included in the contract liabilities balance at the beginning of the respective periods:</w:t>
      </w:r>
    </w:p>
    <w:tbl>
      <w:tblPr>
        <w:tblLayout w:type="fixed"/>
        <w:tblInd w:w="40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0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46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(consideration received in advance)</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9,095</w:t>
            </w:r>
          </w:p>
        </w:tc>
      </w:tr>
      <w:tr>
        <w:trPr>
          <w:trHeight w:val="22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Consideration received for process transition activities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 acquisition and fulfillment costs</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details of the Company’s contract acquisition and fulfillment costs:</w:t>
      </w:r>
    </w:p>
    <w:p>
      <w:pPr>
        <w:spacing w:after="0" w:line="32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b w:val="1"/>
          <w:bCs w:val="1"/>
          <w:color w:val="auto"/>
        </w:rPr>
        <w:t>Contract Acquisition Costs</w:t>
      </w:r>
    </w:p>
    <w:p>
      <w:pPr>
        <w:spacing w:after="0" w:line="25" w:lineRule="exact"/>
        <w:rPr>
          <w:sz w:val="20"/>
          <w:szCs w:val="20"/>
          <w:color w:val="auto"/>
        </w:rPr>
      </w:pPr>
    </w:p>
    <w:tbl>
      <w:tblPr>
        <w:tblLayout w:type="fixed"/>
        <w:tblInd w:w="400" w:type="dxa"/>
        <w:tblCellMar>
          <w:top w:w="0" w:type="dxa"/>
          <w:left w:w="0" w:type="dxa"/>
          <w:bottom w:w="0" w:type="dxa"/>
          <w:right w:w="0" w:type="dxa"/>
        </w:tblCellMar>
      </w:tblPr>
      <w:tr>
        <w:trPr>
          <w:trHeight w:val="200"/>
        </w:trPr>
        <w:tc>
          <w:tcPr>
            <w:tcW w:w="4200" w:type="dxa"/>
            <w:vAlign w:val="bottom"/>
          </w:tcPr>
          <w:p>
            <w:pPr>
              <w:spacing w:after="0"/>
              <w:rPr>
                <w:sz w:val="17"/>
                <w:szCs w:val="17"/>
                <w:color w:val="auto"/>
              </w:rPr>
            </w:pPr>
          </w:p>
        </w:tc>
        <w:tc>
          <w:tcPr>
            <w:tcW w:w="2960" w:type="dxa"/>
            <w:vAlign w:val="bottom"/>
            <w:tcBorders>
              <w:top w:val="single" w:sz="8" w:color="auto"/>
            </w:tcBorders>
            <w:gridSpan w:val="8"/>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0" w:type="dxa"/>
            <w:vAlign w:val="bottom"/>
            <w:tcBorders>
              <w:top w:val="single" w:sz="8" w:color="auto"/>
            </w:tcBorders>
            <w:gridSpan w:val="7"/>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1"/>
        </w:trPr>
        <w:tc>
          <w:tcPr>
            <w:tcW w:w="420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CCEEFF"/>
            </w:tcBorders>
          </w:tcPr>
          <w:p>
            <w:pPr>
              <w:spacing w:after="0"/>
              <w:rPr>
                <w:sz w:val="16"/>
                <w:szCs w:val="16"/>
                <w:color w:val="auto"/>
              </w:rPr>
            </w:pPr>
          </w:p>
        </w:tc>
        <w:tc>
          <w:tcPr>
            <w:tcW w:w="4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6"/>
                <w:szCs w:val="16"/>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balance</w:t>
            </w:r>
          </w:p>
        </w:tc>
        <w:tc>
          <w:tcPr>
            <w:tcW w:w="88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2,192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2,122</w:t>
            </w:r>
          </w:p>
        </w:tc>
      </w:tr>
      <w:tr>
        <w:trPr>
          <w:trHeight w:val="22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377</w:t>
            </w:r>
          </w:p>
        </w:tc>
      </w:tr>
      <w:tr>
        <w:trPr>
          <w:trHeight w:val="22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(721)</w:t>
            </w:r>
          </w:p>
        </w:tc>
      </w:tr>
      <w:tr>
        <w:trPr>
          <w:trHeight w:val="217"/>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 balance</w:t>
            </w:r>
          </w:p>
        </w:tc>
        <w:tc>
          <w:tcPr>
            <w:tcW w:w="88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2,155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1,778</w:t>
            </w:r>
          </w:p>
        </w:tc>
      </w:tr>
      <w:tr>
        <w:trPr>
          <w:trHeight w:val="20"/>
        </w:trPr>
        <w:tc>
          <w:tcPr>
            <w:tcW w:w="4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631"/>
        </w:trPr>
        <w:tc>
          <w:tcPr>
            <w:tcW w:w="42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7"/>
                <w:szCs w:val="17"/>
                <w:b w:val="1"/>
                <w:bCs w:val="1"/>
                <w:color w:val="auto"/>
              </w:rPr>
              <w:t>Contract Fulfillment Costs</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4200" w:type="dxa"/>
            <w:vAlign w:val="bottom"/>
          </w:tcPr>
          <w:p>
            <w:pPr>
              <w:spacing w:after="0"/>
              <w:rPr>
                <w:sz w:val="16"/>
                <w:szCs w:val="16"/>
                <w:color w:val="auto"/>
              </w:rPr>
            </w:pPr>
          </w:p>
        </w:tc>
        <w:tc>
          <w:tcPr>
            <w:tcW w:w="2960" w:type="dxa"/>
            <w:vAlign w:val="bottom"/>
            <w:gridSpan w:val="8"/>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6"/>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6"/>
                <w:szCs w:val="16"/>
                <w:color w:val="auto"/>
              </w:rPr>
            </w:pPr>
          </w:p>
        </w:tc>
      </w:tr>
      <w:tr>
        <w:trPr>
          <w:trHeight w:val="191"/>
        </w:trPr>
        <w:tc>
          <w:tcPr>
            <w:tcW w:w="420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CCEEFF"/>
            </w:tcBorders>
          </w:tcPr>
          <w:p>
            <w:pPr>
              <w:spacing w:after="0"/>
              <w:rPr>
                <w:sz w:val="16"/>
                <w:szCs w:val="16"/>
                <w:color w:val="auto"/>
              </w:rPr>
            </w:pPr>
          </w:p>
        </w:tc>
        <w:tc>
          <w:tcPr>
            <w:tcW w:w="60" w:type="dxa"/>
            <w:vAlign w:val="bottom"/>
            <w:tcBorders>
              <w:top w:val="single" w:sz="8" w:color="auto"/>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balance</w:t>
            </w:r>
          </w:p>
        </w:tc>
        <w:tc>
          <w:tcPr>
            <w:tcW w:w="88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38,938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24,673</w:t>
            </w:r>
          </w:p>
        </w:tc>
        <w:tc>
          <w:tcPr>
            <w:tcW w:w="120" w:type="dxa"/>
            <w:vAlign w:val="bottom"/>
          </w:tcPr>
          <w:p>
            <w:pPr>
              <w:spacing w:after="0"/>
              <w:rPr>
                <w:sz w:val="19"/>
                <w:szCs w:val="19"/>
                <w:color w:val="auto"/>
              </w:rPr>
            </w:pPr>
          </w:p>
        </w:tc>
      </w:tr>
      <w:tr>
        <w:trPr>
          <w:trHeight w:val="22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88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10,814</w:t>
            </w:r>
          </w:p>
        </w:tc>
        <w:tc>
          <w:tcPr>
            <w:tcW w:w="120" w:type="dxa"/>
            <w:vAlign w:val="bottom"/>
          </w:tcPr>
          <w:p>
            <w:pPr>
              <w:spacing w:after="0"/>
              <w:rPr>
                <w:sz w:val="19"/>
                <w:szCs w:val="19"/>
                <w:color w:val="auto"/>
              </w:rPr>
            </w:pPr>
          </w:p>
        </w:tc>
      </w:tr>
      <w:tr>
        <w:trPr>
          <w:trHeight w:val="22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8"/>
              </w:rPr>
              <w:t>(2,266)</w:t>
            </w:r>
          </w:p>
        </w:tc>
        <w:tc>
          <w:tcPr>
            <w:tcW w:w="120" w:type="dxa"/>
            <w:vAlign w:val="bottom"/>
          </w:tcPr>
          <w:p>
            <w:pPr>
              <w:spacing w:after="0"/>
              <w:rPr>
                <w:sz w:val="19"/>
                <w:szCs w:val="19"/>
                <w:color w:val="auto"/>
              </w:rPr>
            </w:pPr>
          </w:p>
        </w:tc>
      </w:tr>
      <w:tr>
        <w:trPr>
          <w:trHeight w:val="217"/>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 balance</w:t>
            </w:r>
          </w:p>
        </w:tc>
        <w:tc>
          <w:tcPr>
            <w:tcW w:w="88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39,233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39,233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33,221</w:t>
            </w:r>
          </w:p>
        </w:tc>
        <w:tc>
          <w:tcPr>
            <w:tcW w:w="12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was no significant impairment for contract acquisition and contract fulfillment costs as of September 30, 2025 and December 31, 2024.</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expected credit losses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net of allowance for expected credit losses: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76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40" w:type="dxa"/>
            <w:vAlign w:val="bottom"/>
          </w:tcPr>
          <w:p>
            <w:pPr>
              <w:spacing w:after="0"/>
              <w:rPr>
                <w:sz w:val="17"/>
                <w:szCs w:val="17"/>
                <w:color w:val="auto"/>
              </w:rPr>
            </w:pPr>
          </w:p>
        </w:tc>
        <w:tc>
          <w:tcPr>
            <w:tcW w:w="176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including unbilled receivables</w:t>
            </w:r>
          </w:p>
        </w:tc>
        <w:tc>
          <w:tcPr>
            <w:tcW w:w="18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356,153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307,850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18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Pr>
          <w:p>
            <w:pPr>
              <w:spacing w:after="0"/>
              <w:rPr>
                <w:sz w:val="20"/>
                <w:szCs w:val="20"/>
                <w:color w:val="auto"/>
              </w:rPr>
            </w:pPr>
          </w:p>
        </w:tc>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304,322</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CCEEFF"/>
            </w:tcBorders>
            <w:vMerge w:val="restart"/>
          </w:tcPr>
          <w:p>
            <w:pPr>
              <w:jc w:val="right"/>
              <w:ind w:right="832"/>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4"/>
        </w:trPr>
        <w:tc>
          <w:tcPr>
            <w:tcW w:w="4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0" w:type="dxa"/>
            <w:vAlign w:val="bottom"/>
            <w:tcBorders>
              <w:bottom w:val="single" w:sz="8" w:color="9A9A9A"/>
            </w:tcBorders>
          </w:tcPr>
          <w:p>
            <w:pPr>
              <w:spacing w:after="0"/>
              <w:rPr>
                <w:sz w:val="9"/>
                <w:szCs w:val="9"/>
                <w:color w:val="auto"/>
              </w:rPr>
            </w:pPr>
          </w:p>
        </w:tc>
        <w:tc>
          <w:tcPr>
            <w:tcW w:w="440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movement in “Allowance for expected credit losses” was as follows:</w:t>
      </w:r>
    </w:p>
    <w:p>
      <w:pPr>
        <w:spacing w:after="0" w:line="37"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282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20" w:type="dxa"/>
            <w:vAlign w:val="bottom"/>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2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42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balance</w:t>
            </w:r>
          </w:p>
        </w:tc>
        <w:tc>
          <w:tcPr>
            <w:tcW w:w="84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4,727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w:t>
            </w:r>
          </w:p>
        </w:tc>
      </w:tr>
      <w:tr>
        <w:trPr>
          <w:trHeight w:val="22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 (reductions)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24"/>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due to write-off of accounts receivable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8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Closing balance</w:t>
            </w:r>
          </w:p>
        </w:tc>
        <w:tc>
          <w:tcPr>
            <w:tcW w:w="840" w:type="dxa"/>
            <w:vAlign w:val="bottom"/>
            <w:tcBorders>
              <w:top w:val="single" w:sz="8" w:color="auto"/>
              <w:bottom w:val="single" w:sz="8" w:color="auto"/>
            </w:tcBorders>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4,727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and credit risk concentration</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No single customer accounted for more than 10% of the Company's revenues, net during the three and nine months ended September 30, 2025 and 2024.</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management believes that the loss of any of its top ten clients could have a material adverse effect on its financial performance.</w:t>
      </w:r>
    </w:p>
    <w:p>
      <w:pPr>
        <w:spacing w:after="0" w:line="194"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color w:val="auto"/>
        </w:rPr>
        <w:t>To reduce credit risk, the Company conducts ongoing credit evaluations of its customers. No customer accounted for more than 10% of accounts receivable, net, as of September 30, 2025 and December 31,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300"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480" w:type="dxa"/>
            <w:vAlign w:val="bottom"/>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0"/>
        </w:trPr>
        <w:tc>
          <w:tcPr>
            <w:tcW w:w="4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4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4"/>
        </w:trPr>
        <w:tc>
          <w:tcPr>
            <w:tcW w:w="48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58,161</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53,037</w:t>
            </w:r>
          </w:p>
        </w:tc>
        <w:tc>
          <w:tcPr>
            <w:tcW w:w="8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190,773</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147,625</w:t>
            </w:r>
          </w:p>
        </w:tc>
      </w:tr>
      <w:tr>
        <w:trPr>
          <w:trHeight w:val="224"/>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160,495,712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161,732,872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161,963,152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163,197,767</w:t>
            </w:r>
          </w:p>
        </w:tc>
      </w:tr>
      <w:tr>
        <w:trPr>
          <w:trHeight w:val="224"/>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1,218,774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1,454,861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1,517,901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1,422,314</w:t>
            </w:r>
          </w:p>
        </w:tc>
      </w:tr>
      <w:tr>
        <w:trPr>
          <w:trHeight w:val="217"/>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161,714,486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163,187,733</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163,481,053</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164,620,081</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0"/>
        </w:trPr>
        <w:tc>
          <w:tcPr>
            <w:tcW w:w="482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4"/>
        </w:trPr>
        <w:tc>
          <w:tcPr>
            <w:tcW w:w="4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8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r>
      <w:tr>
        <w:trPr>
          <w:trHeight w:val="224"/>
        </w:trPr>
        <w:tc>
          <w:tcPr>
            <w:tcW w:w="4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r>
      <w:tr>
        <w:trPr>
          <w:trHeight w:val="179"/>
        </w:trPr>
        <w:tc>
          <w:tcPr>
            <w:tcW w:w="482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Weighted average potentially dilutive shares considered anti-</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8"/>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and not included in computing diluted earnings per share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1,448,090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1,790,695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2,762,178</w:t>
            </w:r>
          </w:p>
        </w:tc>
      </w:tr>
    </w:tbl>
    <w:p>
      <w:pPr>
        <w:spacing w:after="0" w:line="153" w:lineRule="exact"/>
        <w:rPr>
          <w:sz w:val="20"/>
          <w:szCs w:val="20"/>
          <w:color w:val="auto"/>
        </w:rPr>
      </w:pPr>
    </w:p>
    <w:p>
      <w:pPr>
        <w:jc w:val="both"/>
        <w:ind w:firstLine="395"/>
        <w:spacing w:after="0" w:line="233" w:lineRule="auto"/>
        <w:rPr>
          <w:sz w:val="20"/>
          <w:szCs w:val="20"/>
          <w:color w:val="auto"/>
        </w:rPr>
      </w:pPr>
      <w:r>
        <w:rPr>
          <w:rFonts w:ascii="Times New Roman" w:cs="Times New Roman" w:eastAsia="Times New Roman" w:hAnsi="Times New Roman"/>
          <w:sz w:val="16"/>
          <w:szCs w:val="16"/>
          <w:color w:val="auto"/>
        </w:rPr>
        <w:t>In March 2024, the Company entered into a master confirmation (the “Master Accelerated Share Repurchase Confirmation”) and a supplemental confirmation (together, the “2024 ASR Agreement”), with Citibank, N.A. (“Citibank”). On July 29, 2025, the Company entered into a new supplemental confirmation to the prior Master Accelerated Share Repurchase Confirmation (together, the “2025 ASR Agreement”). During the three months ended September 30, 2025, the Company recorded the initial delivery of shares in treasury stock at cost, which resulted in an immediate reduction of its outstanding</w:t>
      </w:r>
    </w:p>
    <w:p>
      <w:pPr>
        <w:spacing w:after="0" w:line="3"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shares used to calculate the weighted average common shares outstanding for basic and diluted earnings per share. The forward contracts indexed to the Company's own common stock met the criteria for equity classification, and prepayment of $25,000 was initially recorded in additional paid-in capital, which reflects the pending settlement of the 2025 ASR Agreement.</w:t>
      </w:r>
    </w:p>
    <w:p>
      <w:pPr>
        <w:spacing w:after="0" w:line="195" w:lineRule="exact"/>
        <w:rPr>
          <w:sz w:val="20"/>
          <w:szCs w:val="20"/>
          <w:color w:val="auto"/>
        </w:rPr>
      </w:pPr>
    </w:p>
    <w:p>
      <w:pPr>
        <w:jc w:val="both"/>
        <w:ind w:firstLine="395"/>
        <w:spacing w:after="0" w:line="220" w:lineRule="auto"/>
        <w:rPr>
          <w:sz w:val="20"/>
          <w:szCs w:val="20"/>
          <w:color w:val="auto"/>
        </w:rPr>
      </w:pPr>
      <w:r>
        <w:rPr>
          <w:rFonts w:ascii="Times New Roman" w:cs="Times New Roman" w:eastAsia="Times New Roman" w:hAnsi="Times New Roman"/>
          <w:sz w:val="18"/>
          <w:szCs w:val="18"/>
          <w:color w:val="auto"/>
        </w:rPr>
        <w:t>Had the 2025 ASR Agreement been settled as of September 30, 2025, determined based on the volume-weighted average price per share since its effective date, Citibank would have been required to deliver additional estimated shares to the Company. The effect of the potential share settlement under the 2025 ASR Agreement was excluded from the computation of diluted earnings per share as its inclusion would have been anti-dilutive.</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Refer to Note 19 - Capital Structure to the unaudited consolidated financial statements for further details.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Other Income, net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income, net consists of the following:</w:t>
      </w:r>
    </w:p>
    <w:p>
      <w:pPr>
        <w:spacing w:after="0" w:line="142"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294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480" w:type="dxa"/>
            <w:vAlign w:val="bottom"/>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7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47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and fair value mark-to-market on investments</w:t>
            </w:r>
          </w:p>
        </w:tc>
        <w:tc>
          <w:tcPr>
            <w:tcW w:w="78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r>
      <w:tr>
        <w:trPr>
          <w:trHeight w:val="224"/>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w:t>
            </w:r>
          </w:p>
        </w:tc>
      </w:tr>
      <w:tr>
        <w:trPr>
          <w:trHeight w:val="224"/>
        </w:trPr>
        <w:tc>
          <w:tcPr>
            <w:tcW w:w="472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Fair value changes of contingent consideration </w:t>
            </w:r>
            <w:r>
              <w:rPr>
                <w:rFonts w:ascii="Times New Roman" w:cs="Times New Roman" w:eastAsia="Times New Roman" w:hAnsi="Times New Roman"/>
                <w:sz w:val="22"/>
                <w:szCs w:val="22"/>
                <w:color w:val="auto"/>
                <w:vertAlign w:val="superscript"/>
              </w:rPr>
              <w:t>(1)</w:t>
            </w:r>
          </w:p>
        </w:tc>
        <w:tc>
          <w:tcPr>
            <w:tcW w:w="7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24"/>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 net</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42"/>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780" w:type="dxa"/>
            <w:vAlign w:val="bottom"/>
            <w:tcBorders>
              <w:bottom w:val="single" w:sz="8" w:color="auto"/>
            </w:tcBorders>
            <w:shd w:val="clear" w:color="auto" w:fill="CCEEFF"/>
          </w:tcPr>
          <w:p>
            <w:pPr>
              <w:jc w:val="right"/>
              <w:ind w:right="60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4,459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11,876</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880" w:hanging="243"/>
        <w:spacing w:after="0"/>
        <w:tabs>
          <w:tab w:leader="none" w:pos="8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16 - Fair Value Measurements to the unaudited consolidated financial statements for further details.</w:t>
      </w:r>
    </w:p>
    <w:p>
      <w:pPr>
        <w:spacing w:after="0" w:line="317" w:lineRule="exact"/>
        <w:rPr>
          <w:rFonts w:ascii="Times New Roman" w:cs="Times New Roman" w:eastAsia="Times New Roman" w:hAnsi="Times New Roman"/>
          <w:sz w:val="18"/>
          <w:szCs w:val="18"/>
          <w:color w:val="auto"/>
        </w:rPr>
      </w:pPr>
    </w:p>
    <w:p>
      <w:pPr>
        <w:ind w:left="180" w:hanging="175"/>
        <w:spacing w:after="0"/>
        <w:tabs>
          <w:tab w:leader="none" w:pos="1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Cash Equivalents and Restricted Cash</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the purposes of unaudited consolidated statements of cash flows, cash, cash equivalents and restricted cash consist of the following:</w:t>
      </w:r>
    </w:p>
    <w:p>
      <w:pPr>
        <w:spacing w:after="0" w:line="63"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4"/>
        </w:trPr>
        <w:tc>
          <w:tcPr>
            <w:tcW w:w="5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0"/>
        </w:trPr>
        <w:tc>
          <w:tcPr>
            <w:tcW w:w="5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5"/>
                <w:szCs w:val="15"/>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5"/>
                <w:szCs w:val="15"/>
                <w:color w:val="auto"/>
              </w:rPr>
            </w:pPr>
          </w:p>
        </w:tc>
        <w:tc>
          <w:tcPr>
            <w:tcW w:w="13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5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153,355</w:t>
            </w:r>
          </w:p>
        </w:tc>
      </w:tr>
      <w:tr>
        <w:trPr>
          <w:trHeight w:val="224"/>
        </w:trPr>
        <w:tc>
          <w:tcPr>
            <w:tcW w:w="536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Restricted cash (current) </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9,972</w:t>
            </w:r>
          </w:p>
        </w:tc>
      </w:tr>
      <w:tr>
        <w:trPr>
          <w:trHeight w:val="224"/>
        </w:trPr>
        <w:tc>
          <w:tcPr>
            <w:tcW w:w="536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Restricted cash (non-current) </w:t>
            </w:r>
            <w:r>
              <w:rPr>
                <w:rFonts w:ascii="Times New Roman" w:cs="Times New Roman" w:eastAsia="Times New Roman" w:hAnsi="Times New Roman"/>
                <w:sz w:val="22"/>
                <w:szCs w:val="22"/>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8,071</w:t>
            </w:r>
          </w:p>
        </w:tc>
      </w:tr>
      <w:tr>
        <w:trPr>
          <w:trHeight w:val="21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179,833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163,264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171,398</w:t>
            </w: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ind w:firstLine="637"/>
        <w:spacing w:after="0" w:line="256" w:lineRule="auto"/>
        <w:tabs>
          <w:tab w:leader="none" w:pos="88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(current) primarily represents funds held on behalf of customers in dedicated bank accounts. The corresponding liability against the same is included under “Accrued Expenses and other current liabilities.” Restricted cash also includes funds held as collateral in a dedicated bank account for irrevocable letters of credit issued in favor of third parties for facility leases.</w:t>
      </w:r>
    </w:p>
    <w:p>
      <w:pPr>
        <w:spacing w:after="0" w:line="206" w:lineRule="exact"/>
        <w:rPr>
          <w:rFonts w:ascii="Times New Roman" w:cs="Times New Roman" w:eastAsia="Times New Roman" w:hAnsi="Times New Roman"/>
          <w:sz w:val="18"/>
          <w:szCs w:val="18"/>
          <w:color w:val="auto"/>
        </w:rPr>
      </w:pPr>
    </w:p>
    <w:p>
      <w:pPr>
        <w:jc w:val="both"/>
        <w:ind w:firstLine="637"/>
        <w:spacing w:after="0" w:line="256" w:lineRule="auto"/>
        <w:tabs>
          <w:tab w:leader="none" w:pos="88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(non-current) represents deposits with banks against bank guarantees issued through banks in favor of relevant statutory authorities for equipment imports, deposits for obtaining indirect tax registrations and for demands against pending income tax and value added tax (“VAT”) assessments. These deposits with banks will mature one year after the balance sheet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Investments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Investments consist of the following:</w:t>
      </w:r>
    </w:p>
    <w:p>
      <w:pPr>
        <w:spacing w:after="0" w:line="63"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00" w:type="dxa"/>
            <w:vAlign w:val="bottom"/>
          </w:tcPr>
          <w:p>
            <w:pPr>
              <w:spacing w:after="0"/>
              <w:rPr>
                <w:sz w:val="16"/>
                <w:szCs w:val="16"/>
                <w:color w:val="auto"/>
              </w:rPr>
            </w:pPr>
          </w:p>
        </w:tc>
      </w:tr>
      <w:tr>
        <w:trPr>
          <w:trHeight w:val="24"/>
        </w:trPr>
        <w:tc>
          <w:tcPr>
            <w:tcW w:w="5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0"/>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15"/>
                <w:szCs w:val="15"/>
                <w:color w:val="auto"/>
              </w:rPr>
            </w:pPr>
          </w:p>
        </w:tc>
        <w:tc>
          <w:tcPr>
            <w:tcW w:w="15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5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4"/>
        </w:trPr>
        <w:tc>
          <w:tcPr>
            <w:tcW w:w="54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Short-term investments</w:t>
            </w: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24"/>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174,761</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108,251</w:t>
            </w:r>
          </w:p>
        </w:tc>
      </w:tr>
      <w:tr>
        <w:trPr>
          <w:trHeight w:val="224"/>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 deposits</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78,972</w:t>
            </w:r>
          </w:p>
        </w:tc>
      </w:tr>
      <w:tr>
        <w:trPr>
          <w:trHeight w:val="21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229,833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187,223</w:t>
            </w:r>
          </w:p>
        </w:tc>
      </w:tr>
      <w:tr>
        <w:trPr>
          <w:trHeight w:val="20"/>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58"/>
        </w:trPr>
        <w:tc>
          <w:tcPr>
            <w:tcW w:w="5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00" w:type="dxa"/>
            <w:vAlign w:val="bottom"/>
          </w:tcPr>
          <w:p>
            <w:pPr>
              <w:spacing w:after="0"/>
              <w:rPr>
                <w:sz w:val="5"/>
                <w:szCs w:val="5"/>
                <w:color w:val="auto"/>
              </w:rPr>
            </w:pPr>
          </w:p>
        </w:tc>
      </w:tr>
      <w:tr>
        <w:trPr>
          <w:trHeight w:val="224"/>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4"/>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 deposits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9,295</w:t>
            </w:r>
          </w:p>
        </w:tc>
      </w:tr>
      <w:tr>
        <w:trPr>
          <w:trHeight w:val="224"/>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in equity affiliate</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w:t>
            </w:r>
          </w:p>
        </w:tc>
      </w:tr>
      <w:tr>
        <w:trPr>
          <w:trHeight w:val="21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13,972</w:t>
            </w:r>
          </w:p>
        </w:tc>
      </w:tr>
      <w:tr>
        <w:trPr>
          <w:trHeight w:val="20"/>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Refer to Note 16 - Fair Value Measurements to the unaudited consolidated financial statements for further details.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and Equipment, net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p>
      <w:pPr>
        <w:spacing w:after="0" w:line="37"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20" w:type="dxa"/>
            <w:vAlign w:val="bottom"/>
          </w:tcPr>
          <w:p>
            <w:pPr>
              <w:spacing w:after="0"/>
              <w:rPr>
                <w:sz w:val="16"/>
                <w:szCs w:val="16"/>
                <w:color w:val="auto"/>
              </w:rPr>
            </w:pPr>
          </w:p>
        </w:tc>
      </w:tr>
      <w:tr>
        <w:trPr>
          <w:trHeight w:val="24"/>
        </w:trPr>
        <w:tc>
          <w:tcPr>
            <w:tcW w:w="5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4"/>
        </w:trPr>
        <w:tc>
          <w:tcPr>
            <w:tcW w:w="5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16"/>
                <w:szCs w:val="16"/>
                <w:color w:val="auto"/>
              </w:rPr>
            </w:pPr>
          </w:p>
        </w:tc>
        <w:tc>
          <w:tcPr>
            <w:tcW w:w="15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3"/>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center"/>
              <w:ind w:left="739"/>
              <w:spacing w:after="0"/>
              <w:rPr>
                <w:sz w:val="20"/>
                <w:szCs w:val="20"/>
                <w:color w:val="auto"/>
              </w:rPr>
            </w:pPr>
            <w:r>
              <w:rPr>
                <w:rFonts w:ascii="Times New Roman" w:cs="Times New Roman" w:eastAsia="Times New Roman" w:hAnsi="Times New Roman"/>
                <w:sz w:val="18"/>
                <w:szCs w:val="18"/>
                <w:color w:val="auto"/>
                <w:w w:val="95"/>
              </w:rPr>
              <w:t>392,338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center"/>
              <w:ind w:left="737"/>
              <w:spacing w:after="0"/>
              <w:rPr>
                <w:sz w:val="20"/>
                <w:szCs w:val="20"/>
                <w:color w:val="auto"/>
              </w:rPr>
            </w:pPr>
            <w:r>
              <w:rPr>
                <w:rFonts w:ascii="Times New Roman" w:cs="Times New Roman" w:eastAsia="Times New Roman" w:hAnsi="Times New Roman"/>
                <w:sz w:val="18"/>
                <w:szCs w:val="18"/>
                <w:color w:val="auto"/>
                <w:w w:val="99"/>
              </w:rPr>
              <w:t>356,060</w:t>
            </w:r>
          </w:p>
        </w:tc>
      </w:tr>
      <w:tr>
        <w:trPr>
          <w:trHeight w:val="224"/>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left="719"/>
              <w:spacing w:after="0"/>
              <w:rPr>
                <w:sz w:val="20"/>
                <w:szCs w:val="20"/>
                <w:color w:val="auto"/>
              </w:rPr>
            </w:pPr>
            <w:r>
              <w:rPr>
                <w:rFonts w:ascii="Times New Roman" w:cs="Times New Roman" w:eastAsia="Times New Roman" w:hAnsi="Times New Roman"/>
                <w:sz w:val="18"/>
                <w:szCs w:val="18"/>
                <w:color w:val="auto"/>
                <w:w w:val="99"/>
              </w:rPr>
              <w:t>(279,661)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717"/>
              <w:spacing w:after="0"/>
              <w:rPr>
                <w:sz w:val="20"/>
                <w:szCs w:val="20"/>
                <w:color w:val="auto"/>
              </w:rPr>
            </w:pPr>
            <w:r>
              <w:rPr>
                <w:rFonts w:ascii="Times New Roman" w:cs="Times New Roman" w:eastAsia="Times New Roman" w:hAnsi="Times New Roman"/>
                <w:sz w:val="18"/>
                <w:szCs w:val="18"/>
                <w:color w:val="auto"/>
                <w:w w:val="96"/>
              </w:rPr>
              <w:t>(254,223)</w:t>
            </w:r>
          </w:p>
        </w:tc>
      </w:tr>
      <w:tr>
        <w:trPr>
          <w:trHeight w:val="242"/>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center"/>
              <w:ind w:left="739"/>
              <w:spacing w:after="0"/>
              <w:rPr>
                <w:sz w:val="20"/>
                <w:szCs w:val="20"/>
                <w:color w:val="auto"/>
              </w:rPr>
            </w:pPr>
            <w:r>
              <w:rPr>
                <w:rFonts w:ascii="Times New Roman" w:cs="Times New Roman" w:eastAsia="Times New Roman" w:hAnsi="Times New Roman"/>
                <w:sz w:val="18"/>
                <w:szCs w:val="18"/>
                <w:color w:val="auto"/>
                <w:w w:val="95"/>
              </w:rPr>
              <w:t>112,677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center"/>
              <w:ind w:left="737"/>
              <w:spacing w:after="0"/>
              <w:rPr>
                <w:sz w:val="20"/>
                <w:szCs w:val="20"/>
                <w:color w:val="auto"/>
              </w:rPr>
            </w:pPr>
            <w:r>
              <w:rPr>
                <w:rFonts w:ascii="Times New Roman" w:cs="Times New Roman" w:eastAsia="Times New Roman" w:hAnsi="Times New Roman"/>
                <w:sz w:val="18"/>
                <w:szCs w:val="18"/>
                <w:color w:val="auto"/>
                <w:w w:val="99"/>
              </w:rPr>
              <w:t>101,837</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firstLine="395"/>
        <w:spacing w:after="0" w:line="253"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there were no material changes in estimated useful lives of property and equipment during the ordinary course of operations.</w:t>
      </w:r>
    </w:p>
    <w:p>
      <w:pPr>
        <w:spacing w:after="0" w:line="182" w:lineRule="exact"/>
        <w:rPr>
          <w:sz w:val="20"/>
          <w:szCs w:val="20"/>
          <w:color w:val="auto"/>
        </w:rPr>
      </w:pPr>
    </w:p>
    <w:p>
      <w:pPr>
        <w:ind w:firstLine="395"/>
        <w:spacing w:after="0" w:line="253" w:lineRule="auto"/>
        <w:rPr>
          <w:sz w:val="20"/>
          <w:szCs w:val="20"/>
          <w:color w:val="auto"/>
        </w:rPr>
      </w:pPr>
      <w:r>
        <w:rPr>
          <w:rFonts w:ascii="Times New Roman" w:cs="Times New Roman" w:eastAsia="Times New Roman" w:hAnsi="Times New Roman"/>
          <w:sz w:val="18"/>
          <w:szCs w:val="18"/>
          <w:color w:val="auto"/>
        </w:rPr>
        <w:t>The depreciation and amortization expense, excluding amortization of acquisition-related intangibles, recognized in the unaudited consolidated statements of income was as follows:</w:t>
      </w:r>
    </w:p>
    <w:p>
      <w:pPr>
        <w:spacing w:after="0" w:line="5"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3600" w:type="dxa"/>
            <w:vAlign w:val="bottom"/>
          </w:tcPr>
          <w:p>
            <w:pPr>
              <w:spacing w:after="0"/>
              <w:rPr>
                <w:sz w:val="16"/>
                <w:szCs w:val="16"/>
                <w:color w:val="auto"/>
              </w:rPr>
            </w:pPr>
          </w:p>
        </w:tc>
        <w:tc>
          <w:tcPr>
            <w:tcW w:w="288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500" w:type="dxa"/>
            <w:vAlign w:val="bottom"/>
            <w:gridSpan w:val="4"/>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36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36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820" w:type="dxa"/>
            <w:vAlign w:val="bottom"/>
            <w:shd w:val="clear" w:color="auto" w:fill="CCEEFF"/>
          </w:tcPr>
          <w:p>
            <w:pPr>
              <w:jc w:val="right"/>
              <w:ind w:right="64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11,818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10,350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29,449</w:t>
            </w:r>
          </w:p>
        </w:tc>
      </w:tr>
    </w:tbl>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Internally developed software costs, included in property and equipment was as follows:</w:t>
      </w:r>
    </w:p>
    <w:p>
      <w:pPr>
        <w:spacing w:after="0" w:line="37"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8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720" w:type="dxa"/>
            <w:vAlign w:val="bottom"/>
          </w:tcPr>
          <w:p>
            <w:pPr>
              <w:spacing w:after="0"/>
              <w:rPr>
                <w:sz w:val="16"/>
                <w:szCs w:val="16"/>
                <w:color w:val="auto"/>
              </w:rPr>
            </w:pPr>
          </w:p>
        </w:tc>
      </w:tr>
      <w:tr>
        <w:trPr>
          <w:trHeight w:val="24"/>
        </w:trPr>
        <w:tc>
          <w:tcPr>
            <w:tcW w:w="5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84"/>
        </w:trPr>
        <w:tc>
          <w:tcPr>
            <w:tcW w:w="50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center"/>
              <w:ind w:left="1017"/>
              <w:spacing w:after="0"/>
              <w:rPr>
                <w:sz w:val="20"/>
                <w:szCs w:val="20"/>
                <w:color w:val="auto"/>
              </w:rPr>
            </w:pPr>
            <w:r>
              <w:rPr>
                <w:rFonts w:ascii="Times New Roman" w:cs="Times New Roman" w:eastAsia="Times New Roman" w:hAnsi="Times New Roman"/>
                <w:sz w:val="18"/>
                <w:szCs w:val="18"/>
                <w:color w:val="auto"/>
                <w:w w:val="96"/>
              </w:rPr>
              <w:t>66,005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center"/>
              <w:ind w:left="1037"/>
              <w:spacing w:after="0"/>
              <w:rPr>
                <w:sz w:val="20"/>
                <w:szCs w:val="20"/>
                <w:color w:val="auto"/>
              </w:rPr>
            </w:pPr>
            <w:r>
              <w:rPr>
                <w:rFonts w:ascii="Times New Roman" w:cs="Times New Roman" w:eastAsia="Times New Roman" w:hAnsi="Times New Roman"/>
                <w:sz w:val="18"/>
                <w:szCs w:val="18"/>
                <w:color w:val="auto"/>
                <w:w w:val="96"/>
              </w:rPr>
              <w:t>60,447</w:t>
            </w:r>
          </w:p>
        </w:tc>
      </w:tr>
      <w:tr>
        <w:trPr>
          <w:trHeight w:val="224"/>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 Accumulated amortization</w:t>
            </w: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left="937"/>
              <w:spacing w:after="0"/>
              <w:rPr>
                <w:sz w:val="20"/>
                <w:szCs w:val="20"/>
                <w:color w:val="auto"/>
              </w:rPr>
            </w:pPr>
            <w:r>
              <w:rPr>
                <w:rFonts w:ascii="Times New Roman" w:cs="Times New Roman" w:eastAsia="Times New Roman" w:hAnsi="Times New Roman"/>
                <w:sz w:val="18"/>
                <w:szCs w:val="18"/>
                <w:color w:val="auto"/>
                <w:w w:val="97"/>
              </w:rPr>
              <w:t>(47,203)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left="997"/>
              <w:spacing w:after="0"/>
              <w:rPr>
                <w:sz w:val="20"/>
                <w:szCs w:val="20"/>
                <w:color w:val="auto"/>
              </w:rPr>
            </w:pPr>
            <w:r>
              <w:rPr>
                <w:rFonts w:ascii="Times New Roman" w:cs="Times New Roman" w:eastAsia="Times New Roman" w:hAnsi="Times New Roman"/>
                <w:sz w:val="18"/>
                <w:szCs w:val="18"/>
                <w:color w:val="auto"/>
                <w:w w:val="97"/>
              </w:rPr>
              <w:t>(38,243)</w:t>
            </w:r>
          </w:p>
        </w:tc>
      </w:tr>
      <w:tr>
        <w:trPr>
          <w:trHeight w:val="242"/>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 net</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center"/>
              <w:ind w:left="1017"/>
              <w:spacing w:after="0"/>
              <w:rPr>
                <w:sz w:val="20"/>
                <w:szCs w:val="20"/>
                <w:color w:val="auto"/>
              </w:rPr>
            </w:pPr>
            <w:r>
              <w:rPr>
                <w:rFonts w:ascii="Times New Roman" w:cs="Times New Roman" w:eastAsia="Times New Roman" w:hAnsi="Times New Roman"/>
                <w:sz w:val="18"/>
                <w:szCs w:val="18"/>
                <w:color w:val="auto"/>
                <w:w w:val="96"/>
              </w:rPr>
              <w:t>18,802</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center"/>
              <w:ind w:left="1037"/>
              <w:spacing w:after="0"/>
              <w:rPr>
                <w:sz w:val="20"/>
                <w:szCs w:val="20"/>
                <w:color w:val="auto"/>
              </w:rPr>
            </w:pPr>
            <w:r>
              <w:rPr>
                <w:rFonts w:ascii="Times New Roman" w:cs="Times New Roman" w:eastAsia="Times New Roman" w:hAnsi="Times New Roman"/>
                <w:sz w:val="18"/>
                <w:szCs w:val="18"/>
                <w:color w:val="auto"/>
                <w:w w:val="96"/>
              </w:rPr>
              <w:t>22,204</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amortization expense on internally developed software recognized in the unaudited consolidated statements of income was as follows:</w:t>
      </w:r>
    </w:p>
    <w:p>
      <w:pPr>
        <w:spacing w:after="0" w:line="37"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540" w:type="dxa"/>
            <w:vAlign w:val="bottom"/>
            <w:gridSpan w:val="4"/>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3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3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3,498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8,408</w:t>
            </w: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3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three and nine months ended September 30, 2025 and 2024, there were no indicators of impairment related to capitalized software.</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Goodwill and Other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the first quarter of 2025, the Company implemented operational and structural changes which resulted in the realignment of its reporting segments.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3- Segment Information for further details. Goodwill has been re-allocated to reporting units based on the relative fair value approach.</w:t>
      </w:r>
    </w:p>
    <w:p>
      <w:pPr>
        <w:spacing w:after="0" w:line="22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The Company tested goodwill for impairment prior to the segment realignment and immediately thereafter, for events and conditions identified in accordance with the guidance in ASC Topic 350, </w:t>
      </w:r>
      <w:r>
        <w:rPr>
          <w:rFonts w:ascii="Times New Roman" w:cs="Times New Roman" w:eastAsia="Times New Roman" w:hAnsi="Times New Roman"/>
          <w:sz w:val="18"/>
          <w:szCs w:val="18"/>
          <w:i w:val="1"/>
          <w:iCs w:val="1"/>
          <w:color w:val="auto"/>
        </w:rPr>
        <w:t>Intangibles- Goodwill and Other</w:t>
      </w:r>
      <w:r>
        <w:rPr>
          <w:rFonts w:ascii="Times New Roman" w:cs="Times New Roman" w:eastAsia="Times New Roman" w:hAnsi="Times New Roman"/>
          <w:sz w:val="18"/>
          <w:szCs w:val="18"/>
          <w:color w:val="auto"/>
        </w:rPr>
        <w:t>. The fair value of the reporting units was calculated using a discounted cash flow model using estimated future cash flows. The results of the evaluation demonstrated that the fair value of each reporting unit exceeded its book value as of the date of the segment realignment.</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details of changes in goodwill by reportable segment of the Company:</w:t>
      </w:r>
    </w:p>
    <w:p>
      <w:pPr>
        <w:spacing w:after="0" w:line="21" w:lineRule="exact"/>
        <w:rPr>
          <w:sz w:val="20"/>
          <w:szCs w:val="20"/>
          <w:color w:val="auto"/>
        </w:rPr>
      </w:pPr>
    </w:p>
    <w:tbl>
      <w:tblPr>
        <w:tblLayout w:type="fixed"/>
        <w:tblInd w:w="400" w:type="dxa"/>
        <w:tblCellMar>
          <w:top w:w="0" w:type="dxa"/>
          <w:left w:w="0" w:type="dxa"/>
          <w:bottom w:w="0" w:type="dxa"/>
          <w:right w:w="0" w:type="dxa"/>
        </w:tblCellMar>
      </w:tblPr>
      <w:tr>
        <w:trPr>
          <w:trHeight w:val="172"/>
        </w:trPr>
        <w:tc>
          <w:tcPr>
            <w:tcW w:w="3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Healthcare and Life</w:t>
            </w:r>
          </w:p>
        </w:tc>
        <w:tc>
          <w:tcPr>
            <w:tcW w:w="192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Banking, Capital Markets</w:t>
            </w: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International Growth</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6"/>
        </w:trPr>
        <w:tc>
          <w:tcPr>
            <w:tcW w:w="3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Insurance</w:t>
            </w:r>
          </w:p>
        </w:tc>
        <w:tc>
          <w:tcPr>
            <w:tcW w:w="26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Sciences</w:t>
            </w:r>
          </w:p>
        </w:tc>
        <w:tc>
          <w:tcPr>
            <w:tcW w:w="192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and Diversified Industries</w:t>
            </w:r>
          </w:p>
        </w:tc>
        <w:tc>
          <w:tcPr>
            <w:tcW w:w="280" w:type="dxa"/>
            <w:vAlign w:val="bottom"/>
          </w:tcPr>
          <w:p>
            <w:pPr>
              <w:spacing w:after="0"/>
              <w:rPr>
                <w:sz w:val="17"/>
                <w:szCs w:val="17"/>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w w:val="99"/>
              </w:rPr>
              <w:t>Markets</w:t>
            </w:r>
          </w:p>
        </w:tc>
        <w:tc>
          <w:tcPr>
            <w:tcW w:w="220" w:type="dxa"/>
            <w:vAlign w:val="bottom"/>
          </w:tcPr>
          <w:p>
            <w:pPr>
              <w:spacing w:after="0"/>
              <w:rPr>
                <w:sz w:val="17"/>
                <w:szCs w:val="17"/>
                <w:color w:val="auto"/>
              </w:rPr>
            </w:pPr>
          </w:p>
        </w:tc>
        <w:tc>
          <w:tcPr>
            <w:tcW w:w="800" w:type="dxa"/>
            <w:vAlign w:val="bottom"/>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1"/>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77,099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189,621</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420,387</w:t>
            </w:r>
          </w:p>
        </w:tc>
      </w:tr>
      <w:tr>
        <w:trPr>
          <w:trHeight w:val="224"/>
        </w:trPr>
        <w:tc>
          <w:tcPr>
            <w:tcW w:w="3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42"/>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189,600</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419,871</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During the three and nine months ended September 30, 2025 and 2024, the Company performed an assessment to determine whether events or circumstances exist that may lead to a determination that it is more likely than not that the fair value of a reporting unit is less than its carrying amount. Based on such assessment, the Company concluded that there was no impairment on goodwill during the three and nine months ended September 30, 2025 and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Information regarding the Company’s intangible assets is set forth below:</w:t>
      </w:r>
    </w:p>
    <w:p>
      <w:pPr>
        <w:spacing w:after="0" w:line="151"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line="154"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3"/>
                <w:szCs w:val="13"/>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3"/>
                <w:szCs w:val="13"/>
                <w:color w:val="auto"/>
              </w:rPr>
            </w:pPr>
          </w:p>
        </w:tc>
        <w:tc>
          <w:tcPr>
            <w:tcW w:w="860" w:type="dxa"/>
            <w:vAlign w:val="bottom"/>
          </w:tcPr>
          <w:p>
            <w:pPr>
              <w:jc w:val="center"/>
              <w:ind w:right="95"/>
              <w:spacing w:after="0" w:line="154"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40"/>
              <w:spacing w:after="0" w:line="154"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3"/>
                <w:szCs w:val="13"/>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840" w:type="dxa"/>
            <w:vAlign w:val="bottom"/>
          </w:tcPr>
          <w:p>
            <w:pPr>
              <w:jc w:val="center"/>
              <w:ind w:right="115"/>
              <w:spacing w:after="0" w:line="154"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79"/>
        </w:trPr>
        <w:tc>
          <w:tcPr>
            <w:tcW w:w="2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gridSpan w:val="2"/>
            <w:vMerge w:val="restart"/>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16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restart"/>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160" w:type="dxa"/>
            <w:vAlign w:val="bottom"/>
          </w:tcPr>
          <w:p>
            <w:pPr>
              <w:spacing w:after="0"/>
              <w:rPr>
                <w:sz w:val="6"/>
                <w:szCs w:val="6"/>
                <w:color w:val="auto"/>
              </w:rPr>
            </w:pPr>
          </w:p>
        </w:tc>
        <w:tc>
          <w:tcPr>
            <w:tcW w:w="1000" w:type="dxa"/>
            <w:vAlign w:val="bottom"/>
            <w:gridSpan w:val="2"/>
            <w:vMerge w:val="restart"/>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16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restart"/>
          </w:tcPr>
          <w:p>
            <w:pPr>
              <w:jc w:val="center"/>
              <w:ind w:right="55"/>
              <w:spacing w:after="0" w:line="158"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0" w:type="dxa"/>
            <w:vAlign w:val="bottom"/>
          </w:tcPr>
          <w:p>
            <w:pPr>
              <w:spacing w:after="0"/>
              <w:rPr>
                <w:sz w:val="1"/>
                <w:szCs w:val="1"/>
                <w:color w:val="auto"/>
              </w:rPr>
            </w:pPr>
          </w:p>
        </w:tc>
      </w:tr>
      <w:tr>
        <w:trPr>
          <w:trHeight w:val="79"/>
        </w:trPr>
        <w:tc>
          <w:tcPr>
            <w:tcW w:w="2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60" w:type="dxa"/>
            <w:vAlign w:val="bottom"/>
          </w:tcPr>
          <w:p>
            <w:pPr>
              <w:spacing w:after="0"/>
              <w:rPr>
                <w:sz w:val="11"/>
                <w:szCs w:val="11"/>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80"/>
        </w:trPr>
        <w:tc>
          <w:tcPr>
            <w:tcW w:w="2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78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47,883</w:t>
            </w: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4"/>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7"/>
        </w:trPr>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48,431</w:t>
            </w: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42"/>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49,331</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3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amortization expense recognized in the unaudited consolidated statements of income was as follows:</w:t>
      </w:r>
    </w:p>
    <w:p>
      <w:pPr>
        <w:spacing w:after="0" w:line="37"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3900" w:type="dxa"/>
            <w:vAlign w:val="bottom"/>
          </w:tcPr>
          <w:p>
            <w:pPr>
              <w:spacing w:after="0"/>
              <w:rPr>
                <w:sz w:val="16"/>
                <w:szCs w:val="16"/>
                <w:color w:val="auto"/>
              </w:rPr>
            </w:pPr>
          </w:p>
        </w:tc>
        <w:tc>
          <w:tcPr>
            <w:tcW w:w="2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4"/>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39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39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00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3,449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9,606</w:t>
            </w:r>
          </w:p>
        </w:tc>
      </w:tr>
    </w:tbl>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three and nine months ended September 30, 2025 and 2024, there were no indicators of impairment related to intangible assets.</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Estimated future amortization expense related to finite-lived intangible assets as of September 30, 2025 was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0" w:type="dxa"/>
            <w:vAlign w:val="bottom"/>
          </w:tcPr>
          <w:p>
            <w:pPr>
              <w:spacing w:after="0"/>
              <w:rPr>
                <w:sz w:val="19"/>
                <w:szCs w:val="19"/>
                <w:color w:val="auto"/>
              </w:rPr>
            </w:pP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(October 1 - December 31)</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12,786</w:t>
            </w: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11,844</w:t>
            </w: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9,227</w:t>
            </w: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38,611</w:t>
            </w: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Other Current Assets</w:t>
            </w: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59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Other current assets consist of the following:</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0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4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0" w:type="dxa"/>
            <w:vAlign w:val="bottom"/>
          </w:tcPr>
          <w:p>
            <w:pPr>
              <w:spacing w:after="0"/>
              <w:rPr>
                <w:sz w:val="16"/>
                <w:szCs w:val="16"/>
                <w:color w:val="auto"/>
              </w:rPr>
            </w:pPr>
          </w:p>
        </w:tc>
        <w:tc>
          <w:tcPr>
            <w:tcW w:w="558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income tax, net</w:t>
            </w: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49,377</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36,072</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21,061</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from statutory authorities</w:t>
            </w: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19,407</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fulfillment costs</w:t>
            </w: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w:t>
            </w: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139,059</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140,317</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12. Other Assets</w:t>
            </w: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59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Other assets consist of the following:</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0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4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0" w:type="dxa"/>
            <w:vAlign w:val="bottom"/>
          </w:tcPr>
          <w:p>
            <w:pPr>
              <w:spacing w:after="0"/>
              <w:rPr>
                <w:sz w:val="16"/>
                <w:szCs w:val="16"/>
                <w:color w:val="auto"/>
              </w:rPr>
            </w:pPr>
          </w:p>
        </w:tc>
        <w:tc>
          <w:tcPr>
            <w:tcW w:w="558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fulfillment costs</w:t>
            </w: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31,741</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with statutory authorities</w:t>
            </w: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deposits</w:t>
            </w: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65,250</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56,085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60"/>
          </w:cols>
          <w:pgMar w:left="320" w:top="119" w:right="8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Accrued Expenses and Other Current Liabilities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6640" w:type="dxa"/>
            <w:vAlign w:val="bottom"/>
            <w:tcBorders>
              <w:bottom w:val="single" w:sz="8" w:color="CCEEFF"/>
            </w:tcBorders>
          </w:tcPr>
          <w:p>
            <w:pPr>
              <w:spacing w:after="0"/>
              <w:rPr>
                <w:sz w:val="16"/>
                <w:szCs w:val="16"/>
                <w:color w:val="auto"/>
              </w:rPr>
            </w:pPr>
          </w:p>
        </w:tc>
        <w:tc>
          <w:tcPr>
            <w:tcW w:w="1620" w:type="dxa"/>
            <w:vAlign w:val="bottom"/>
            <w:tcBorders>
              <w:top w:val="single" w:sz="8" w:color="auto"/>
              <w:bottom w:val="single" w:sz="8" w:color="auto"/>
            </w:tcBorders>
            <w:gridSpan w:val="3"/>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2"/>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0" w:type="dxa"/>
            <w:vAlign w:val="bottom"/>
            <w:tcBorders>
              <w:right w:val="single" w:sz="8" w:color="CCEEFF"/>
            </w:tcBorders>
          </w:tcPr>
          <w:p>
            <w:pPr>
              <w:spacing w:after="0"/>
              <w:rPr>
                <w:sz w:val="19"/>
                <w:szCs w:val="19"/>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Payable to statutory authorities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Borders>
              <w:right w:val="single" w:sz="8" w:color="CCEEFF"/>
            </w:tcBorders>
          </w:tcPr>
          <w:p>
            <w:pPr>
              <w:spacing w:after="0"/>
              <w:rPr>
                <w:sz w:val="19"/>
                <w:szCs w:val="19"/>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Client liabilities</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Borders>
              <w:right w:val="single" w:sz="8" w:color="CCEEFF"/>
            </w:tcBorders>
          </w:tcPr>
          <w:p>
            <w:pPr>
              <w:spacing w:after="0"/>
              <w:rPr>
                <w:sz w:val="19"/>
                <w:szCs w:val="19"/>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Borders>
              <w:right w:val="single" w:sz="8" w:color="CCEEFF"/>
            </w:tcBorders>
          </w:tcPr>
          <w:p>
            <w:pPr>
              <w:spacing w:after="0"/>
              <w:rPr>
                <w:sz w:val="19"/>
                <w:szCs w:val="19"/>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0" w:type="dxa"/>
            <w:vAlign w:val="bottom"/>
            <w:tcBorders>
              <w:right w:val="single" w:sz="8" w:color="CCEEFF"/>
            </w:tcBorders>
          </w:tcPr>
          <w:p>
            <w:pPr>
              <w:spacing w:after="0"/>
              <w:rPr>
                <w:sz w:val="18"/>
                <w:szCs w:val="18"/>
                <w:color w:val="auto"/>
              </w:rPr>
            </w:pPr>
          </w:p>
        </w:tc>
        <w:tc>
          <w:tcPr>
            <w:tcW w:w="6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129,297</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Borders>
              <w:right w:val="single" w:sz="8" w:color="CCEEFF"/>
            </w:tcBorders>
          </w:tcPr>
          <w:p>
            <w:pPr>
              <w:spacing w:after="0" w:line="20" w:lineRule="exact"/>
              <w:rPr>
                <w:sz w:val="1"/>
                <w:szCs w:val="1"/>
                <w:color w:val="auto"/>
              </w:rPr>
            </w:pPr>
          </w:p>
        </w:tc>
        <w:tc>
          <w:tcPr>
            <w:tcW w:w="66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 Other Non-Current Liabilities</w:t>
            </w: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70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4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4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transition revenue</w:t>
            </w:r>
          </w:p>
        </w:tc>
        <w:tc>
          <w:tcPr>
            <w:tcW w:w="2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18,213</w:t>
            </w: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benefits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22,862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24,795</w:t>
            </w: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4,363</w:t>
            </w: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1,966</w:t>
            </w: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1,420</w:t>
            </w: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2,816</w:t>
            </w:r>
          </w:p>
        </w:tc>
        <w:tc>
          <w:tcPr>
            <w:tcW w:w="0" w:type="dxa"/>
            <w:vAlign w:val="bottom"/>
          </w:tcPr>
          <w:p>
            <w:pPr>
              <w:spacing w:after="0"/>
              <w:rPr>
                <w:sz w:val="1"/>
                <w:szCs w:val="1"/>
                <w:color w:val="auto"/>
              </w:rPr>
            </w:pPr>
          </w:p>
        </w:tc>
      </w:tr>
      <w:tr>
        <w:trPr>
          <w:trHeight w:val="242"/>
        </w:trPr>
        <w:tc>
          <w:tcPr>
            <w:tcW w:w="440" w:type="dxa"/>
            <w:vAlign w:val="bottom"/>
          </w:tcPr>
          <w:p>
            <w:pPr>
              <w:spacing w:after="0"/>
              <w:rPr>
                <w:sz w:val="20"/>
                <w:szCs w:val="20"/>
                <w:color w:val="auto"/>
              </w:rPr>
            </w:pPr>
          </w:p>
        </w:tc>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53,573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Accumulated Other Comprehensive Income/(Loss)</w:t>
      </w:r>
    </w:p>
    <w:p>
      <w:pPr>
        <w:spacing w:after="0" w:line="229" w:lineRule="exact"/>
        <w:rPr>
          <w:sz w:val="20"/>
          <w:szCs w:val="20"/>
          <w:color w:val="auto"/>
        </w:rPr>
      </w:pPr>
    </w:p>
    <w:p>
      <w:pPr>
        <w:jc w:val="both"/>
        <w:ind w:firstLine="395"/>
        <w:spacing w:after="0" w:line="269" w:lineRule="auto"/>
        <w:rPr>
          <w:sz w:val="20"/>
          <w:szCs w:val="20"/>
          <w:color w:val="auto"/>
        </w:rPr>
      </w:pPr>
      <w:r>
        <w:rPr>
          <w:rFonts w:ascii="Times New Roman" w:cs="Times New Roman" w:eastAsia="Times New Roman" w:hAnsi="Times New Roman"/>
          <w:sz w:val="16"/>
          <w:szCs w:val="16"/>
          <w:color w:val="auto"/>
        </w:rPr>
        <w:t xml:space="preserve">Accumulated other comprehensive income/(loss) (“AOCI”) consists of actuarial gain/(loss) on retirement benefits and foreign currency translation adjustments. In addition, the Company enters into foreign currency forward contracts and interest rate swaps, which are designated as cash flow hedges, as applicable, in accordance with ASC Topic 815, </w:t>
      </w:r>
      <w:r>
        <w:rPr>
          <w:rFonts w:ascii="Times New Roman" w:cs="Times New Roman" w:eastAsia="Times New Roman" w:hAnsi="Times New Roman"/>
          <w:sz w:val="16"/>
          <w:szCs w:val="16"/>
          <w:i w:val="1"/>
          <w:iCs w:val="1"/>
          <w:color w:val="auto"/>
        </w:rPr>
        <w:t>Derivatives and Hedging</w:t>
      </w:r>
      <w:r>
        <w:rPr>
          <w:rFonts w:ascii="Times New Roman" w:cs="Times New Roman" w:eastAsia="Times New Roman" w:hAnsi="Times New Roman"/>
          <w:sz w:val="16"/>
          <w:szCs w:val="16"/>
          <w:color w:val="auto"/>
        </w:rPr>
        <w:t>. Cumulative changes in the fair values of cash flow hedges are recognized in AOCI on the Company’s consolidated balance sheets. The fair value changes are reclassified from AOCI to unaudited consolidated statements of income upon settlement of foreign currency forward contracts designated as cash flow hedges of a forecast transaction, whereas such changes for interest rate swaps are reclassified over the term of the contract. The following table sets forth the changes in AOCI during the nine months ended September 30, 2025 and 2024:</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Accumulated Other Comprehensive Income/(Loss)</w:t>
      </w:r>
    </w:p>
    <w:p>
      <w:pPr>
        <w:spacing w:after="0" w:line="25" w:lineRule="exact"/>
        <w:rPr>
          <w:sz w:val="20"/>
          <w:szCs w:val="20"/>
          <w:color w:val="auto"/>
        </w:rPr>
      </w:pPr>
    </w:p>
    <w:tbl>
      <w:tblPr>
        <w:tblLayout w:type="fixed"/>
        <w:tblInd w:w="400" w:type="dxa"/>
        <w:tblCellMar>
          <w:top w:w="0" w:type="dxa"/>
          <w:left w:w="0" w:type="dxa"/>
          <w:bottom w:w="0" w:type="dxa"/>
          <w:right w:w="0" w:type="dxa"/>
        </w:tblCellMar>
      </w:tblPr>
      <w:tr>
        <w:trPr>
          <w:trHeight w:val="131"/>
        </w:trPr>
        <w:tc>
          <w:tcPr>
            <w:tcW w:w="58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w w:val="97"/>
              </w:rPr>
              <w:t>Currency</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6"/>
        </w:trPr>
        <w:tc>
          <w:tcPr>
            <w:tcW w:w="5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vMerge w:val="restart"/>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5"/>
                <w:szCs w:val="5"/>
                <w:color w:val="auto"/>
              </w:rPr>
            </w:pPr>
          </w:p>
        </w:tc>
        <w:tc>
          <w:tcPr>
            <w:tcW w:w="1020" w:type="dxa"/>
            <w:vAlign w:val="bottom"/>
            <w:gridSpan w:val="2"/>
            <w:vMerge w:val="restart"/>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w w:val="98"/>
              </w:rPr>
              <w:t>gain/(loss) on</w:t>
            </w: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5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benefits</w:t>
            </w:r>
          </w:p>
        </w:tc>
        <w:tc>
          <w:tcPr>
            <w:tcW w:w="2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5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adjustments</w:t>
            </w: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5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(146,998)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(154,722)</w:t>
            </w: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recognized during the period</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(20,445)</w:t>
            </w: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Reclassification to net income </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w:t>
            </w:r>
          </w:p>
        </w:tc>
        <w:tc>
          <w:tcPr>
            <w:tcW w:w="0" w:type="dxa"/>
            <w:vAlign w:val="bottom"/>
          </w:tcPr>
          <w:p>
            <w:pPr>
              <w:spacing w:after="0"/>
              <w:rPr>
                <w:sz w:val="1"/>
                <w:szCs w:val="1"/>
                <w:color w:val="auto"/>
              </w:rPr>
            </w:pPr>
          </w:p>
        </w:tc>
      </w:tr>
      <w:tr>
        <w:trPr>
          <w:trHeight w:val="211"/>
        </w:trPr>
        <w:tc>
          <w:tcPr>
            <w:tcW w:w="5800" w:type="dxa"/>
            <w:vAlign w:val="bottom"/>
            <w:tcBorders>
              <w:bottom w:val="single" w:sz="8" w:color="CCEEFF"/>
            </w:tcBorders>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Income tax effects </w:t>
            </w:r>
            <w:r>
              <w:rPr>
                <w:rFonts w:ascii="Times New Roman" w:cs="Times New Roman" w:eastAsia="Times New Roman" w:hAnsi="Times New Roman"/>
                <w:sz w:val="20"/>
                <w:szCs w:val="20"/>
                <w:color w:val="auto"/>
                <w:vertAlign w:val="superscript"/>
              </w:rPr>
              <w:t>(2)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1,744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3,851</w:t>
            </w:r>
          </w:p>
        </w:tc>
        <w:tc>
          <w:tcPr>
            <w:tcW w:w="0" w:type="dxa"/>
            <w:vAlign w:val="bottom"/>
          </w:tcPr>
          <w:p>
            <w:pPr>
              <w:spacing w:after="0"/>
              <w:rPr>
                <w:sz w:val="1"/>
                <w:szCs w:val="1"/>
                <w:color w:val="auto"/>
              </w:rPr>
            </w:pPr>
          </w:p>
        </w:tc>
      </w:tr>
      <w:tr>
        <w:trPr>
          <w:trHeight w:val="227"/>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 as of September 30,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(154,905)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(168,977)</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4,198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(127,040)</w:t>
            </w: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Gain/(Loss) recognized during the period</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7,257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6,774</w:t>
            </w: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Reclassification to net income </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0" w:type="dxa"/>
            <w:vAlign w:val="bottom"/>
          </w:tcPr>
          <w:p>
            <w:pPr>
              <w:spacing w:after="0"/>
              <w:rPr>
                <w:sz w:val="1"/>
                <w:szCs w:val="1"/>
                <w:color w:val="auto"/>
              </w:rPr>
            </w:pPr>
          </w:p>
        </w:tc>
      </w:tr>
      <w:tr>
        <w:trPr>
          <w:trHeight w:val="211"/>
        </w:trPr>
        <w:tc>
          <w:tcPr>
            <w:tcW w:w="5800" w:type="dxa"/>
            <w:vAlign w:val="bottom"/>
            <w:tcBorders>
              <w:bottom w:val="single" w:sz="8" w:color="CCEEFF"/>
            </w:tcBorders>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Income tax effects </w:t>
            </w:r>
            <w:r>
              <w:rPr>
                <w:rFonts w:ascii="Times New Roman" w:cs="Times New Roman" w:eastAsia="Times New Roman" w:hAnsi="Times New Roman"/>
                <w:sz w:val="20"/>
                <w:szCs w:val="20"/>
                <w:color w:val="auto"/>
                <w:vertAlign w:val="superscript"/>
              </w:rPr>
              <w:t>(2)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0" w:type="dxa"/>
            <w:vAlign w:val="bottom"/>
          </w:tcPr>
          <w:p>
            <w:pPr>
              <w:spacing w:after="0"/>
              <w:rPr>
                <w:sz w:val="1"/>
                <w:szCs w:val="1"/>
                <w:color w:val="auto"/>
              </w:rPr>
            </w:pPr>
          </w:p>
        </w:tc>
      </w:tr>
      <w:tr>
        <w:trPr>
          <w:trHeight w:val="227"/>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income/(loss) as of September 30,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(132,980)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9,440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(122,593)</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firstLine="400"/>
        <w:spacing w:after="0" w:line="253" w:lineRule="auto"/>
        <w:tabs>
          <w:tab w:leader="none" w:pos="65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17 - Derivatives and Hedge Accounting and Note 20 - Employee Benefit Plans to the unaudited consolidated financial statements for reclassification to net income.</w:t>
      </w:r>
    </w:p>
    <w:p>
      <w:pPr>
        <w:spacing w:after="0" w:line="195" w:lineRule="exact"/>
        <w:rPr>
          <w:rFonts w:ascii="Times New Roman" w:cs="Times New Roman" w:eastAsia="Times New Roman" w:hAnsi="Times New Roman"/>
          <w:sz w:val="18"/>
          <w:szCs w:val="18"/>
          <w:color w:val="auto"/>
        </w:rPr>
      </w:pPr>
    </w:p>
    <w:p>
      <w:pPr>
        <w:ind w:firstLine="400"/>
        <w:spacing w:after="0" w:line="268" w:lineRule="auto"/>
        <w:tabs>
          <w:tab w:leader="none" w:pos="65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are income tax effects recognized on cash flow hedges, retirement benefits and currency translation adjustments. Refer to Note 22 - Income Taxes to the unaudited consolidated financial statements.</w:t>
      </w:r>
    </w:p>
    <w:p>
      <w:pPr>
        <w:spacing w:after="0" w:line="259"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w:t>
      </w:r>
    </w:p>
    <w:p>
      <w:pPr>
        <w:spacing w:after="0" w:line="2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Company’s assets and liabilities that were recognized at fair value: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3"/>
                <w:szCs w:val="13"/>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13"/>
                <w:szCs w:val="13"/>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4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00" w:type="dxa"/>
            <w:vAlign w:val="bottom"/>
          </w:tcPr>
          <w:p>
            <w:pPr>
              <w:spacing w:after="0"/>
              <w:rPr>
                <w:sz w:val="11"/>
                <w:szCs w:val="11"/>
                <w:color w:val="auto"/>
              </w:rPr>
            </w:pPr>
          </w:p>
        </w:tc>
        <w:tc>
          <w:tcPr>
            <w:tcW w:w="154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200" w:type="dxa"/>
            <w:vAlign w:val="bottom"/>
          </w:tcPr>
          <w:p>
            <w:pPr>
              <w:spacing w:after="0"/>
              <w:rPr>
                <w:sz w:val="11"/>
                <w:szCs w:val="11"/>
                <w:color w:val="auto"/>
              </w:rPr>
            </w:pPr>
          </w:p>
        </w:tc>
        <w:tc>
          <w:tcPr>
            <w:tcW w:w="156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20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6"/>
                <w:szCs w:val="16"/>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40" w:type="dxa"/>
            <w:vAlign w:val="bottom"/>
          </w:tcPr>
          <w:p>
            <w:pPr>
              <w:spacing w:after="0"/>
              <w:rPr>
                <w:sz w:val="2"/>
                <w:szCs w:val="2"/>
                <w:color w:val="auto"/>
              </w:rPr>
            </w:pPr>
          </w:p>
        </w:tc>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40" w:type="dxa"/>
            <w:vAlign w:val="bottom"/>
          </w:tcPr>
          <w:p>
            <w:pPr>
              <w:spacing w:after="0"/>
              <w:rPr>
                <w:sz w:val="16"/>
                <w:szCs w:val="16"/>
                <w:color w:val="auto"/>
              </w:rPr>
            </w:pPr>
          </w:p>
        </w:tc>
        <w:tc>
          <w:tcPr>
            <w:tcW w:w="3860" w:type="dxa"/>
            <w:vAlign w:val="bottom"/>
            <w:tcBorders>
              <w:bottom w:val="single" w:sz="8" w:color="CCEEFF"/>
            </w:tcBorders>
            <w:vMerge w:val="continue"/>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2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40" w:type="dxa"/>
            <w:vAlign w:val="bottom"/>
          </w:tcPr>
          <w:p>
            <w:pPr>
              <w:spacing w:after="0"/>
              <w:rPr>
                <w:sz w:val="17"/>
                <w:szCs w:val="17"/>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40" w:type="dxa"/>
            <w:vAlign w:val="bottom"/>
          </w:tcPr>
          <w:p>
            <w:pPr>
              <w:spacing w:after="0"/>
              <w:rPr>
                <w:sz w:val="21"/>
                <w:szCs w:val="21"/>
                <w:color w:val="auto"/>
              </w:rPr>
            </w:pPr>
          </w:p>
        </w:tc>
        <w:tc>
          <w:tcPr>
            <w:tcW w:w="3860" w:type="dxa"/>
            <w:vAlign w:val="bottom"/>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Cash equivalents - Money market funds </w:t>
            </w:r>
            <w:r>
              <w:rPr>
                <w:rFonts w:ascii="Times New Roman" w:cs="Times New Roman" w:eastAsia="Times New Roman" w:hAnsi="Times New Roman"/>
                <w:sz w:val="22"/>
                <w:szCs w:val="22"/>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386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Mutual funds </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40" w:type="dxa"/>
            <w:vAlign w:val="bottom"/>
          </w:tcPr>
          <w:p>
            <w:pPr>
              <w:spacing w:after="0"/>
              <w:rPr>
                <w:sz w:val="20"/>
                <w:szCs w:val="20"/>
                <w:color w:val="auto"/>
              </w:rPr>
            </w:pPr>
          </w:p>
        </w:tc>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40" w:type="dxa"/>
            <w:vAlign w:val="bottom"/>
          </w:tcPr>
          <w:p>
            <w:pPr>
              <w:spacing w:after="0"/>
              <w:rPr>
                <w:sz w:val="14"/>
                <w:szCs w:val="14"/>
                <w:color w:val="auto"/>
              </w:rPr>
            </w:pPr>
          </w:p>
        </w:tc>
        <w:tc>
          <w:tcPr>
            <w:tcW w:w="3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40" w:type="dxa"/>
            <w:vAlign w:val="bottom"/>
          </w:tcPr>
          <w:p>
            <w:pPr>
              <w:spacing w:after="0"/>
              <w:rPr>
                <w:sz w:val="21"/>
                <w:szCs w:val="21"/>
                <w:color w:val="auto"/>
              </w:rPr>
            </w:pPr>
          </w:p>
        </w:tc>
        <w:tc>
          <w:tcPr>
            <w:tcW w:w="3860" w:type="dxa"/>
            <w:vAlign w:val="bottom"/>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Contingent consideration </w:t>
            </w:r>
            <w:r>
              <w:rPr>
                <w:rFonts w:ascii="Times New Roman" w:cs="Times New Roman" w:eastAsia="Times New Roman" w:hAnsi="Times New Roman"/>
                <w:sz w:val="22"/>
                <w:szCs w:val="22"/>
                <w:color w:val="auto"/>
                <w:vertAlign w:val="superscript"/>
              </w:rPr>
              <w:t>(3)</w:t>
            </w:r>
          </w:p>
        </w:tc>
        <w:tc>
          <w:tcPr>
            <w:tcW w:w="18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8"/>
        </w:trPr>
        <w:tc>
          <w:tcPr>
            <w:tcW w:w="4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40" w:type="dxa"/>
            <w:vAlign w:val="bottom"/>
            <w:tcBorders>
              <w:bottom w:val="single" w:sz="8" w:color="9A9A9A"/>
            </w:tcBorders>
          </w:tcPr>
          <w:p>
            <w:pPr>
              <w:spacing w:after="0"/>
              <w:rPr>
                <w:sz w:val="9"/>
                <w:szCs w:val="9"/>
                <w:color w:val="auto"/>
              </w:rPr>
            </w:pPr>
          </w:p>
        </w:tc>
        <w:tc>
          <w:tcPr>
            <w:tcW w:w="38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2735580</wp:posOffset>
            </wp:positionH>
            <wp:positionV relativeFrom="paragraph">
              <wp:posOffset>512445</wp:posOffset>
            </wp:positionV>
            <wp:extent cx="4361815" cy="33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6181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3"/>
                <w:szCs w:val="13"/>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13"/>
                <w:szCs w:val="13"/>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00" w:type="dxa"/>
            <w:vAlign w:val="bottom"/>
          </w:tcPr>
          <w:p>
            <w:pPr>
              <w:spacing w:after="0"/>
              <w:rPr>
                <w:sz w:val="11"/>
                <w:szCs w:val="11"/>
                <w:color w:val="auto"/>
              </w:rPr>
            </w:pPr>
          </w:p>
        </w:tc>
        <w:tc>
          <w:tcPr>
            <w:tcW w:w="154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200" w:type="dxa"/>
            <w:vAlign w:val="bottom"/>
          </w:tcPr>
          <w:p>
            <w:pPr>
              <w:spacing w:after="0"/>
              <w:rPr>
                <w:sz w:val="11"/>
                <w:szCs w:val="11"/>
                <w:color w:val="auto"/>
              </w:rPr>
            </w:pPr>
          </w:p>
        </w:tc>
        <w:tc>
          <w:tcPr>
            <w:tcW w:w="156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20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6"/>
                <w:szCs w:val="16"/>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860" w:type="dxa"/>
            <w:vAlign w:val="bottom"/>
            <w:tcBorders>
              <w:bottom w:val="single" w:sz="8" w:color="CCEEFF"/>
            </w:tcBorders>
            <w:vMerge w:val="continue"/>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2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860" w:type="dxa"/>
            <w:vAlign w:val="bottom"/>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Cash equivalents - Money market funds </w:t>
            </w:r>
            <w:r>
              <w:rPr>
                <w:rFonts w:ascii="Times New Roman" w:cs="Times New Roman" w:eastAsia="Times New Roman" w:hAnsi="Times New Roman"/>
                <w:sz w:val="22"/>
                <w:szCs w:val="22"/>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54,925</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Mutual funds </w:t>
            </w:r>
            <w:r>
              <w:rPr>
                <w:rFonts w:ascii="Times New Roman" w:cs="Times New Roman" w:eastAsia="Times New Roman" w:hAnsi="Times New Roman"/>
                <w:sz w:val="22"/>
                <w:szCs w:val="22"/>
                <w:color w:val="auto"/>
                <w:vertAlign w:val="superscript"/>
              </w:rPr>
              <w:t>(2)</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108,251</w:t>
            </w:r>
          </w:p>
        </w:tc>
        <w:tc>
          <w:tcPr>
            <w:tcW w:w="0" w:type="dxa"/>
            <w:vAlign w:val="bottom"/>
          </w:tcPr>
          <w:p>
            <w:pPr>
              <w:spacing w:after="0"/>
              <w:rPr>
                <w:sz w:val="1"/>
                <w:szCs w:val="1"/>
                <w:color w:val="auto"/>
              </w:rPr>
            </w:pPr>
          </w:p>
        </w:tc>
      </w:tr>
      <w:tr>
        <w:trPr>
          <w:trHeight w:val="22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0" w:type="dxa"/>
            <w:vAlign w:val="bottom"/>
          </w:tcPr>
          <w:p>
            <w:pPr>
              <w:spacing w:after="0"/>
              <w:rPr>
                <w:sz w:val="1"/>
                <w:szCs w:val="1"/>
                <w:color w:val="auto"/>
              </w:rPr>
            </w:pPr>
          </w:p>
        </w:tc>
      </w:tr>
      <w:tr>
        <w:trPr>
          <w:trHeight w:val="242"/>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166,001</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0" w:type="dxa"/>
            <w:vAlign w:val="bottom"/>
          </w:tcPr>
          <w:p>
            <w:pPr>
              <w:spacing w:after="0"/>
              <w:rPr>
                <w:sz w:val="1"/>
                <w:szCs w:val="1"/>
                <w:color w:val="auto"/>
              </w:rPr>
            </w:pPr>
          </w:p>
        </w:tc>
      </w:tr>
      <w:tr>
        <w:trPr>
          <w:trHeight w:val="250"/>
        </w:trPr>
        <w:tc>
          <w:tcPr>
            <w:tcW w:w="3860" w:type="dxa"/>
            <w:vAlign w:val="bottom"/>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Contingent consideration </w:t>
            </w:r>
            <w:r>
              <w:rPr>
                <w:rFonts w:ascii="Times New Roman" w:cs="Times New Roman" w:eastAsia="Times New Roman" w:hAnsi="Times New Roman"/>
                <w:sz w:val="22"/>
                <w:szCs w:val="22"/>
                <w:color w:val="auto"/>
                <w:vertAlign w:val="superscript"/>
              </w:rPr>
              <w:t>(3)</w:t>
            </w:r>
          </w:p>
        </w:tc>
        <w:tc>
          <w:tcPr>
            <w:tcW w:w="18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42"/>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14,517</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ind w:left="880" w:hanging="243"/>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money market funds which are carried at the fair value option under ASC Topic 825 “Financial Instruments”.</w:t>
      </w:r>
    </w:p>
    <w:p>
      <w:pPr>
        <w:spacing w:after="0" w:line="227" w:lineRule="exact"/>
        <w:rPr>
          <w:rFonts w:ascii="Times New Roman" w:cs="Times New Roman" w:eastAsia="Times New Roman" w:hAnsi="Times New Roman"/>
          <w:sz w:val="18"/>
          <w:szCs w:val="18"/>
          <w:color w:val="auto"/>
        </w:rPr>
      </w:pPr>
    </w:p>
    <w:p>
      <w:pPr>
        <w:ind w:left="880" w:hanging="243"/>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those short-term investments which are carried at the fair value option under ASC Topic 825 “Financial Instruments”.</w:t>
      </w:r>
    </w:p>
    <w:p>
      <w:pPr>
        <w:spacing w:after="0" w:line="240" w:lineRule="exact"/>
        <w:rPr>
          <w:rFonts w:ascii="Times New Roman" w:cs="Times New Roman" w:eastAsia="Times New Roman" w:hAnsi="Times New Roman"/>
          <w:sz w:val="18"/>
          <w:szCs w:val="18"/>
          <w:color w:val="auto"/>
        </w:rPr>
      </w:pPr>
    </w:p>
    <w:p>
      <w:pPr>
        <w:ind w:firstLine="637"/>
        <w:spacing w:after="0" w:line="268" w:lineRule="auto"/>
        <w:tabs>
          <w:tab w:leader="none" w:pos="8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is presented under “Accrued Expenses and Other Current Liabilities” and “Other Non-Current Liabilities,” as applicable, in the consolidated balance sheets.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Derivative Financial Instruments:</w:t>
      </w:r>
    </w:p>
    <w:p>
      <w:pPr>
        <w:spacing w:after="0" w:line="229" w:lineRule="exact"/>
        <w:rPr>
          <w:sz w:val="20"/>
          <w:szCs w:val="20"/>
          <w:color w:val="auto"/>
        </w:rPr>
      </w:pPr>
    </w:p>
    <w:p>
      <w:pPr>
        <w:jc w:val="both"/>
        <w:ind w:firstLine="395"/>
        <w:spacing w:after="0" w:line="235" w:lineRule="auto"/>
        <w:rPr>
          <w:sz w:val="20"/>
          <w:szCs w:val="20"/>
          <w:color w:val="auto"/>
        </w:rPr>
      </w:pPr>
      <w:r>
        <w:rPr>
          <w:rFonts w:ascii="Times New Roman" w:cs="Times New Roman" w:eastAsia="Times New Roman" w:hAnsi="Times New Roman"/>
          <w:sz w:val="18"/>
          <w:szCs w:val="18"/>
          <w:color w:val="auto"/>
        </w:rPr>
        <w:t>The Company’s derivative financial instruments consist of foreign currency forward contracts and interest rate swaps. Fair values for derivative financial instruments are based on independent sources including highly rated financial institutions and are classified as Level 2. Refer to Note 17 - Derivatives and Hedge Accounting to the unaudited consolidated financial statements for further details.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Contingent Consideration:</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fair value measurement of contingent consideration is determined using Level 3 inputs. The Company’s contingent consideration represents a component of the total purchase consideration for business acquisitions. The measurement is calculated using unobservable inputs based on the Company’s own assessment of achievement of certain performance goals. The Company estimated the fair value of the contingent consideration based on the Monte Carlo simulation model.</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changes in the fair value of contingent consideration:</w:t>
      </w:r>
    </w:p>
    <w:p>
      <w:pPr>
        <w:spacing w:after="0" w:line="45"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3460" w:type="dxa"/>
            <w:vAlign w:val="bottom"/>
          </w:tcPr>
          <w:p>
            <w:pPr>
              <w:spacing w:after="0"/>
              <w:rPr>
                <w:sz w:val="18"/>
                <w:szCs w:val="18"/>
                <w:color w:val="auto"/>
              </w:rPr>
            </w:pPr>
          </w:p>
        </w:tc>
        <w:tc>
          <w:tcPr>
            <w:tcW w:w="3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40" w:type="dxa"/>
            <w:vAlign w:val="bottom"/>
            <w:tcBorders>
              <w:bottom w:val="single" w:sz="8" w:color="auto"/>
            </w:tcBorders>
          </w:tcPr>
          <w:p>
            <w:pPr>
              <w:spacing w:after="0"/>
              <w:rPr>
                <w:sz w:val="18"/>
                <w:szCs w:val="18"/>
                <w:color w:val="auto"/>
              </w:rPr>
            </w:pPr>
          </w:p>
        </w:tc>
      </w:tr>
      <w:tr>
        <w:trPr>
          <w:trHeight w:val="205"/>
        </w:trPr>
        <w:tc>
          <w:tcPr>
            <w:tcW w:w="34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7"/>
                <w:szCs w:val="17"/>
                <w:color w:val="auto"/>
              </w:rPr>
            </w:pPr>
          </w:p>
        </w:tc>
      </w:tr>
      <w:tr>
        <w:trPr>
          <w:trHeight w:val="218"/>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balance</w:t>
            </w:r>
          </w:p>
        </w:tc>
        <w:tc>
          <w:tcPr>
            <w:tcW w:w="1160" w:type="dxa"/>
            <w:vAlign w:val="bottom"/>
            <w:shd w:val="clear" w:color="auto" w:fill="CCEEFF"/>
          </w:tcPr>
          <w:p>
            <w:pPr>
              <w:jc w:val="right"/>
              <w:ind w:right="97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w:t>
            </w:r>
          </w:p>
        </w:tc>
      </w:tr>
      <w:tr>
        <w:trPr>
          <w:trHeight w:val="224"/>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1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w:t>
            </w:r>
          </w:p>
        </w:tc>
      </w:tr>
      <w:tr>
        <w:trPr>
          <w:trHeight w:val="224"/>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changes</w:t>
            </w:r>
          </w:p>
        </w:tc>
        <w:tc>
          <w:tcPr>
            <w:tcW w:w="1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24"/>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1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(15,000)</w:t>
            </w:r>
          </w:p>
        </w:tc>
      </w:tr>
      <w:tr>
        <w:trPr>
          <w:trHeight w:val="242"/>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Closing balance</w:t>
            </w:r>
          </w:p>
        </w:tc>
        <w:tc>
          <w:tcPr>
            <w:tcW w:w="1160" w:type="dxa"/>
            <w:vAlign w:val="bottom"/>
            <w:tcBorders>
              <w:top w:val="single" w:sz="8" w:color="auto"/>
              <w:bottom w:val="single" w:sz="8" w:color="auto"/>
            </w:tcBorders>
            <w:shd w:val="clear" w:color="auto" w:fill="CCEEFF"/>
          </w:tcPr>
          <w:p>
            <w:pPr>
              <w:jc w:val="right"/>
              <w:ind w:right="97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During the three and nine months ended September 30, 2025 and 2024, there were no transfers among Level 1, Level 2 and Level 3.</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100" w:firstLine="395"/>
        <w:spacing w:after="0" w:line="236" w:lineRule="auto"/>
        <w:rPr>
          <w:sz w:val="20"/>
          <w:szCs w:val="20"/>
          <w:color w:val="auto"/>
        </w:rPr>
      </w:pPr>
      <w:r>
        <w:rPr>
          <w:rFonts w:ascii="Times New Roman" w:cs="Times New Roman" w:eastAsia="Times New Roman" w:hAnsi="Times New Roman"/>
          <w:sz w:val="18"/>
          <w:szCs w:val="18"/>
          <w:color w:val="auto"/>
        </w:rPr>
        <w:t>The Company’s other financial instruments not carried at fair value consist primarily of cash and cash equivalents (except investments in money market funds, as disclosed above), short-term investments (except investments in mutual funds, as disclosed above), restricted cash, accounts receivable, net, long-term investments, accrued capital expenditures, accrued expenses, client liabilities and interest payable on borrowings for which fair values approximate their carrying amounts. The carrying value of the Company’s outstanding revolving credit facility approximates its fair value because the Company’s interest rate yield is near current market rates for comparable debt instruments.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Derivatives and Hedge Accounting</w:t>
      </w:r>
    </w:p>
    <w:p>
      <w:pPr>
        <w:spacing w:after="0" w:line="229" w:lineRule="exact"/>
        <w:rPr>
          <w:sz w:val="20"/>
          <w:szCs w:val="20"/>
          <w:color w:val="auto"/>
        </w:rPr>
      </w:pPr>
    </w:p>
    <w:p>
      <w:pPr>
        <w:jc w:val="both"/>
        <w:ind w:right="100" w:firstLine="395"/>
        <w:spacing w:after="0" w:line="234" w:lineRule="auto"/>
        <w:rPr>
          <w:sz w:val="20"/>
          <w:szCs w:val="20"/>
          <w:color w:val="auto"/>
        </w:rPr>
      </w:pPr>
      <w:r>
        <w:rPr>
          <w:rFonts w:ascii="Times New Roman" w:cs="Times New Roman" w:eastAsia="Times New Roman" w:hAnsi="Times New Roman"/>
          <w:sz w:val="18"/>
          <w:szCs w:val="18"/>
          <w:color w:val="auto"/>
        </w:rPr>
        <w:t xml:space="preserve">The Company uses derivative instruments to mitigate cash flow volatility from risk of fluctuations in foreign currency exchange rates and interest rates. The Company enters into foreign currency forward contracts to hedge cash flow risks from forecasted revenues and other transactions denominated in certain foreign currencies. These contracts qualify as cash flow hedges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and are with counterparties that are highly rated financial institutions.</w:t>
      </w:r>
    </w:p>
    <w:p>
      <w:pPr>
        <w:spacing w:after="0" w:line="2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aggregate notional amount of derivatives in cash flow hedging relationship:</w:t>
      </w:r>
    </w:p>
    <w:p>
      <w:pPr>
        <w:spacing w:after="0" w:line="45" w:lineRule="exact"/>
        <w:rPr>
          <w:sz w:val="20"/>
          <w:szCs w:val="20"/>
          <w:color w:val="auto"/>
        </w:rPr>
      </w:pPr>
    </w:p>
    <w:tbl>
      <w:tblPr>
        <w:tblLayout w:type="fixed"/>
        <w:tblInd w:w="440" w:type="dxa"/>
        <w:tblCellMar>
          <w:top w:w="0" w:type="dxa"/>
          <w:left w:w="0" w:type="dxa"/>
          <w:bottom w:w="0" w:type="dxa"/>
          <w:right w:w="0" w:type="dxa"/>
        </w:tblCellMar>
      </w:tblPr>
      <w:tr>
        <w:trPr>
          <w:trHeight w:val="211"/>
        </w:trPr>
        <w:tc>
          <w:tcPr>
            <w:tcW w:w="6320" w:type="dxa"/>
            <w:vAlign w:val="bottom"/>
          </w:tcPr>
          <w:p>
            <w:pPr>
              <w:spacing w:after="0"/>
              <w:rPr>
                <w:sz w:val="18"/>
                <w:szCs w:val="18"/>
                <w:color w:val="auto"/>
              </w:rPr>
            </w:pPr>
          </w:p>
        </w:tc>
        <w:tc>
          <w:tcPr>
            <w:tcW w:w="2500" w:type="dxa"/>
            <w:vAlign w:val="bottom"/>
            <w:tcBorders>
              <w:bottom w:val="single" w:sz="8" w:color="auto"/>
            </w:tcBorders>
            <w:gridSpan w:val="3"/>
          </w:tcPr>
          <w:p>
            <w:pPr>
              <w:ind w:left="20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60" w:type="dxa"/>
            <w:vAlign w:val="bottom"/>
            <w:tcBorders>
              <w:bottom w:val="single" w:sz="8" w:color="auto"/>
            </w:tcBorders>
          </w:tcPr>
          <w:p>
            <w:pPr>
              <w:spacing w:after="0"/>
              <w:rPr>
                <w:sz w:val="18"/>
                <w:szCs w:val="18"/>
                <w:color w:val="auto"/>
              </w:rPr>
            </w:pPr>
          </w:p>
        </w:tc>
      </w:tr>
      <w:tr>
        <w:trPr>
          <w:trHeight w:val="205"/>
        </w:trPr>
        <w:tc>
          <w:tcPr>
            <w:tcW w:w="6320" w:type="dxa"/>
            <w:vAlign w:val="bottom"/>
          </w:tcPr>
          <w:p>
            <w:pPr>
              <w:spacing w:after="0"/>
              <w:rPr>
                <w:sz w:val="17"/>
                <w:szCs w:val="17"/>
                <w:color w:val="auto"/>
              </w:rPr>
            </w:pPr>
          </w:p>
        </w:tc>
        <w:tc>
          <w:tcPr>
            <w:tcW w:w="250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6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5"/>
        </w:trPr>
        <w:tc>
          <w:tcPr>
            <w:tcW w:w="632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Foreign currency forward contracts denominated in:</w:t>
            </w:r>
          </w:p>
        </w:tc>
        <w:tc>
          <w:tcPr>
            <w:tcW w:w="2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r>
      <w:tr>
        <w:trPr>
          <w:trHeight w:val="224"/>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 U.S. dollar (USD)</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984,300</w:t>
            </w:r>
          </w:p>
        </w:tc>
      </w:tr>
      <w:tr>
        <w:trPr>
          <w:trHeight w:val="224"/>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Buy U.S. dollar (USD)</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37" w:lineRule="exact"/>
        <w:rPr>
          <w:sz w:val="20"/>
          <w:szCs w:val="20"/>
          <w:color w:val="auto"/>
        </w:rPr>
      </w:pPr>
    </w:p>
    <w:p>
      <w:pPr>
        <w:jc w:val="both"/>
        <w:ind w:right="100" w:firstLine="395"/>
        <w:spacing w:after="0" w:line="241" w:lineRule="auto"/>
        <w:rPr>
          <w:sz w:val="20"/>
          <w:szCs w:val="20"/>
          <w:color w:val="auto"/>
        </w:rPr>
      </w:pPr>
      <w:r>
        <w:rPr>
          <w:rFonts w:ascii="Times New Roman" w:cs="Times New Roman" w:eastAsia="Times New Roman" w:hAnsi="Times New Roman"/>
          <w:sz w:val="18"/>
          <w:szCs w:val="18"/>
          <w:color w:val="auto"/>
        </w:rPr>
        <w:t>The Company estimates that approximately $8,660 of derivative loss, net, excluding tax effects, included in AOCI, representing changes in the value of cash flow hedges based on exchange rates prevailing as of September 30, 2025, could be reclassified into earnings within the next twelve months. As of September 30, 2025, the maximum outstanding term of the cash flow hedges was approximately 45 months.</w:t>
      </w:r>
    </w:p>
    <w:p>
      <w:pPr>
        <w:spacing w:after="0" w:line="205" w:lineRule="exact"/>
        <w:rPr>
          <w:sz w:val="20"/>
          <w:szCs w:val="20"/>
          <w:color w:val="auto"/>
        </w:rPr>
      </w:pPr>
    </w:p>
    <w:p>
      <w:pPr>
        <w:jc w:val="both"/>
        <w:ind w:right="100" w:firstLine="395"/>
        <w:spacing w:after="0" w:line="236" w:lineRule="auto"/>
        <w:rPr>
          <w:sz w:val="20"/>
          <w:szCs w:val="20"/>
          <w:color w:val="auto"/>
        </w:rPr>
      </w:pPr>
      <w:r>
        <w:rPr>
          <w:rFonts w:ascii="Times New Roman" w:cs="Times New Roman" w:eastAsia="Times New Roman" w:hAnsi="Times New Roman"/>
          <w:sz w:val="18"/>
          <w:szCs w:val="18"/>
          <w:color w:val="auto"/>
        </w:rPr>
        <w:t xml:space="preserve">The Company also enters into foreign currency forward contracts to hedge its intercompany balances and other monetary assets and liabilities denominated in currencies other than functional currencies, against the risk of fluctuations in foreign currency exchange rates associated with remeasurement of such assets and liabilities to functional currency. These foreign currency forward contracts do not qualify as fair value hedges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Changes in the fair value of these financial instruments are recognized in the unaudited consolidated statements of income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the foreign exchange gain/(loss) line item.</w:t>
      </w:r>
    </w:p>
    <w:p>
      <w:pPr>
        <w:spacing w:after="0" w:line="206" w:lineRule="exact"/>
        <w:rPr>
          <w:sz w:val="20"/>
          <w:szCs w:val="20"/>
          <w:color w:val="auto"/>
        </w:rPr>
      </w:pPr>
    </w:p>
    <w:p>
      <w:pPr>
        <w:jc w:val="both"/>
        <w:ind w:right="100" w:firstLine="395"/>
        <w:spacing w:after="0" w:line="248" w:lineRule="auto"/>
        <w:rPr>
          <w:sz w:val="20"/>
          <w:szCs w:val="20"/>
          <w:color w:val="auto"/>
        </w:rPr>
      </w:pPr>
      <w:r>
        <w:rPr>
          <w:rFonts w:ascii="Times New Roman" w:cs="Times New Roman" w:eastAsia="Times New Roman" w:hAnsi="Times New Roman"/>
          <w:sz w:val="18"/>
          <w:szCs w:val="18"/>
          <w:color w:val="auto"/>
        </w:rPr>
        <w:t>The following table sets forth the aggregate notional principal amounts of outstanding foreign currency forward contracts for derivatives not designated as hedging instruments:</w:t>
      </w:r>
    </w:p>
    <w:tbl>
      <w:tblPr>
        <w:tblLayout w:type="fixed"/>
        <w:tblInd w:w="400" w:type="dxa"/>
        <w:tblCellMar>
          <w:top w:w="0" w:type="dxa"/>
          <w:left w:w="0" w:type="dxa"/>
          <w:bottom w:w="0" w:type="dxa"/>
          <w:right w:w="0" w:type="dxa"/>
        </w:tblCellMar>
      </w:tblPr>
      <w:tr>
        <w:trPr>
          <w:trHeight w:val="185"/>
        </w:trPr>
        <w:tc>
          <w:tcPr>
            <w:tcW w:w="6780" w:type="dxa"/>
            <w:vAlign w:val="bottom"/>
          </w:tcPr>
          <w:p>
            <w:pPr>
              <w:spacing w:after="0"/>
              <w:rPr>
                <w:sz w:val="16"/>
                <w:szCs w:val="16"/>
                <w:color w:val="auto"/>
              </w:rPr>
            </w:pPr>
          </w:p>
        </w:tc>
        <w:tc>
          <w:tcPr>
            <w:tcW w:w="2540" w:type="dxa"/>
            <w:vAlign w:val="bottom"/>
            <w:gridSpan w:val="3"/>
          </w:tcPr>
          <w:p>
            <w:pPr>
              <w:ind w:left="20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Foreign currency forward contracts denominated in:</w:t>
            </w:r>
          </w:p>
        </w:tc>
        <w:tc>
          <w:tcPr>
            <w:tcW w:w="2540" w:type="dxa"/>
            <w:vAlign w:val="bottom"/>
            <w:tcBorders>
              <w:bottom w:val="single" w:sz="8" w:color="auto"/>
            </w:tcBorders>
            <w:gridSpan w:val="3"/>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80" w:type="dxa"/>
            <w:vAlign w:val="bottom"/>
            <w:vMerge w:val="continue"/>
          </w:tcPr>
          <w:p>
            <w:pPr>
              <w:spacing w:after="0"/>
              <w:rPr>
                <w:sz w:val="16"/>
                <w:szCs w:val="16"/>
                <w:color w:val="auto"/>
              </w:rPr>
            </w:pPr>
          </w:p>
        </w:tc>
        <w:tc>
          <w:tcPr>
            <w:tcW w:w="254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9"/>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USD</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226,932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0" w:type="dxa"/>
            <w:vAlign w:val="bottom"/>
          </w:tcPr>
          <w:p>
            <w:pPr>
              <w:spacing w:after="0"/>
              <w:rPr>
                <w:sz w:val="1"/>
                <w:szCs w:val="1"/>
                <w:color w:val="auto"/>
              </w:rPr>
            </w:pPr>
          </w:p>
        </w:tc>
      </w:tr>
      <w:tr>
        <w:trPr>
          <w:trHeight w:val="224"/>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 GBP</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4"/>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EUR</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4"/>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 AUD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4"/>
        </w:trPr>
        <w:tc>
          <w:tcPr>
            <w:tcW w:w="67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Buy USD </w:t>
            </w:r>
            <w:r>
              <w:rPr>
                <w:rFonts w:ascii="Times New Roman" w:cs="Times New Roman" w:eastAsia="Times New Roman" w:hAnsi="Times New Roman"/>
                <w:sz w:val="22"/>
                <w:szCs w:val="22"/>
                <w:color w:val="auto"/>
                <w:vertAlign w:val="superscript"/>
              </w:rPr>
              <w:t>(1)</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right="100" w:firstLine="400"/>
        <w:spacing w:after="0" w:line="253" w:lineRule="auto"/>
        <w:tabs>
          <w:tab w:leader="none" w:pos="68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includes $5,455 and $10,006 related to USD purchases against sale of ZAR 94,303 and ZAR 188,373 as of September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3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the fair value of the foreign currency forward contracts and their location on the 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8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Derivatives in cash flow hedging</w:t>
            </w:r>
          </w:p>
        </w:tc>
        <w:tc>
          <w:tcPr>
            <w:tcW w:w="180" w:type="dxa"/>
            <w:vAlign w:val="bottom"/>
          </w:tcPr>
          <w:p>
            <w:pPr>
              <w:spacing w:after="0"/>
              <w:rPr>
                <w:sz w:val="16"/>
                <w:szCs w:val="16"/>
                <w:color w:val="auto"/>
              </w:rPr>
            </w:pPr>
          </w:p>
        </w:tc>
        <w:tc>
          <w:tcPr>
            <w:tcW w:w="3540" w:type="dxa"/>
            <w:vAlign w:val="bottom"/>
            <w:gridSpan w:val="4"/>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w w:val="98"/>
              </w:rPr>
              <w:t>Derivatives not designated as hedging</w:t>
            </w:r>
          </w:p>
        </w:tc>
      </w:tr>
      <w:tr>
        <w:trPr>
          <w:trHeight w:val="210"/>
        </w:trPr>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8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relationships</w:t>
            </w:r>
          </w:p>
        </w:tc>
        <w:tc>
          <w:tcPr>
            <w:tcW w:w="180" w:type="dxa"/>
            <w:vAlign w:val="bottom"/>
          </w:tcPr>
          <w:p>
            <w:pPr>
              <w:spacing w:after="0"/>
              <w:rPr>
                <w:sz w:val="18"/>
                <w:szCs w:val="18"/>
                <w:color w:val="auto"/>
              </w:rPr>
            </w:pPr>
          </w:p>
        </w:tc>
        <w:tc>
          <w:tcPr>
            <w:tcW w:w="3540" w:type="dxa"/>
            <w:vAlign w:val="bottom"/>
            <w:gridSpan w:val="4"/>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7"/>
              </w:rPr>
              <w:t>instruments</w:t>
            </w:r>
          </w:p>
        </w:tc>
      </w:tr>
      <w:tr>
        <w:trPr>
          <w:trHeight w:val="204"/>
        </w:trPr>
        <w:tc>
          <w:tcPr>
            <w:tcW w:w="33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900" w:type="dxa"/>
            <w:vAlign w:val="bottom"/>
            <w:tcBorders>
              <w:top w:val="single" w:sz="8" w:color="auto"/>
              <w:bottom w:val="single" w:sz="8" w:color="auto"/>
            </w:tcBorders>
            <w:gridSpan w:val="3"/>
          </w:tcPr>
          <w:p>
            <w:pPr>
              <w:jc w:val="center"/>
              <w:ind w:left="1337"/>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920" w:type="dxa"/>
            <w:vAlign w:val="bottom"/>
            <w:tcBorders>
              <w:top w:val="single" w:sz="8" w:color="auto"/>
              <w:bottom w:val="single" w:sz="8" w:color="auto"/>
            </w:tcBorders>
            <w:gridSpan w:val="3"/>
          </w:tcPr>
          <w:p>
            <w:pPr>
              <w:jc w:val="center"/>
              <w:ind w:left="1357"/>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20" w:type="dxa"/>
            <w:vAlign w:val="bottom"/>
            <w:tcBorders>
              <w:top w:val="single" w:sz="8" w:color="auto"/>
              <w:bottom w:val="single" w:sz="8" w:color="auto"/>
            </w:tcBorders>
          </w:tcPr>
          <w:p>
            <w:pPr>
              <w:spacing w:after="0"/>
              <w:rPr>
                <w:sz w:val="17"/>
                <w:szCs w:val="17"/>
                <w:color w:val="auto"/>
              </w:rPr>
            </w:pPr>
          </w:p>
        </w:tc>
      </w:tr>
      <w:tr>
        <w:trPr>
          <w:trHeight w:val="204"/>
        </w:trPr>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Pr>
          <w:p>
            <w:pPr>
              <w:spacing w:after="0"/>
              <w:rPr>
                <w:sz w:val="17"/>
                <w:szCs w:val="17"/>
                <w:color w:val="auto"/>
              </w:rPr>
            </w:pPr>
          </w:p>
        </w:tc>
        <w:tc>
          <w:tcPr>
            <w:tcW w:w="158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0" w:type="dxa"/>
            <w:vAlign w:val="bottom"/>
          </w:tcPr>
          <w:p>
            <w:pPr>
              <w:spacing w:after="0"/>
              <w:rPr>
                <w:sz w:val="17"/>
                <w:szCs w:val="17"/>
                <w:color w:val="auto"/>
              </w:rPr>
            </w:pPr>
          </w:p>
        </w:tc>
        <w:tc>
          <w:tcPr>
            <w:tcW w:w="162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5"/>
        </w:trPr>
        <w:tc>
          <w:tcPr>
            <w:tcW w:w="330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r>
      <w:tr>
        <w:trPr>
          <w:trHeight w:val="224"/>
        </w:trPr>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4"/>
        </w:trPr>
        <w:tc>
          <w:tcPr>
            <w:tcW w:w="3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171"/>
        </w:trPr>
        <w:tc>
          <w:tcPr>
            <w:tcW w:w="3300" w:type="dxa"/>
            <w:vAlign w:val="bottom"/>
            <w:shd w:val="clear" w:color="auto" w:fill="CCEEFF"/>
          </w:tcPr>
          <w:p>
            <w:pPr>
              <w:ind w:left="100"/>
              <w:spacing w:after="0" w:line="171" w:lineRule="exact"/>
              <w:rPr>
                <w:sz w:val="20"/>
                <w:szCs w:val="20"/>
                <w:color w:val="auto"/>
              </w:rPr>
            </w:pPr>
            <w:r>
              <w:rPr>
                <w:rFonts w:ascii="Times New Roman" w:cs="Times New Roman" w:eastAsia="Times New Roman" w:hAnsi="Times New Roman"/>
                <w:sz w:val="18"/>
                <w:szCs w:val="18"/>
                <w:color w:val="auto"/>
              </w:rPr>
              <w:t>Accrued expenses and other</w:t>
            </w:r>
          </w:p>
        </w:tc>
        <w:tc>
          <w:tcPr>
            <w:tcW w:w="1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12,560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7,404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317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50</w:t>
            </w:r>
          </w:p>
        </w:tc>
      </w:tr>
      <w:tr>
        <w:trPr>
          <w:trHeight w:val="237"/>
        </w:trPr>
        <w:tc>
          <w:tcPr>
            <w:tcW w:w="3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28"/>
        </w:trPr>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93" w:lineRule="exact"/>
        <w:rPr>
          <w:sz w:val="20"/>
          <w:szCs w:val="20"/>
          <w:color w:val="auto"/>
        </w:rPr>
      </w:pPr>
    </w:p>
    <w:p>
      <w:pPr>
        <w:ind w:firstLine="395"/>
        <w:spacing w:after="0" w:line="239" w:lineRule="auto"/>
        <w:rPr>
          <w:sz w:val="20"/>
          <w:szCs w:val="20"/>
          <w:color w:val="auto"/>
        </w:rPr>
      </w:pPr>
      <w:r>
        <w:rPr>
          <w:rFonts w:ascii="Times New Roman" w:cs="Times New Roman" w:eastAsia="Times New Roman" w:hAnsi="Times New Roman"/>
          <w:sz w:val="18"/>
          <w:szCs w:val="18"/>
          <w:color w:val="auto"/>
        </w:rPr>
        <w:t>The following table sets forth the effect of foreign currency forward contracts and interest rate swaps on AOCI and the unaudited consolidated statements of income: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31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7"/>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financial instruments:</w:t>
            </w: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8"/>
                <w:szCs w:val="18"/>
                <w:color w:val="auto"/>
              </w:rPr>
            </w:pPr>
          </w:p>
        </w:tc>
      </w:tr>
      <w:tr>
        <w:trPr>
          <w:trHeight w:val="139"/>
        </w:trPr>
        <w:tc>
          <w:tcPr>
            <w:tcW w:w="45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6"/>
                <w:szCs w:val="16"/>
                <w:b w:val="1"/>
                <w:bCs w:val="1"/>
                <w:color w:val="auto"/>
              </w:rPr>
              <w:t>Unrealized gain/(loss) recognized in other comprehensive income</w:t>
            </w: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20" w:type="dxa"/>
            <w:vAlign w:val="bottom"/>
          </w:tcPr>
          <w:p>
            <w:pPr>
              <w:spacing w:after="0"/>
              <w:rPr>
                <w:sz w:val="12"/>
                <w:szCs w:val="12"/>
                <w:color w:val="auto"/>
              </w:rPr>
            </w:pPr>
          </w:p>
        </w:tc>
      </w:tr>
      <w:tr>
        <w:trPr>
          <w:trHeight w:val="21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(“OCI”)</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r>
      <w:tr>
        <w:trPr>
          <w:trHeight w:val="256"/>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240" w:type="dxa"/>
            <w:vAlign w:val="bottom"/>
            <w:tcBorders>
              <w:bottom w:val="single" w:sz="8" w:color="CCEEFF"/>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(25,816)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(10,392)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320" w:type="dxa"/>
            <w:vAlign w:val="bottom"/>
          </w:tcPr>
          <w:p>
            <w:pPr>
              <w:spacing w:after="0"/>
              <w:rPr>
                <w:sz w:val="22"/>
                <w:szCs w:val="22"/>
                <w:color w:val="auto"/>
              </w:rPr>
            </w:pPr>
          </w:p>
        </w:tc>
      </w:tr>
      <w:tr>
        <w:trPr>
          <w:trHeight w:val="210"/>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recognized in unaudited consolidated statements of income</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2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320" w:type="dxa"/>
            <w:vAlign w:val="bottom"/>
          </w:tcPr>
          <w:p>
            <w:pPr>
              <w:spacing w:after="0"/>
              <w:rPr>
                <w:sz w:val="19"/>
                <w:szCs w:val="19"/>
                <w:color w:val="auto"/>
              </w:rPr>
            </w:pPr>
          </w:p>
        </w:tc>
      </w:tr>
      <w:tr>
        <w:trPr>
          <w:trHeight w:val="881"/>
        </w:trPr>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12"/>
        </w:trPr>
        <w:tc>
          <w:tcPr>
            <w:tcW w:w="45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395"/>
        <w:spacing w:after="0" w:line="265" w:lineRule="auto"/>
        <w:rPr>
          <w:sz w:val="20"/>
          <w:szCs w:val="20"/>
          <w:color w:val="auto"/>
        </w:rPr>
      </w:pPr>
      <w:r>
        <w:rPr>
          <w:rFonts w:ascii="Times New Roman" w:cs="Times New Roman" w:eastAsia="Times New Roman" w:hAnsi="Times New Roman"/>
          <w:sz w:val="18"/>
          <w:szCs w:val="18"/>
          <w:color w:val="auto"/>
        </w:rPr>
        <w:t>The following table sets forth the location and amount of gain/(loss) recognized in unaudited consolidated statements of income for derivatives in cash flow hedging relationships and derivatives not designated as hedging instruments: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17"/>
        </w:trPr>
        <w:tc>
          <w:tcPr>
            <w:tcW w:w="5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Borders>
              <w:bottom w:val="single" w:sz="8" w:color="auto"/>
            </w:tcBorders>
          </w:tcPr>
          <w:p>
            <w:pPr>
              <w:spacing w:after="0"/>
              <w:rPr>
                <w:sz w:val="18"/>
                <w:szCs w:val="18"/>
                <w:color w:val="auto"/>
              </w:rPr>
            </w:pPr>
          </w:p>
        </w:tc>
      </w:tr>
      <w:tr>
        <w:trPr>
          <w:trHeight w:val="151"/>
        </w:trPr>
        <w:tc>
          <w:tcPr>
            <w:tcW w:w="5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gridSpan w:val="3"/>
            <w:shd w:val="clear" w:color="auto" w:fill="CCEEFF"/>
          </w:tcPr>
          <w:p>
            <w:pPr>
              <w:jc w:val="center"/>
              <w:ind w:right="100"/>
              <w:spacing w:after="0" w:line="152" w:lineRule="exact"/>
              <w:rPr>
                <w:sz w:val="20"/>
                <w:szCs w:val="20"/>
                <w:color w:val="auto"/>
              </w:rPr>
            </w:pPr>
            <w:r>
              <w:rPr>
                <w:rFonts w:ascii="Times New Roman" w:cs="Times New Roman" w:eastAsia="Times New Roman" w:hAnsi="Times New Roman"/>
                <w:sz w:val="16"/>
                <w:szCs w:val="16"/>
                <w:b w:val="1"/>
                <w:bCs w:val="1"/>
                <w:color w:val="auto"/>
                <w:w w:val="98"/>
              </w:rPr>
              <w:t>As per unaudited</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center"/>
              <w:ind w:right="75"/>
              <w:spacing w:after="0" w:line="152" w:lineRule="exact"/>
              <w:rPr>
                <w:sz w:val="20"/>
                <w:szCs w:val="20"/>
                <w:color w:val="auto"/>
              </w:rPr>
            </w:pPr>
            <w:r>
              <w:rPr>
                <w:rFonts w:ascii="Times New Roman" w:cs="Times New Roman" w:eastAsia="Times New Roman" w:hAnsi="Times New Roman"/>
                <w:sz w:val="16"/>
                <w:szCs w:val="16"/>
                <w:b w:val="1"/>
                <w:bCs w:val="1"/>
                <w:color w:val="auto"/>
                <w:w w:val="97"/>
              </w:rPr>
              <w:t>Gain/(loss) on</w:t>
            </w:r>
          </w:p>
        </w:tc>
        <w:tc>
          <w:tcPr>
            <w:tcW w:w="100" w:type="dxa"/>
            <w:vAlign w:val="bottom"/>
            <w:shd w:val="clear" w:color="auto" w:fill="CCEEFF"/>
          </w:tcPr>
          <w:p>
            <w:pPr>
              <w:spacing w:after="0"/>
              <w:rPr>
                <w:sz w:val="13"/>
                <w:szCs w:val="13"/>
                <w:color w:val="auto"/>
              </w:rPr>
            </w:pPr>
          </w:p>
        </w:tc>
        <w:tc>
          <w:tcPr>
            <w:tcW w:w="1420" w:type="dxa"/>
            <w:vAlign w:val="bottom"/>
            <w:gridSpan w:val="3"/>
            <w:shd w:val="clear" w:color="auto" w:fill="CCEEFF"/>
          </w:tcPr>
          <w:p>
            <w:pPr>
              <w:jc w:val="center"/>
              <w:ind w:right="100"/>
              <w:spacing w:after="0" w:line="152" w:lineRule="exact"/>
              <w:rPr>
                <w:sz w:val="20"/>
                <w:szCs w:val="20"/>
                <w:color w:val="auto"/>
              </w:rPr>
            </w:pPr>
            <w:r>
              <w:rPr>
                <w:rFonts w:ascii="Times New Roman" w:cs="Times New Roman" w:eastAsia="Times New Roman" w:hAnsi="Times New Roman"/>
                <w:sz w:val="16"/>
                <w:szCs w:val="16"/>
                <w:b w:val="1"/>
                <w:bCs w:val="1"/>
                <w:color w:val="auto"/>
                <w:w w:val="98"/>
              </w:rPr>
              <w:t>As per unaudited</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center"/>
              <w:ind w:right="55"/>
              <w:spacing w:after="0" w:line="152" w:lineRule="exact"/>
              <w:rPr>
                <w:sz w:val="20"/>
                <w:szCs w:val="20"/>
                <w:color w:val="auto"/>
              </w:rPr>
            </w:pPr>
            <w:r>
              <w:rPr>
                <w:rFonts w:ascii="Times New Roman" w:cs="Times New Roman" w:eastAsia="Times New Roman" w:hAnsi="Times New Roman"/>
                <w:sz w:val="16"/>
                <w:szCs w:val="16"/>
                <w:b w:val="1"/>
                <w:bCs w:val="1"/>
                <w:color w:val="auto"/>
                <w:w w:val="99"/>
              </w:rPr>
              <w:t>Gain/(loss) on</w:t>
            </w:r>
          </w:p>
        </w:tc>
      </w:tr>
      <w:tr>
        <w:trPr>
          <w:trHeight w:val="158"/>
        </w:trPr>
        <w:tc>
          <w:tcPr>
            <w:tcW w:w="5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8"/>
              </w:rPr>
              <w:t>consolidated</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center"/>
              <w:ind w:right="75"/>
              <w:spacing w:after="0" w:line="158" w:lineRule="exact"/>
              <w:rPr>
                <w:sz w:val="20"/>
                <w:szCs w:val="20"/>
                <w:color w:val="auto"/>
              </w:rPr>
            </w:pPr>
            <w:r>
              <w:rPr>
                <w:rFonts w:ascii="Times New Roman" w:cs="Times New Roman" w:eastAsia="Times New Roman" w:hAnsi="Times New Roman"/>
                <w:sz w:val="16"/>
                <w:szCs w:val="16"/>
                <w:b w:val="1"/>
                <w:bCs w:val="1"/>
                <w:color w:val="auto"/>
                <w:w w:val="99"/>
              </w:rPr>
              <w:t>derivative</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8"/>
              </w:rPr>
              <w:t>consolidated</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center"/>
              <w:ind w:right="75"/>
              <w:spacing w:after="0" w:line="158" w:lineRule="exact"/>
              <w:rPr>
                <w:sz w:val="20"/>
                <w:szCs w:val="20"/>
                <w:color w:val="auto"/>
              </w:rPr>
            </w:pPr>
            <w:r>
              <w:rPr>
                <w:rFonts w:ascii="Times New Roman" w:cs="Times New Roman" w:eastAsia="Times New Roman" w:hAnsi="Times New Roman"/>
                <w:sz w:val="16"/>
                <w:szCs w:val="16"/>
                <w:b w:val="1"/>
                <w:bCs w:val="1"/>
                <w:color w:val="auto"/>
                <w:w w:val="99"/>
              </w:rPr>
              <w:t>derivative</w:t>
            </w:r>
          </w:p>
        </w:tc>
      </w:tr>
      <w:tr>
        <w:trPr>
          <w:trHeight w:val="158"/>
        </w:trPr>
        <w:tc>
          <w:tcPr>
            <w:tcW w:w="5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7"/>
              </w:rPr>
              <w:t>statements of</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center"/>
              <w:ind w:right="75"/>
              <w:spacing w:after="0" w:line="158" w:lineRule="exact"/>
              <w:rPr>
                <w:sz w:val="20"/>
                <w:szCs w:val="20"/>
                <w:color w:val="auto"/>
              </w:rPr>
            </w:pPr>
            <w:r>
              <w:rPr>
                <w:rFonts w:ascii="Times New Roman" w:cs="Times New Roman" w:eastAsia="Times New Roman" w:hAnsi="Times New Roman"/>
                <w:sz w:val="16"/>
                <w:szCs w:val="16"/>
                <w:b w:val="1"/>
                <w:bCs w:val="1"/>
                <w:color w:val="auto"/>
              </w:rPr>
              <w:t>financial</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7"/>
              </w:rPr>
              <w:t>statements of</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center"/>
              <w:ind w:right="75"/>
              <w:spacing w:after="0" w:line="158" w:lineRule="exact"/>
              <w:rPr>
                <w:sz w:val="20"/>
                <w:szCs w:val="20"/>
                <w:color w:val="auto"/>
              </w:rPr>
            </w:pPr>
            <w:r>
              <w:rPr>
                <w:rFonts w:ascii="Times New Roman" w:cs="Times New Roman" w:eastAsia="Times New Roman" w:hAnsi="Times New Roman"/>
                <w:sz w:val="16"/>
                <w:szCs w:val="16"/>
                <w:b w:val="1"/>
                <w:bCs w:val="1"/>
                <w:color w:val="auto"/>
              </w:rPr>
              <w:t>financial</w:t>
            </w:r>
          </w:p>
        </w:tc>
      </w:tr>
      <w:tr>
        <w:trPr>
          <w:trHeight w:val="211"/>
        </w:trPr>
        <w:tc>
          <w:tcPr>
            <w:tcW w:w="5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7"/>
              </w:rPr>
              <w:t>instruments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7"/>
              </w:rPr>
              <w:t>instruments</w:t>
            </w:r>
          </w:p>
        </w:tc>
      </w:tr>
      <w:tr>
        <w:trPr>
          <w:trHeight w:val="217"/>
        </w:trPr>
        <w:tc>
          <w:tcPr>
            <w:tcW w:w="5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in cash flow hedging relationships</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171"/>
        </w:trPr>
        <w:tc>
          <w:tcPr>
            <w:tcW w:w="528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Location in unaudited consolidated statements of income where</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37"/>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gain/(loss) was reclassified from AOCI</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472,073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2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4"/>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4"/>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17"/>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before tax</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r>
      <w:tr>
        <w:trPr>
          <w:trHeight w:val="224"/>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effects on above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7"/>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of tax</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72"/>
        </w:trPr>
        <w:tc>
          <w:tcPr>
            <w:tcW w:w="5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2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71"/>
        </w:trPr>
        <w:tc>
          <w:tcPr>
            <w:tcW w:w="528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Location in unaudited consolidated statements of income where</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37"/>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gain/(loss) was recognized</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53"/>
        </w:trPr>
        <w:tc>
          <w:tcPr>
            <w:tcW w:w="5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24"/>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gain/(loss),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bl>
    <w:p>
      <w:pPr>
        <w:spacing w:after="0" w:line="200" w:lineRule="exact"/>
        <w:rPr>
          <w:sz w:val="20"/>
          <w:szCs w:val="20"/>
          <w:color w:val="auto"/>
        </w:rPr>
      </w:pPr>
    </w:p>
    <w:p>
      <w:pPr>
        <w:sectPr>
          <w:pgSz w:w="11900" w:h="16838" w:orient="portrait"/>
          <w:cols w:equalWidth="0" w:num="1">
            <w:col w:w="10980"/>
          </w:cols>
          <w:pgMar w:left="320" w:top="119"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80"/>
          </w:cols>
          <w:pgMar w:left="320" w:top="119" w:right="5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6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sets forth the location and amount of gain/(loss) recognized in unaudited consolidated statements of income for derivatives in cash flow hedging relationships and derivatives not designated as hedging instruments:</w:t>
      </w:r>
    </w:p>
    <w:p>
      <w:pPr>
        <w:spacing w:after="0" w:line="290"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4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05"/>
        </w:trPr>
        <w:tc>
          <w:tcPr>
            <w:tcW w:w="49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20" w:type="dxa"/>
            <w:vAlign w:val="bottom"/>
            <w:tcBorders>
              <w:bottom w:val="single" w:sz="8" w:color="auto"/>
            </w:tcBorders>
          </w:tcPr>
          <w:p>
            <w:pPr>
              <w:spacing w:after="0"/>
              <w:rPr>
                <w:sz w:val="17"/>
                <w:szCs w:val="17"/>
                <w:color w:val="auto"/>
              </w:rPr>
            </w:pPr>
          </w:p>
        </w:tc>
      </w:tr>
      <w:tr>
        <w:trPr>
          <w:trHeight w:val="152"/>
        </w:trPr>
        <w:tc>
          <w:tcPr>
            <w:tcW w:w="4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center"/>
              <w:ind w:right="220"/>
              <w:spacing w:after="0" w:line="152" w:lineRule="exact"/>
              <w:rPr>
                <w:sz w:val="20"/>
                <w:szCs w:val="20"/>
                <w:color w:val="auto"/>
              </w:rPr>
            </w:pPr>
            <w:r>
              <w:rPr>
                <w:rFonts w:ascii="Times New Roman" w:cs="Times New Roman" w:eastAsia="Times New Roman" w:hAnsi="Times New Roman"/>
                <w:sz w:val="16"/>
                <w:szCs w:val="16"/>
                <w:b w:val="1"/>
                <w:bCs w:val="1"/>
                <w:color w:val="auto"/>
                <w:w w:val="98"/>
              </w:rPr>
              <w:t>As per unaudited</w:t>
            </w: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jc w:val="center"/>
              <w:ind w:right="35"/>
              <w:spacing w:after="0" w:line="152" w:lineRule="exact"/>
              <w:rPr>
                <w:sz w:val="20"/>
                <w:szCs w:val="20"/>
                <w:color w:val="auto"/>
              </w:rPr>
            </w:pPr>
            <w:r>
              <w:rPr>
                <w:rFonts w:ascii="Times New Roman" w:cs="Times New Roman" w:eastAsia="Times New Roman" w:hAnsi="Times New Roman"/>
                <w:sz w:val="16"/>
                <w:szCs w:val="16"/>
                <w:b w:val="1"/>
                <w:bCs w:val="1"/>
                <w:color w:val="auto"/>
                <w:w w:val="99"/>
              </w:rPr>
              <w:t>Gain/(loss) on</w:t>
            </w:r>
          </w:p>
        </w:tc>
        <w:tc>
          <w:tcPr>
            <w:tcW w:w="100" w:type="dxa"/>
            <w:vAlign w:val="bottom"/>
            <w:shd w:val="clear" w:color="auto" w:fill="CCEEFF"/>
          </w:tcPr>
          <w:p>
            <w:pPr>
              <w:spacing w:after="0"/>
              <w:rPr>
                <w:sz w:val="13"/>
                <w:szCs w:val="13"/>
                <w:color w:val="auto"/>
              </w:rPr>
            </w:pPr>
          </w:p>
        </w:tc>
        <w:tc>
          <w:tcPr>
            <w:tcW w:w="1380" w:type="dxa"/>
            <w:vAlign w:val="bottom"/>
            <w:gridSpan w:val="3"/>
            <w:shd w:val="clear" w:color="auto" w:fill="CCEEFF"/>
          </w:tcPr>
          <w:p>
            <w:pPr>
              <w:jc w:val="center"/>
              <w:ind w:right="100"/>
              <w:spacing w:after="0" w:line="152" w:lineRule="exact"/>
              <w:rPr>
                <w:sz w:val="20"/>
                <w:szCs w:val="20"/>
                <w:color w:val="auto"/>
              </w:rPr>
            </w:pPr>
            <w:r>
              <w:rPr>
                <w:rFonts w:ascii="Times New Roman" w:cs="Times New Roman" w:eastAsia="Times New Roman" w:hAnsi="Times New Roman"/>
                <w:sz w:val="16"/>
                <w:szCs w:val="16"/>
                <w:b w:val="1"/>
                <w:bCs w:val="1"/>
                <w:color w:val="auto"/>
                <w:w w:val="98"/>
              </w:rPr>
              <w:t>As per unaudited</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center"/>
              <w:ind w:right="55"/>
              <w:spacing w:after="0" w:line="152" w:lineRule="exact"/>
              <w:rPr>
                <w:sz w:val="20"/>
                <w:szCs w:val="20"/>
                <w:color w:val="auto"/>
              </w:rPr>
            </w:pPr>
            <w:r>
              <w:rPr>
                <w:rFonts w:ascii="Times New Roman" w:cs="Times New Roman" w:eastAsia="Times New Roman" w:hAnsi="Times New Roman"/>
                <w:sz w:val="16"/>
                <w:szCs w:val="16"/>
                <w:b w:val="1"/>
                <w:bCs w:val="1"/>
                <w:color w:val="auto"/>
                <w:w w:val="99"/>
              </w:rPr>
              <w:t>Gain/(loss) on</w:t>
            </w:r>
          </w:p>
        </w:tc>
      </w:tr>
      <w:tr>
        <w:trPr>
          <w:trHeight w:val="158"/>
        </w:trPr>
        <w:tc>
          <w:tcPr>
            <w:tcW w:w="4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consolidated</w:t>
            </w: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jc w:val="center"/>
              <w:ind w:right="35"/>
              <w:spacing w:after="0" w:line="158" w:lineRule="exact"/>
              <w:rPr>
                <w:sz w:val="20"/>
                <w:szCs w:val="20"/>
                <w:color w:val="auto"/>
              </w:rPr>
            </w:pPr>
            <w:r>
              <w:rPr>
                <w:rFonts w:ascii="Times New Roman" w:cs="Times New Roman" w:eastAsia="Times New Roman" w:hAnsi="Times New Roman"/>
                <w:sz w:val="16"/>
                <w:szCs w:val="16"/>
                <w:b w:val="1"/>
                <w:bCs w:val="1"/>
                <w:color w:val="auto"/>
                <w:w w:val="96"/>
              </w:rPr>
              <w:t>derivative</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8"/>
              </w:rPr>
              <w:t>consolidated</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center"/>
              <w:ind w:right="55"/>
              <w:spacing w:after="0" w:line="158" w:lineRule="exact"/>
              <w:rPr>
                <w:sz w:val="20"/>
                <w:szCs w:val="20"/>
                <w:color w:val="auto"/>
              </w:rPr>
            </w:pPr>
            <w:r>
              <w:rPr>
                <w:rFonts w:ascii="Times New Roman" w:cs="Times New Roman" w:eastAsia="Times New Roman" w:hAnsi="Times New Roman"/>
                <w:sz w:val="16"/>
                <w:szCs w:val="16"/>
                <w:b w:val="1"/>
                <w:bCs w:val="1"/>
                <w:color w:val="auto"/>
                <w:w w:val="96"/>
              </w:rPr>
              <w:t>derivative</w:t>
            </w:r>
          </w:p>
        </w:tc>
      </w:tr>
      <w:tr>
        <w:trPr>
          <w:trHeight w:val="158"/>
        </w:trPr>
        <w:tc>
          <w:tcPr>
            <w:tcW w:w="4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7"/>
              </w:rPr>
              <w:t>statements of</w:t>
            </w: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jc w:val="center"/>
              <w:ind w:right="35"/>
              <w:spacing w:after="0" w:line="158" w:lineRule="exact"/>
              <w:rPr>
                <w:sz w:val="20"/>
                <w:szCs w:val="20"/>
                <w:color w:val="auto"/>
              </w:rPr>
            </w:pPr>
            <w:r>
              <w:rPr>
                <w:rFonts w:ascii="Times New Roman" w:cs="Times New Roman" w:eastAsia="Times New Roman" w:hAnsi="Times New Roman"/>
                <w:sz w:val="16"/>
                <w:szCs w:val="16"/>
                <w:b w:val="1"/>
                <w:bCs w:val="1"/>
                <w:color w:val="auto"/>
                <w:w w:val="97"/>
              </w:rPr>
              <w:t>financial</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7"/>
              </w:rPr>
              <w:t>statements of</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center"/>
              <w:ind w:right="55"/>
              <w:spacing w:after="0" w:line="158" w:lineRule="exact"/>
              <w:rPr>
                <w:sz w:val="20"/>
                <w:szCs w:val="20"/>
                <w:color w:val="auto"/>
              </w:rPr>
            </w:pPr>
            <w:r>
              <w:rPr>
                <w:rFonts w:ascii="Times New Roman" w:cs="Times New Roman" w:eastAsia="Times New Roman" w:hAnsi="Times New Roman"/>
                <w:sz w:val="16"/>
                <w:szCs w:val="16"/>
                <w:b w:val="1"/>
                <w:bCs w:val="1"/>
                <w:color w:val="auto"/>
                <w:w w:val="97"/>
              </w:rPr>
              <w:t>financial</w:t>
            </w:r>
          </w:p>
        </w:tc>
      </w:tr>
      <w:tr>
        <w:trPr>
          <w:trHeight w:val="211"/>
        </w:trPr>
        <w:tc>
          <w:tcPr>
            <w:tcW w:w="4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instruments</w:t>
            </w:r>
          </w:p>
        </w:tc>
      </w:tr>
      <w:tr>
        <w:trPr>
          <w:trHeight w:val="203"/>
        </w:trPr>
        <w:tc>
          <w:tcPr>
            <w:tcW w:w="4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in cash flow hedging relationships</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180"/>
        </w:trPr>
        <w:tc>
          <w:tcPr>
            <w:tcW w:w="506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Location in unaudited consolidated statements of income where</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29"/>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gain/(loss) was reclassified from AOCI</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4"/>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1,545,064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1,356,946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4"/>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4"/>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4"/>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4"/>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17"/>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before tax</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4"/>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effects on above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17"/>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of tax</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39"/>
        </w:trPr>
        <w:tc>
          <w:tcPr>
            <w:tcW w:w="49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4"/>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79"/>
        </w:trPr>
        <w:tc>
          <w:tcPr>
            <w:tcW w:w="506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Location in unaudited consolidated statements of income where</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29"/>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gain/(loss) was recognized</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53"/>
        </w:trPr>
        <w:tc>
          <w:tcPr>
            <w:tcW w:w="4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24"/>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gain/(loss),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Borrowings</w:t>
      </w:r>
    </w:p>
    <w:p>
      <w:pPr>
        <w:spacing w:after="0" w:line="3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summarizes the Company’s debt position under its credit agreement with Citibank, N.A:</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17"/>
                <w:szCs w:val="17"/>
                <w:color w:val="auto"/>
              </w:rPr>
            </w:pPr>
          </w:p>
        </w:tc>
        <w:tc>
          <w:tcPr>
            <w:tcW w:w="29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w w:val="97"/>
              </w:rPr>
              <w:t>December 31, 2024</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00" w:type="dxa"/>
            <w:vAlign w:val="bottom"/>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center"/>
              <w:ind w:right="200"/>
              <w:spacing w:after="0" w:line="152" w:lineRule="exact"/>
              <w:rPr>
                <w:sz w:val="20"/>
                <w:szCs w:val="20"/>
                <w:color w:val="auto"/>
              </w:rPr>
            </w:pPr>
            <w:r>
              <w:rPr>
                <w:rFonts w:ascii="Times New Roman" w:cs="Times New Roman" w:eastAsia="Times New Roman" w:hAnsi="Times New Roman"/>
                <w:sz w:val="16"/>
                <w:szCs w:val="16"/>
                <w:b w:val="1"/>
                <w:bCs w:val="1"/>
                <w:color w:val="auto"/>
                <w:w w:val="97"/>
              </w:rPr>
              <w:t>Revolving credit</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center"/>
              <w:ind w:right="240"/>
              <w:spacing w:after="0" w:line="152" w:lineRule="exact"/>
              <w:rPr>
                <w:sz w:val="20"/>
                <w:szCs w:val="20"/>
                <w:color w:val="auto"/>
              </w:rPr>
            </w:pPr>
            <w:r>
              <w:rPr>
                <w:rFonts w:ascii="Times New Roman" w:cs="Times New Roman" w:eastAsia="Times New Roman" w:hAnsi="Times New Roman"/>
                <w:sz w:val="16"/>
                <w:szCs w:val="16"/>
                <w:b w:val="1"/>
                <w:bCs w:val="1"/>
                <w:color w:val="auto"/>
                <w:w w:val="97"/>
              </w:rPr>
              <w:t>Term loan</w:t>
            </w:r>
          </w:p>
        </w:tc>
        <w:tc>
          <w:tcPr>
            <w:tcW w:w="2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60" w:type="dxa"/>
            <w:vAlign w:val="bottom"/>
            <w:gridSpan w:val="3"/>
            <w:shd w:val="clear" w:color="auto" w:fill="CCEEFF"/>
          </w:tcPr>
          <w:p>
            <w:pPr>
              <w:ind w:left="80"/>
              <w:spacing w:after="0" w:line="152" w:lineRule="exact"/>
              <w:rPr>
                <w:sz w:val="20"/>
                <w:szCs w:val="20"/>
                <w:color w:val="auto"/>
              </w:rPr>
            </w:pPr>
            <w:r>
              <w:rPr>
                <w:rFonts w:ascii="Times New Roman" w:cs="Times New Roman" w:eastAsia="Times New Roman" w:hAnsi="Times New Roman"/>
                <w:sz w:val="16"/>
                <w:szCs w:val="16"/>
                <w:b w:val="1"/>
                <w:bCs w:val="1"/>
                <w:color w:val="auto"/>
              </w:rPr>
              <w:t>Revolving credit</w:t>
            </w:r>
          </w:p>
        </w:tc>
        <w:tc>
          <w:tcPr>
            <w:tcW w:w="4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facility</w:t>
            </w:r>
          </w:p>
        </w:tc>
        <w:tc>
          <w:tcPr>
            <w:tcW w:w="16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facility</w:t>
            </w:r>
          </w:p>
        </w:tc>
        <w:tc>
          <w:tcPr>
            <w:tcW w:w="220" w:type="dxa"/>
            <w:vAlign w:val="bottom"/>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1380" w:type="dxa"/>
            <w:vAlign w:val="bottom"/>
            <w:gridSpan w:val="4"/>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Term loan facility</w:t>
            </w:r>
          </w:p>
        </w:tc>
        <w:tc>
          <w:tcPr>
            <w:tcW w:w="320" w:type="dxa"/>
            <w:vAlign w:val="bottom"/>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400" w:type="dxa"/>
            <w:vAlign w:val="bottom"/>
          </w:tcPr>
          <w:p>
            <w:pPr>
              <w:spacing w:after="0"/>
              <w:rPr>
                <w:sz w:val="6"/>
                <w:szCs w:val="6"/>
                <w:color w:val="auto"/>
              </w:rPr>
            </w:pPr>
          </w:p>
        </w:tc>
        <w:tc>
          <w:tcPr>
            <w:tcW w:w="2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380" w:type="dxa"/>
            <w:vAlign w:val="bottom"/>
            <w:gridSpan w:val="4"/>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Current portion of long-term borrowings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51"/>
        </w:trPr>
        <w:tc>
          <w:tcPr>
            <w:tcW w:w="400" w:type="dxa"/>
            <w:vAlign w:val="bottom"/>
          </w:tcPr>
          <w:p>
            <w:pPr>
              <w:spacing w:after="0"/>
              <w:rPr>
                <w:sz w:val="13"/>
                <w:szCs w:val="13"/>
                <w:color w:val="auto"/>
              </w:rPr>
            </w:pPr>
          </w:p>
        </w:tc>
        <w:tc>
          <w:tcPr>
            <w:tcW w:w="290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Current portion of long-term</w:t>
            </w: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400" w:type="dxa"/>
            <w:vAlign w:val="bottom"/>
          </w:tcPr>
          <w:p>
            <w:pPr>
              <w:spacing w:after="0"/>
              <w:rPr>
                <w:sz w:val="23"/>
                <w:szCs w:val="23"/>
                <w:color w:val="auto"/>
              </w:rPr>
            </w:pPr>
          </w:p>
        </w:tc>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0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0" w:type="dxa"/>
            <w:vAlign w:val="bottom"/>
          </w:tcPr>
          <w:p>
            <w:pPr>
              <w:spacing w:after="0"/>
              <w:rPr>
                <w:sz w:val="1"/>
                <w:szCs w:val="1"/>
                <w:color w:val="auto"/>
              </w:rPr>
            </w:pPr>
          </w:p>
        </w:tc>
      </w:tr>
      <w:tr>
        <w:trPr>
          <w:trHeight w:val="250"/>
        </w:trPr>
        <w:tc>
          <w:tcPr>
            <w:tcW w:w="400" w:type="dxa"/>
            <w:vAlign w:val="bottom"/>
          </w:tcPr>
          <w:p>
            <w:pPr>
              <w:spacing w:after="0"/>
              <w:rPr>
                <w:sz w:val="21"/>
                <w:szCs w:val="21"/>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283,750</w:t>
            </w:r>
          </w:p>
        </w:tc>
        <w:tc>
          <w:tcPr>
            <w:tcW w:w="0" w:type="dxa"/>
            <w:vAlign w:val="bottom"/>
          </w:tcPr>
          <w:p>
            <w:pPr>
              <w:spacing w:after="0"/>
              <w:rPr>
                <w:sz w:val="1"/>
                <w:szCs w:val="1"/>
                <w:color w:val="auto"/>
              </w:rPr>
            </w:pPr>
          </w:p>
        </w:tc>
      </w:tr>
      <w:tr>
        <w:trPr>
          <w:trHeight w:val="250"/>
        </w:trPr>
        <w:tc>
          <w:tcPr>
            <w:tcW w:w="400" w:type="dxa"/>
            <w:vAlign w:val="bottom"/>
          </w:tcPr>
          <w:p>
            <w:pPr>
              <w:spacing w:after="0"/>
              <w:rPr>
                <w:sz w:val="21"/>
                <w:szCs w:val="21"/>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borrowings</w:t>
            </w: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89,934</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349,934</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93,598</w:t>
            </w: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283,598</w:t>
            </w:r>
          </w:p>
        </w:tc>
        <w:tc>
          <w:tcPr>
            <w:tcW w:w="0" w:type="dxa"/>
            <w:vAlign w:val="bottom"/>
          </w:tcPr>
          <w:p>
            <w:pPr>
              <w:spacing w:after="0"/>
              <w:rPr>
                <w:sz w:val="1"/>
                <w:szCs w:val="1"/>
                <w:color w:val="auto"/>
              </w:rPr>
            </w:pPr>
          </w:p>
        </w:tc>
      </w:tr>
      <w:tr>
        <w:trPr>
          <w:trHeight w:val="242"/>
        </w:trPr>
        <w:tc>
          <w:tcPr>
            <w:tcW w:w="400" w:type="dxa"/>
            <w:vAlign w:val="bottom"/>
          </w:tcPr>
          <w:p>
            <w:pPr>
              <w:spacing w:after="0"/>
              <w:rPr>
                <w:sz w:val="20"/>
                <w:szCs w:val="20"/>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94,820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354,820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98,484</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288,484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4"/>
        </w:trPr>
        <w:tc>
          <w:tcPr>
            <w:tcW w:w="4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0" w:type="dxa"/>
            <w:vAlign w:val="bottom"/>
            <w:tcBorders>
              <w:bottom w:val="single" w:sz="8" w:color="9A9A9A"/>
            </w:tcBorders>
          </w:tcPr>
          <w:p>
            <w:pPr>
              <w:spacing w:after="0"/>
              <w:rPr>
                <w:sz w:val="9"/>
                <w:szCs w:val="9"/>
                <w:color w:val="auto"/>
              </w:rPr>
            </w:pPr>
          </w:p>
        </w:tc>
        <w:tc>
          <w:tcPr>
            <w:tcW w:w="2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color w:val="auto"/>
        </w:rPr>
        <w:t>Unamortized debt issuance costs for the Company’s revolving credit facility of $604 and $895 as of September 30, 2025 and December 31, 2024, respectively, are presented under “Other current assets” and “Other assets,” as applicable in the consolidated balance sheets.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16" w:lineRule="exact"/>
        <w:rPr>
          <w:sz w:val="20"/>
          <w:szCs w:val="20"/>
          <w:color w:val="auto"/>
        </w:rPr>
      </w:pPr>
    </w:p>
    <w:p>
      <w:pPr>
        <w:jc w:val="both"/>
        <w:ind w:firstLine="395"/>
        <w:spacing w:after="0" w:line="236" w:lineRule="auto"/>
        <w:rPr>
          <w:sz w:val="20"/>
          <w:szCs w:val="20"/>
          <w:color w:val="auto"/>
        </w:rPr>
      </w:pPr>
      <w:r>
        <w:rPr>
          <w:rFonts w:ascii="Times New Roman" w:cs="Times New Roman" w:eastAsia="Times New Roman" w:hAnsi="Times New Roman"/>
          <w:sz w:val="18"/>
          <w:szCs w:val="18"/>
          <w:color w:val="auto"/>
        </w:rPr>
        <w:t>The Company held a $300,000 revolving credit facility pursuant to its credit agreement (the “Credit Agreement”), dated as of November 21, 2017 with certain lenders and Citibank N.A. as Administrative Agent. This agreement was amended and restated in April 2022, followed by the First Amendment to Amended and Restated Credit Agreement in August 2024 (the “2024 Credit Agreement”). Among other things, the 2024 Credit Agreement increases revolving credit commitments to $500,000 and provides a new term loan facility of $100,000 with an annual repayment amount of 5%. The increased revolving credit facility and the new term loan facility both mature on April 18, 2027.</w:t>
      </w:r>
    </w:p>
    <w:p>
      <w:pPr>
        <w:spacing w:after="0" w:line="206" w:lineRule="exact"/>
        <w:rPr>
          <w:sz w:val="20"/>
          <w:szCs w:val="20"/>
          <w:color w:val="auto"/>
        </w:rPr>
      </w:pPr>
    </w:p>
    <w:p>
      <w:pPr>
        <w:jc w:val="both"/>
        <w:ind w:firstLine="395"/>
        <w:spacing w:after="0" w:line="229" w:lineRule="auto"/>
        <w:rPr>
          <w:sz w:val="20"/>
          <w:szCs w:val="20"/>
          <w:color w:val="auto"/>
        </w:rPr>
      </w:pPr>
      <w:r>
        <w:rPr>
          <w:rFonts w:ascii="Times New Roman" w:cs="Times New Roman" w:eastAsia="Times New Roman" w:hAnsi="Times New Roman"/>
          <w:sz w:val="18"/>
          <w:szCs w:val="18"/>
          <w:color w:val="auto"/>
        </w:rPr>
        <w:t>Under the 2024 Credit Agreement, obligations bear interest at a rate equal to specified prime rate (alternate base rate) or the adjusted secured overnight financing rate (SOFR) specified therein, plus, in each case, an applicable margin, and are guaranteed by the Company’s wholly-owned material domestic subsidiaries and secured by all or substantially all of the Company’s and its material domestic subsidiaries’ assets. The revolving credit commitments are subject to a commitment fee. The 2024 Credit Agreement includes a letter of credit sub facility and is voluntarily pre-payable from time to time without premium or penalty. Borrowings under the revolving credit facility can be used for working capital and general corporate purposes, including permitted acquisitions.</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effective interest rates of the revolving credit facility and the term loan facility are as follows:</w:t>
      </w:r>
    </w:p>
    <w:p>
      <w:pPr>
        <w:spacing w:after="0" w:line="274"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3900" w:type="dxa"/>
            <w:vAlign w:val="bottom"/>
          </w:tcPr>
          <w:p>
            <w:pPr>
              <w:spacing w:after="0"/>
              <w:rPr>
                <w:sz w:val="16"/>
                <w:szCs w:val="16"/>
                <w:color w:val="auto"/>
              </w:rPr>
            </w:pPr>
          </w:p>
        </w:tc>
        <w:tc>
          <w:tcPr>
            <w:tcW w:w="27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3"/>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900" w:type="dxa"/>
            <w:vAlign w:val="bottom"/>
            <w:gridSpan w:val="2"/>
          </w:tcPr>
          <w:p>
            <w:pPr>
              <w:spacing w:after="0"/>
              <w:rPr>
                <w:sz w:val="2"/>
                <w:szCs w:val="2"/>
                <w:color w:val="auto"/>
              </w:rPr>
            </w:pPr>
          </w:p>
        </w:tc>
        <w:tc>
          <w:tcPr>
            <w:tcW w:w="1760" w:type="dxa"/>
            <w:vAlign w:val="bottom"/>
            <w:gridSpan w:val="3"/>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4"/>
        </w:trPr>
        <w:tc>
          <w:tcPr>
            <w:tcW w:w="3900" w:type="dxa"/>
            <w:vAlign w:val="bottom"/>
          </w:tcPr>
          <w:p>
            <w:pPr>
              <w:spacing w:after="0"/>
              <w:rPr>
                <w:sz w:val="16"/>
                <w:szCs w:val="16"/>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76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0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28"/>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r>
    </w:tbl>
    <w:p>
      <w:pPr>
        <w:spacing w:after="0" w:line="2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September 30, 2025 and December 31, 2024, the Company was in compliance with the financial covenants under the 2024 Credit Agreement.</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maturity profile of the Company’s long-term borrowings, excluding debt issuance costs, outstanding as of September 30, 2025 was as follows:</w:t>
      </w:r>
    </w:p>
    <w:p>
      <w:pPr>
        <w:spacing w:after="0" w:line="282" w:lineRule="exact"/>
        <w:rPr>
          <w:sz w:val="20"/>
          <w:szCs w:val="20"/>
          <w:color w:val="auto"/>
        </w:rPr>
      </w:pPr>
    </w:p>
    <w:tbl>
      <w:tblPr>
        <w:tblLayout w:type="fixed"/>
        <w:tblInd w:w="480" w:type="dxa"/>
        <w:tblCellMar>
          <w:top w:w="0" w:type="dxa"/>
          <w:left w:w="0" w:type="dxa"/>
          <w:bottom w:w="0" w:type="dxa"/>
          <w:right w:w="0" w:type="dxa"/>
        </w:tblCellMar>
      </w:tblPr>
      <w:tr>
        <w:trPr>
          <w:trHeight w:val="211"/>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Revolving credit facility</w:t>
            </w:r>
          </w:p>
        </w:tc>
        <w:tc>
          <w:tcPr>
            <w:tcW w:w="280" w:type="dxa"/>
            <w:vAlign w:val="bottom"/>
          </w:tcPr>
          <w:p>
            <w:pPr>
              <w:spacing w:after="0"/>
              <w:rPr>
                <w:sz w:val="18"/>
                <w:szCs w:val="18"/>
                <w:color w:val="auto"/>
              </w:rPr>
            </w:pPr>
          </w:p>
        </w:tc>
        <w:tc>
          <w:tcPr>
            <w:tcW w:w="184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Term loan facility</w:t>
            </w:r>
          </w:p>
        </w:tc>
      </w:tr>
      <w:tr>
        <w:trPr>
          <w:trHeight w:val="21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(October 1 - December 31)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4"/>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88,750</w:t>
            </w:r>
          </w:p>
        </w:tc>
      </w:tr>
      <w:tr>
        <w:trPr>
          <w:trHeight w:val="21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95,000</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229" w:lineRule="exact"/>
        <w:rPr>
          <w:sz w:val="20"/>
          <w:szCs w:val="20"/>
          <w:color w:val="auto"/>
        </w:rPr>
      </w:pPr>
    </w:p>
    <w:p>
      <w:pPr>
        <w:jc w:val="both"/>
        <w:ind w:firstLine="395"/>
        <w:spacing w:after="0" w:line="241" w:lineRule="auto"/>
        <w:rPr>
          <w:sz w:val="20"/>
          <w:szCs w:val="20"/>
          <w:color w:val="auto"/>
        </w:rPr>
      </w:pPr>
      <w:r>
        <w:rPr>
          <w:rFonts w:ascii="Times New Roman" w:cs="Times New Roman" w:eastAsia="Times New Roman" w:hAnsi="Times New Roman"/>
          <w:sz w:val="18"/>
          <w:szCs w:val="18"/>
          <w:color w:val="auto"/>
        </w:rPr>
        <w:t>In the ordinary course of business, the Company provides standby letters of credit to third parties primarily for facility leases. As of September 30, 2025 and December 31, 2024, the Company had outstanding letters of credit of $741 and $761, respectively, that were not recognized in the consolidated balance sheets.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Capital Structure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one class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31" w:lineRule="exact"/>
        <w:rPr>
          <w:sz w:val="20"/>
          <w:szCs w:val="20"/>
          <w:color w:val="auto"/>
        </w:rPr>
      </w:pPr>
    </w:p>
    <w:p>
      <w:pPr>
        <w:ind w:firstLine="434"/>
        <w:spacing w:after="0" w:line="253" w:lineRule="auto"/>
        <w:rPr>
          <w:sz w:val="20"/>
          <w:szCs w:val="20"/>
          <w:color w:val="auto"/>
        </w:rPr>
      </w:pPr>
      <w:r>
        <w:rPr>
          <w:rFonts w:ascii="Times New Roman" w:cs="Times New Roman" w:eastAsia="Times New Roman" w:hAnsi="Times New Roman"/>
          <w:sz w:val="18"/>
          <w:szCs w:val="18"/>
          <w:color w:val="auto"/>
        </w:rPr>
        <w:t>The Company purchased shares of its common stock from certain employees in connection with withholding tax payments related to the vesting of restricted stock units and performance-based restricted stock units, as below:</w:t>
      </w:r>
    </w:p>
    <w:p>
      <w:pPr>
        <w:spacing w:after="0" w:line="201"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Shares repurchased</w:t>
            </w:r>
          </w:p>
        </w:tc>
        <w:tc>
          <w:tcPr>
            <w:tcW w:w="1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100" w:type="dxa"/>
            <w:vAlign w:val="bottom"/>
          </w:tcPr>
          <w:p>
            <w:pPr>
              <w:spacing w:after="0"/>
              <w:rPr>
                <w:sz w:val="16"/>
                <w:szCs w:val="16"/>
                <w:color w:val="auto"/>
              </w:rPr>
            </w:pPr>
          </w:p>
        </w:tc>
        <w:tc>
          <w:tcPr>
            <w:tcW w:w="236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w w:val="97"/>
              </w:rPr>
              <w:t>Weighted average purchase price</w:t>
            </w:r>
          </w:p>
        </w:tc>
        <w:tc>
          <w:tcPr>
            <w:tcW w:w="0" w:type="dxa"/>
            <w:vAlign w:val="bottom"/>
          </w:tcPr>
          <w:p>
            <w:pPr>
              <w:spacing w:after="0"/>
              <w:rPr>
                <w:sz w:val="1"/>
                <w:szCs w:val="1"/>
                <w:color w:val="auto"/>
              </w:rPr>
            </w:pPr>
          </w:p>
        </w:tc>
      </w:tr>
      <w:tr>
        <w:trPr>
          <w:trHeight w:val="211"/>
        </w:trPr>
        <w:tc>
          <w:tcPr>
            <w:tcW w:w="506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5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jc w:val="right"/>
              <w:ind w:right="755"/>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per share </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17"/>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2025</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91,565</w:t>
            </w:r>
          </w:p>
        </w:tc>
        <w:tc>
          <w:tcPr>
            <w:tcW w:w="80" w:type="dxa"/>
            <w:vAlign w:val="bottom"/>
          </w:tcPr>
          <w:p>
            <w:pPr>
              <w:spacing w:after="0"/>
              <w:rPr>
                <w:sz w:val="19"/>
                <w:szCs w:val="19"/>
                <w:color w:val="auto"/>
              </w:rPr>
            </w:pPr>
          </w:p>
        </w:tc>
        <w:tc>
          <w:tcPr>
            <w:tcW w:w="56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0" w:type="dxa"/>
            <w:vAlign w:val="bottom"/>
          </w:tcPr>
          <w:p>
            <w:pPr>
              <w:spacing w:after="0"/>
              <w:rPr>
                <w:sz w:val="1"/>
                <w:szCs w:val="1"/>
                <w:color w:val="auto"/>
              </w:rPr>
            </w:pPr>
          </w:p>
        </w:tc>
      </w:tr>
      <w:tr>
        <w:trPr>
          <w:trHeight w:val="145"/>
        </w:trPr>
        <w:tc>
          <w:tcPr>
            <w:tcW w:w="50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190,716</w:t>
            </w:r>
          </w:p>
        </w:tc>
        <w:tc>
          <w:tcPr>
            <w:tcW w:w="80" w:type="dxa"/>
            <w:vAlign w:val="bottom"/>
          </w:tcPr>
          <w:p>
            <w:pPr>
              <w:spacing w:after="0"/>
              <w:rPr>
                <w:sz w:val="19"/>
                <w:szCs w:val="19"/>
                <w:color w:val="auto"/>
              </w:rPr>
            </w:pPr>
          </w:p>
        </w:tc>
        <w:tc>
          <w:tcPr>
            <w:tcW w:w="56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0" w:type="dxa"/>
            <w:vAlign w:val="bottom"/>
          </w:tcPr>
          <w:p>
            <w:pPr>
              <w:spacing w:after="0"/>
              <w:rPr>
                <w:sz w:val="1"/>
                <w:szCs w:val="1"/>
                <w:color w:val="auto"/>
              </w:rPr>
            </w:pPr>
          </w:p>
        </w:tc>
      </w:tr>
      <w:tr>
        <w:trPr>
          <w:trHeight w:val="224"/>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291,967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firstLine="400"/>
        <w:spacing w:after="0" w:line="239" w:lineRule="auto"/>
        <w:tabs>
          <w:tab w:leader="none" w:pos="6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purchase price per share is based on the closing price of the Company’s common stock on the Nasdaq Global Select Market on the trading day prior to the applicable vesting date of the restricted stock units.</w:t>
      </w:r>
    </w:p>
    <w:p>
      <w:pPr>
        <w:spacing w:after="0" w:line="206" w:lineRule="exact"/>
        <w:rPr>
          <w:sz w:val="20"/>
          <w:szCs w:val="20"/>
          <w:color w:val="auto"/>
        </w:rPr>
      </w:pPr>
    </w:p>
    <w:p>
      <w:pPr>
        <w:jc w:val="both"/>
        <w:ind w:firstLine="395"/>
        <w:spacing w:after="0" w:line="241" w:lineRule="auto"/>
        <w:rPr>
          <w:sz w:val="20"/>
          <w:szCs w:val="20"/>
          <w:color w:val="auto"/>
        </w:rPr>
      </w:pPr>
      <w:r>
        <w:rPr>
          <w:rFonts w:ascii="Times New Roman" w:cs="Times New Roman" w:eastAsia="Times New Roman" w:hAnsi="Times New Roman"/>
          <w:sz w:val="18"/>
          <w:szCs w:val="18"/>
          <w:color w:val="auto"/>
        </w:rPr>
        <w:t>On February 26, 2024, the Company’s board of directors authorized a $500,000 (excluding excise tax) common stock repurchase program beginning March 1, 2024 (the “2024 Repurchase Program”), and, on February 29, 2024, terminated the previous repurchase program, which had been effective since the beginning of 2022.</w:t>
      </w:r>
    </w:p>
    <w:p>
      <w:pPr>
        <w:spacing w:after="0" w:line="205" w:lineRule="exact"/>
        <w:rPr>
          <w:sz w:val="20"/>
          <w:szCs w:val="20"/>
          <w:color w:val="auto"/>
        </w:rPr>
      </w:pPr>
    </w:p>
    <w:p>
      <w:pPr>
        <w:jc w:val="both"/>
        <w:ind w:firstLine="395"/>
        <w:spacing w:after="0" w:line="237" w:lineRule="auto"/>
        <w:rPr>
          <w:sz w:val="20"/>
          <w:szCs w:val="20"/>
          <w:color w:val="auto"/>
        </w:rPr>
      </w:pPr>
      <w:r>
        <w:rPr>
          <w:rFonts w:ascii="Times New Roman" w:cs="Times New Roman" w:eastAsia="Times New Roman" w:hAnsi="Times New Roman"/>
          <w:sz w:val="18"/>
          <w:szCs w:val="18"/>
          <w:color w:val="auto"/>
        </w:rPr>
        <w:t>In March 2024, the Company entered into the 2024 ASR Agreement with Citibank to repurchase shares of its common stock for an aggregate purchase price of $125,000 under the 2024 Repurchase Program. The Company received an initial delivery of 3,350,084 shares in March 2024, representing 80% of the aggregate purchase price, which was recorded in treasury stock, while a prepayment of $25,000 was recorded in additional paid-in capital to reflect the pending settlement. The Company received an additional 820,433 shares upon final settlement in July 2024.</w:t>
      </w:r>
    </w:p>
    <w:p>
      <w:pPr>
        <w:spacing w:after="0" w:line="209" w:lineRule="exact"/>
        <w:rPr>
          <w:sz w:val="20"/>
          <w:szCs w:val="20"/>
          <w:color w:val="auto"/>
        </w:rPr>
      </w:pPr>
    </w:p>
    <w:p>
      <w:pPr>
        <w:jc w:val="both"/>
        <w:ind w:firstLine="395"/>
        <w:spacing w:after="0" w:line="230" w:lineRule="auto"/>
        <w:rPr>
          <w:sz w:val="20"/>
          <w:szCs w:val="20"/>
          <w:color w:val="auto"/>
        </w:rPr>
      </w:pPr>
      <w:r>
        <w:rPr>
          <w:rFonts w:ascii="Times New Roman" w:cs="Times New Roman" w:eastAsia="Times New Roman" w:hAnsi="Times New Roman"/>
          <w:sz w:val="18"/>
          <w:szCs w:val="18"/>
          <w:color w:val="auto"/>
        </w:rPr>
        <w:t>On July 29, 2025, the Company entered into the 2025 ASR Agreement with Citibank to repurchase shares of its common stock for an aggregate purchase price of $125,000, as part of the Company’s 2024 Repurchase Program. Upon payment of the aggregate purchase price of $125,000, the Company received an initial delivery of 2,302,556 shares of its common stock at an initial price of $43.43 per share, representing 80% of the aggregate purchase price. The Company funded the repurchase with available cash on hand and borrowing from its revolving credit facility. The 2025 ASR Agreement is accounted for as a treasury stock transaction and forward stock purchase agreement indexed to the Company’s common stock. The forward stock purchase agreement is classified as an equity instrument under ASC 815-40, Contracts in Entity's Own Equity ("ASC 815-40") and deemed to have a fair value of zero at the effective date. Under the terms of the 2025 ASR Agreement, the ultimate number of shares of Common Stock that the Company will repurchase will be based on the average of the daily volume-weighted average price of the Common Stock during the term of the 2025 ASR Agreement, less a discount and subject to adjustments pursuant to the terms and conditions of the 2025 ASR Agreement. At final settlement, Citibank may be required to deliver additional shares of Common Stock to the Company, or, under certain circumstances, the Company may be required to make a cash payment or deliver shares of Common Stock at its election to Citibank. The final settlement of the 2025 ASR Agreement is expected to be completed on December 1, 2025, subject to acceleration at Citibank’s discretion, which could be completed as early as October 30, 2025.</w:t>
      </w:r>
    </w:p>
    <w:p>
      <w:pPr>
        <w:spacing w:after="0" w:line="212" w:lineRule="exact"/>
        <w:rPr>
          <w:sz w:val="20"/>
          <w:szCs w:val="20"/>
          <w:color w:val="auto"/>
        </w:rPr>
      </w:pPr>
    </w:p>
    <w:p>
      <w:pPr>
        <w:jc w:val="both"/>
        <w:ind w:firstLine="395"/>
        <w:spacing w:after="0" w:line="241" w:lineRule="auto"/>
        <w:rPr>
          <w:sz w:val="20"/>
          <w:szCs w:val="20"/>
          <w:color w:val="auto"/>
        </w:rPr>
      </w:pPr>
      <w:r>
        <w:rPr>
          <w:rFonts w:ascii="Times New Roman" w:cs="Times New Roman" w:eastAsia="Times New Roman" w:hAnsi="Times New Roman"/>
          <w:sz w:val="18"/>
          <w:szCs w:val="18"/>
          <w:color w:val="auto"/>
        </w:rPr>
        <w:t>Under the Company’s repurchase program, shares may be purchased by the Company from time to time from the open market and through private transactions, or otherwise, as determined by the Company’s management as market conditions warrant. Repurchases may be discontinued at any time by the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352"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color w:val="auto"/>
        </w:rPr>
        <w:t>The Company purchased shares of its common stock, for a total consideration including commissions but excluding excise tax, under its repurchase programs, as below:</w:t>
      </w:r>
    </w:p>
    <w:p>
      <w:pPr>
        <w:spacing w:after="0" w:line="201"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Shares repurchased</w:t>
            </w:r>
          </w:p>
        </w:tc>
        <w:tc>
          <w:tcPr>
            <w:tcW w:w="15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2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8"/>
              </w:rPr>
              <w:t>Weighted average purchase price</w:t>
            </w:r>
          </w:p>
        </w:tc>
        <w:tc>
          <w:tcPr>
            <w:tcW w:w="0" w:type="dxa"/>
            <w:vAlign w:val="bottom"/>
          </w:tcPr>
          <w:p>
            <w:pPr>
              <w:spacing w:after="0"/>
              <w:rPr>
                <w:sz w:val="1"/>
                <w:szCs w:val="1"/>
                <w:color w:val="auto"/>
              </w:rPr>
            </w:pPr>
          </w:p>
        </w:tc>
      </w:tr>
      <w:tr>
        <w:trPr>
          <w:trHeight w:val="127"/>
        </w:trPr>
        <w:tc>
          <w:tcPr>
            <w:tcW w:w="506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560" w:type="dxa"/>
            <w:vAlign w:val="bottom"/>
            <w:gridSpan w:val="3"/>
            <w:vMerge w:val="continue"/>
          </w:tcPr>
          <w:p>
            <w:pPr>
              <w:spacing w:after="0"/>
              <w:rPr>
                <w:sz w:val="11"/>
                <w:szCs w:val="11"/>
                <w:color w:val="auto"/>
              </w:rPr>
            </w:pPr>
          </w:p>
        </w:tc>
        <w:tc>
          <w:tcPr>
            <w:tcW w:w="460" w:type="dxa"/>
            <w:vAlign w:val="bottom"/>
          </w:tcPr>
          <w:p>
            <w:pPr>
              <w:spacing w:after="0"/>
              <w:rPr>
                <w:sz w:val="11"/>
                <w:szCs w:val="11"/>
                <w:color w:val="auto"/>
              </w:rPr>
            </w:pPr>
          </w:p>
        </w:tc>
        <w:tc>
          <w:tcPr>
            <w:tcW w:w="1840" w:type="dxa"/>
            <w:vAlign w:val="bottom"/>
            <w:vMerge w:val="restart"/>
          </w:tcPr>
          <w:p>
            <w:pPr>
              <w:jc w:val="right"/>
              <w:ind w:right="754"/>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0" w:type="dxa"/>
            <w:vAlign w:val="bottom"/>
          </w:tcPr>
          <w:p>
            <w:pPr>
              <w:spacing w:after="0"/>
              <w:rPr>
                <w:sz w:val="1"/>
                <w:szCs w:val="1"/>
                <w:color w:val="auto"/>
              </w:rPr>
            </w:pPr>
          </w:p>
        </w:tc>
      </w:tr>
      <w:tr>
        <w:trPr>
          <w:trHeight w:val="83"/>
        </w:trPr>
        <w:tc>
          <w:tcPr>
            <w:tcW w:w="5060" w:type="dxa"/>
            <w:vAlign w:val="bottom"/>
            <w:tcBorders>
              <w:bottom w:val="single" w:sz="8" w:color="CCEEFF"/>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3,074,076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133,467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0" w:type="dxa"/>
            <w:vAlign w:val="bottom"/>
          </w:tcPr>
          <w:p>
            <w:pPr>
              <w:spacing w:after="0"/>
              <w:rPr>
                <w:sz w:val="1"/>
                <w:szCs w:val="1"/>
                <w:color w:val="auto"/>
              </w:rPr>
            </w:pPr>
          </w:p>
        </w:tc>
      </w:tr>
      <w:tr>
        <w:trPr>
          <w:trHeight w:val="22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1,738,114</w:t>
            </w:r>
          </w:p>
        </w:tc>
        <w:tc>
          <w:tcPr>
            <w:tcW w:w="80" w:type="dxa"/>
            <w:vAlign w:val="bottom"/>
          </w:tcPr>
          <w:p>
            <w:pPr>
              <w:spacing w:after="0"/>
              <w:rPr>
                <w:sz w:val="19"/>
                <w:szCs w:val="19"/>
                <w:color w:val="auto"/>
              </w:rPr>
            </w:pPr>
          </w:p>
        </w:tc>
        <w:tc>
          <w:tcPr>
            <w:tcW w:w="46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59,346</w:t>
            </w:r>
          </w:p>
        </w:tc>
        <w:tc>
          <w:tcPr>
            <w:tcW w:w="10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0" w:type="dxa"/>
            <w:vAlign w:val="bottom"/>
          </w:tcPr>
          <w:p>
            <w:pPr>
              <w:spacing w:after="0"/>
              <w:rPr>
                <w:sz w:val="1"/>
                <w:szCs w:val="1"/>
                <w:color w:val="auto"/>
              </w:rPr>
            </w:pPr>
          </w:p>
        </w:tc>
      </w:tr>
      <w:tr>
        <w:trPr>
          <w:trHeight w:val="158"/>
        </w:trPr>
        <w:tc>
          <w:tcPr>
            <w:tcW w:w="50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4,155,289</w:t>
            </w:r>
          </w:p>
        </w:tc>
        <w:tc>
          <w:tcPr>
            <w:tcW w:w="80" w:type="dxa"/>
            <w:vAlign w:val="bottom"/>
          </w:tcPr>
          <w:p>
            <w:pPr>
              <w:spacing w:after="0"/>
              <w:rPr>
                <w:sz w:val="19"/>
                <w:szCs w:val="19"/>
                <w:color w:val="auto"/>
              </w:rPr>
            </w:pPr>
          </w:p>
        </w:tc>
        <w:tc>
          <w:tcPr>
            <w:tcW w:w="46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183,278</w:t>
            </w:r>
          </w:p>
        </w:tc>
        <w:tc>
          <w:tcPr>
            <w:tcW w:w="10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0" w:type="dxa"/>
            <w:vAlign w:val="bottom"/>
          </w:tcPr>
          <w:p>
            <w:pPr>
              <w:spacing w:after="0"/>
              <w:rPr>
                <w:sz w:val="1"/>
                <w:szCs w:val="1"/>
                <w:color w:val="auto"/>
              </w:rPr>
            </w:pPr>
          </w:p>
        </w:tc>
      </w:tr>
      <w:tr>
        <w:trPr>
          <w:trHeight w:val="224"/>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6,012,285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0" w:type="dxa"/>
            <w:vAlign w:val="bottom"/>
          </w:tcPr>
          <w:p>
            <w:pPr>
              <w:spacing w:after="0"/>
              <w:rPr>
                <w:sz w:val="1"/>
                <w:szCs w:val="1"/>
                <w:color w:val="auto"/>
              </w:rPr>
            </w:pPr>
          </w:p>
        </w:tc>
      </w:tr>
    </w:tbl>
    <w:p>
      <w:pPr>
        <w:spacing w:after="0" w:line="271" w:lineRule="exact"/>
        <w:rPr>
          <w:sz w:val="20"/>
          <w:szCs w:val="20"/>
          <w:color w:val="auto"/>
        </w:rPr>
      </w:pPr>
    </w:p>
    <w:p>
      <w:pPr>
        <w:jc w:val="both"/>
        <w:ind w:firstLine="395"/>
        <w:spacing w:after="0" w:line="239" w:lineRule="auto"/>
        <w:rPr>
          <w:sz w:val="20"/>
          <w:szCs w:val="20"/>
          <w:color w:val="auto"/>
        </w:rPr>
      </w:pPr>
      <w:r>
        <w:rPr>
          <w:rFonts w:ascii="Times New Roman" w:cs="Times New Roman" w:eastAsia="Times New Roman" w:hAnsi="Times New Roman"/>
          <w:sz w:val="18"/>
          <w:szCs w:val="18"/>
          <w:color w:val="auto"/>
        </w:rPr>
        <w:t>Repurchased shares have been recorded as treasury shares and will be held until the Company’s board of directors designates that these shares be retired or used for other purposes.</w:t>
      </w:r>
    </w:p>
    <w:p>
      <w:pPr>
        <w:spacing w:after="0" w:line="206" w:lineRule="exact"/>
        <w:rPr>
          <w:sz w:val="20"/>
          <w:szCs w:val="20"/>
          <w:color w:val="auto"/>
        </w:rPr>
      </w:pPr>
    </w:p>
    <w:p>
      <w:pPr>
        <w:jc w:val="both"/>
        <w:ind w:firstLine="395"/>
        <w:spacing w:after="0" w:line="241" w:lineRule="auto"/>
        <w:rPr>
          <w:sz w:val="20"/>
          <w:szCs w:val="20"/>
          <w:color w:val="auto"/>
        </w:rPr>
      </w:pPr>
      <w:r>
        <w:rPr>
          <w:rFonts w:ascii="Times New Roman" w:cs="Times New Roman" w:eastAsia="Times New Roman" w:hAnsi="Times New Roman"/>
          <w:sz w:val="18"/>
          <w:szCs w:val="18"/>
          <w:color w:val="auto"/>
        </w:rPr>
        <w:t xml:space="preserve">Pursuant to the Inflation Reduction Act, the Company is required to pay a 1% excise tax on the fair market value of each share of common stock repurchased, net of stock issuances. The Company recognized excise tax of $694 and $412, during the three months ended September 30, 2025 and 2024, </w:t>
      </w:r>
      <w:r>
        <w:rPr>
          <w:rFonts w:ascii="Times New Roman" w:cs="Times New Roman" w:eastAsia="Times New Roman" w:hAnsi="Times New Roman"/>
          <w:sz w:val="16"/>
          <w:szCs w:val="16"/>
          <w:color w:val="auto"/>
        </w:rPr>
        <w:t xml:space="preserve">respectively, and </w:t>
      </w:r>
      <w:r>
        <w:rPr>
          <w:rFonts w:ascii="Times New Roman" w:cs="Times New Roman" w:eastAsia="Times New Roman" w:hAnsi="Times New Roman"/>
          <w:sz w:val="17"/>
          <w:szCs w:val="17"/>
          <w:color w:val="auto"/>
        </w:rPr>
        <w:t>$665 and $1,030, during the nine months ended September 30, 2025 and 2024,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Employee Benefit Plans</w:t>
      </w:r>
    </w:p>
    <w:p>
      <w:pPr>
        <w:spacing w:after="0" w:line="229" w:lineRule="exact"/>
        <w:rPr>
          <w:sz w:val="20"/>
          <w:szCs w:val="20"/>
          <w:color w:val="auto"/>
        </w:rPr>
      </w:pPr>
    </w:p>
    <w:p>
      <w:pPr>
        <w:jc w:val="both"/>
        <w:ind w:firstLine="395"/>
        <w:spacing w:after="0" w:line="233" w:lineRule="auto"/>
        <w:rPr>
          <w:sz w:val="20"/>
          <w:szCs w:val="20"/>
          <w:color w:val="auto"/>
        </w:rPr>
      </w:pPr>
      <w:r>
        <w:rPr>
          <w:rFonts w:ascii="Times New Roman" w:cs="Times New Roman" w:eastAsia="Times New Roman" w:hAnsi="Times New Roman"/>
          <w:sz w:val="18"/>
          <w:szCs w:val="18"/>
          <w:color w:val="auto"/>
        </w:rPr>
        <w:t>The Company’s Gratuity Plan in India (the “India Plan”) provides for a lump sum payment to vested employees on retirement or upon termination of employment in an amount based on the respective employee’s salary and years of employment with the Company. 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Liabilities with regard to the India Plan and the Philippines Plan are determined by actuarial valuation using the projected unit credit method. Current service costs for these plans are accrued in the year to which they relate. Actuarial gains or losses or prior service costs, if any, resulting from amendments to the plans are recognized and amortized over the remaining period of service of the employees.</w:t>
      </w:r>
    </w:p>
    <w:p>
      <w:pPr>
        <w:spacing w:after="0" w:line="212" w:lineRule="exact"/>
        <w:rPr>
          <w:sz w:val="20"/>
          <w:szCs w:val="20"/>
          <w:color w:val="auto"/>
        </w:rPr>
      </w:pPr>
    </w:p>
    <w:p>
      <w:pPr>
        <w:jc w:val="both"/>
        <w:ind w:firstLine="395"/>
        <w:spacing w:after="0" w:line="234" w:lineRule="auto"/>
        <w:rPr>
          <w:sz w:val="20"/>
          <w:szCs w:val="20"/>
          <w:color w:val="auto"/>
        </w:rPr>
      </w:pPr>
      <w:r>
        <w:rPr>
          <w:rFonts w:ascii="Times New Roman" w:cs="Times New Roman" w:eastAsia="Times New Roman" w:hAnsi="Times New Roman"/>
          <w:sz w:val="18"/>
          <w:szCs w:val="18"/>
          <w:color w:val="auto"/>
        </w:rPr>
        <w:t>The India Plan is partially funded whereas the Philippines Plan is unfunded. The Company makes annual contributions to the India Plan established with insurance companies. Fund managers manage these funds and calculate the annual contribution required to be made by the Company and manage the India Plan, including any required payouts. These funds are managed on a cash accumulation basis, inclusive of interest which is declared periodically. The Company expects to earn a return of approximately 7.0% per annum on the India Plan for the year ending December 31, 2025.</w:t>
      </w:r>
    </w:p>
    <w:p>
      <w:pPr>
        <w:spacing w:after="0" w:line="349" w:lineRule="exact"/>
        <w:rPr>
          <w:sz w:val="20"/>
          <w:szCs w:val="20"/>
          <w:color w:val="auto"/>
        </w:rPr>
      </w:pPr>
    </w:p>
    <w:tbl>
      <w:tblPr>
        <w:tblLayout w:type="fixed"/>
        <w:tblInd w:w="400" w:type="dxa"/>
        <w:tblCellMar>
          <w:top w:w="0" w:type="dxa"/>
          <w:left w:w="0" w:type="dxa"/>
          <w:bottom w:w="0" w:type="dxa"/>
          <w:right w:w="0" w:type="dxa"/>
        </w:tblCellMar>
      </w:tblPr>
      <w:tr>
        <w:trPr>
          <w:trHeight w:val="231"/>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4"/>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assets as of December 31, 2024</w:t>
            </w:r>
          </w:p>
        </w:tc>
        <w:tc>
          <w:tcPr>
            <w:tcW w:w="5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19,963</w:t>
            </w:r>
          </w:p>
        </w:tc>
      </w:tr>
      <w:tr>
        <w:trPr>
          <w:trHeight w:val="224"/>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Actual return</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r>
      <w:tr>
        <w:trPr>
          <w:trHeight w:val="224"/>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Employer contribution</w:t>
            </w: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w:t>
            </w:r>
          </w:p>
        </w:tc>
      </w:tr>
      <w:tr>
        <w:trPr>
          <w:trHeight w:val="224"/>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Benefits paid</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r>
      <w:tr>
        <w:trPr>
          <w:trHeight w:val="224"/>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5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r>
      <w:tr>
        <w:trPr>
          <w:trHeight w:val="217"/>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assets as of September 30, 2025</w:t>
            </w:r>
          </w:p>
        </w:tc>
        <w:tc>
          <w:tcPr>
            <w:tcW w:w="5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24,764</w:t>
            </w:r>
          </w:p>
        </w:tc>
      </w:tr>
      <w:tr>
        <w:trPr>
          <w:trHeight w:val="20"/>
        </w:trPr>
        <w:tc>
          <w:tcPr>
            <w:tcW w:w="7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365" w:lineRule="exact"/>
        <w:rPr>
          <w:sz w:val="20"/>
          <w:szCs w:val="20"/>
          <w:color w:val="auto"/>
        </w:rPr>
      </w:pPr>
    </w:p>
    <w:p>
      <w:pPr>
        <w:ind w:right="300" w:firstLine="395"/>
        <w:spacing w:after="0" w:line="268" w:lineRule="auto"/>
        <w:rPr>
          <w:sz w:val="20"/>
          <w:szCs w:val="20"/>
          <w:color w:val="auto"/>
        </w:rPr>
      </w:pPr>
      <w:r>
        <w:rPr>
          <w:rFonts w:ascii="Times New Roman" w:cs="Times New Roman" w:eastAsia="Times New Roman" w:hAnsi="Times New Roman"/>
          <w:sz w:val="18"/>
          <w:szCs w:val="18"/>
          <w:color w:val="auto"/>
        </w:rPr>
        <w:t>Components of net periodic benefit costs recognized in unaudited consolidated statements of income and actuarial (gain)/loss reclassified from AOCI, were as follows:</w:t>
      </w:r>
    </w:p>
    <w:p>
      <w:pPr>
        <w:spacing w:after="0" w:line="84" w:lineRule="exact"/>
        <w:rPr>
          <w:sz w:val="20"/>
          <w:szCs w:val="20"/>
          <w:color w:val="auto"/>
        </w:rPr>
      </w:pPr>
    </w:p>
    <w:tbl>
      <w:tblPr>
        <w:tblLayout w:type="fixed"/>
        <w:tblInd w:w="24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290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500" w:type="dxa"/>
            <w:vAlign w:val="bottom"/>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7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47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r>
      <w:tr>
        <w:trPr>
          <w:trHeight w:val="22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224"/>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24"/>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(gain)/loss, gross of tax</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42"/>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gratuity cost</w:t>
            </w: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4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24"/>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(gain)/loss, gross of tax</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4"/>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effects on above</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(gain)/loss, net of tax</w:t>
            </w: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bl>
    <w:p>
      <w:pPr>
        <w:spacing w:after="0" w:line="47" w:lineRule="exact"/>
        <w:rPr>
          <w:sz w:val="20"/>
          <w:szCs w:val="20"/>
          <w:color w:val="auto"/>
        </w:rPr>
      </w:pPr>
    </w:p>
    <w:p>
      <w:pPr>
        <w:jc w:val="both"/>
        <w:ind w:firstLine="474"/>
        <w:spacing w:after="0" w:line="241" w:lineRule="auto"/>
        <w:rPr>
          <w:sz w:val="20"/>
          <w:szCs w:val="20"/>
          <w:color w:val="auto"/>
        </w:rPr>
      </w:pPr>
      <w:r>
        <w:rPr>
          <w:rFonts w:ascii="Times New Roman" w:cs="Times New Roman" w:eastAsia="Times New Roman" w:hAnsi="Times New Roman"/>
          <w:sz w:val="18"/>
          <w:szCs w:val="18"/>
          <w:color w:val="auto"/>
        </w:rPr>
        <w:t>The Company maintains several 401(k) plans (the “401(k) Plans”) under Section 401(k) of the Internal Revenue Code of 1986, as amended (the “Code”), covering all eligible employees, as defined in the Code as a defined contribution plan. The Company may make discretionary contributions of up to a maximum of 3.0% of employee compensation within certain limits.</w:t>
      </w: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Company’s contributions to various defined contribution plans were as follows:</w:t>
      </w:r>
    </w:p>
    <w:p>
      <w:pPr>
        <w:spacing w:after="0" w:line="24"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520" w:type="dxa"/>
            <w:vAlign w:val="bottom"/>
            <w:gridSpan w:val="4"/>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48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to the 401(k) Plans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5,640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r>
      <w:tr>
        <w:trPr>
          <w:trHeight w:val="179"/>
        </w:trPr>
        <w:tc>
          <w:tcPr>
            <w:tcW w:w="488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Contributions to the defined contribution plans in foreign</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8"/>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subsidiaries of the Company</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8,291</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24,768</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20,752</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Leases</w:t>
      </w:r>
    </w:p>
    <w:p>
      <w:pPr>
        <w:spacing w:after="0" w:line="242"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The Company conducts its operations using facilities leased under operating lease agreements that expire at various dates. The Company finances its use of certain motor vehicles and other equipment under various lease arrangements provided by financial institutions. The lease agreements do not contain any covenants to impose any restrictions except for market-standard practice for similar lease arrangements.</w:t>
      </w:r>
    </w:p>
    <w:p>
      <w:pPr>
        <w:spacing w:after="0" w:line="185" w:lineRule="exact"/>
        <w:rPr>
          <w:sz w:val="20"/>
          <w:szCs w:val="20"/>
          <w:color w:val="auto"/>
        </w:rPr>
      </w:pPr>
    </w:p>
    <w:p>
      <w:pPr>
        <w:jc w:val="both"/>
        <w:ind w:firstLine="395"/>
        <w:spacing w:after="0" w:line="255" w:lineRule="auto"/>
        <w:rPr>
          <w:sz w:val="20"/>
          <w:szCs w:val="20"/>
          <w:color w:val="auto"/>
        </w:rPr>
      </w:pPr>
      <w:r>
        <w:rPr>
          <w:rFonts w:ascii="Times New Roman" w:cs="Times New Roman" w:eastAsia="Times New Roman" w:hAnsi="Times New Roman"/>
          <w:sz w:val="18"/>
          <w:szCs w:val="18"/>
          <w:color w:val="auto"/>
        </w:rPr>
        <w:t xml:space="preserve">The Company had performed an evaluation of its contracts with suppliers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 had determined that, except for leases for office facilities, motor vehicles and other equipment as described above, none of the Company’s contracts contain a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3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lease cost, which are included in the Company’s unaudited consolidated statements of income,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6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40" w:type="dxa"/>
            <w:vAlign w:val="bottom"/>
          </w:tcPr>
          <w:p>
            <w:pPr>
              <w:spacing w:after="0"/>
              <w:rPr>
                <w:sz w:val="19"/>
                <w:szCs w:val="19"/>
                <w:color w:val="auto"/>
              </w:rPr>
            </w:pPr>
          </w:p>
        </w:tc>
        <w:tc>
          <w:tcPr>
            <w:tcW w:w="2960" w:type="dxa"/>
            <w:vAlign w:val="bottom"/>
            <w:gridSpan w:val="4"/>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2"/>
        </w:trPr>
        <w:tc>
          <w:tcPr>
            <w:tcW w:w="40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05"/>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0"/>
        </w:trPr>
        <w:tc>
          <w:tcPr>
            <w:tcW w:w="40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on underlying ROU assets</w:t>
            </w: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tcPr>
          <w:p>
            <w:pPr>
              <w:spacing w:after="0"/>
              <w:rPr>
                <w:sz w:val="19"/>
                <w:szCs w:val="19"/>
                <w:color w:val="auto"/>
              </w:rPr>
            </w:pPr>
          </w:p>
        </w:tc>
        <w:tc>
          <w:tcPr>
            <w:tcW w:w="36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Pr>
          <w:p>
            <w:pPr>
              <w:spacing w:after="0"/>
              <w:rPr>
                <w:sz w:val="19"/>
                <w:szCs w:val="19"/>
                <w:color w:val="auto"/>
              </w:rPr>
            </w:pP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80" w:type="dxa"/>
            <w:vAlign w:val="bottom"/>
          </w:tcPr>
          <w:p>
            <w:pPr>
              <w:spacing w:after="0"/>
              <w:rPr>
                <w:sz w:val="19"/>
                <w:szCs w:val="19"/>
                <w:color w:val="auto"/>
              </w:rPr>
            </w:pPr>
          </w:p>
        </w:tc>
        <w:tc>
          <w:tcPr>
            <w:tcW w:w="36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r>
      <w:tr>
        <w:trPr>
          <w:trHeight w:val="224"/>
        </w:trPr>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w:t>
            </w:r>
          </w:p>
        </w:tc>
      </w:tr>
      <w:tr>
        <w:trPr>
          <w:trHeight w:val="227"/>
        </w:trPr>
        <w:tc>
          <w:tcPr>
            <w:tcW w:w="4000" w:type="dxa"/>
            <w:vAlign w:val="bottom"/>
            <w:shd w:val="clear" w:color="auto" w:fill="CCEEFF"/>
          </w:tcPr>
          <w:p>
            <w:pPr>
              <w:ind w:left="20"/>
              <w:spacing w:after="0" w:line="227" w:lineRule="exact"/>
              <w:rPr>
                <w:sz w:val="20"/>
                <w:szCs w:val="20"/>
                <w:color w:val="auto"/>
              </w:rPr>
            </w:pPr>
            <w:r>
              <w:rPr>
                <w:rFonts w:ascii="Times New Roman" w:cs="Times New Roman" w:eastAsia="Times New Roman" w:hAnsi="Times New Roman"/>
                <w:sz w:val="17"/>
                <w:szCs w:val="17"/>
                <w:color w:val="auto"/>
              </w:rPr>
              <w:t xml:space="preserve">Operating lease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19,121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17,088</w:t>
            </w:r>
          </w:p>
        </w:tc>
      </w:tr>
      <w:tr>
        <w:trPr>
          <w:trHeight w:val="220"/>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lease costs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3,329</w:t>
            </w:r>
          </w:p>
        </w:tc>
      </w:tr>
      <w:tr>
        <w:trPr>
          <w:trHeight w:val="227"/>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Sublease income</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17"/>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lease cost</w:t>
            </w:r>
          </w:p>
        </w:tc>
        <w:tc>
          <w:tcPr>
            <w:tcW w:w="2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7,766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7,350</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22,962</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20,763</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short-term leases, which are immaterial.</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and other information related to leases are as follows:</w:t>
      </w:r>
    </w:p>
    <w:p>
      <w:pPr>
        <w:spacing w:after="0" w:line="133"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7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7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7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7"/>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payments for amounts included in the measurement of lease liabilities :</w:t>
            </w: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9"/>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Operating cash outflows for operating leases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243"/>
              <w:spacing w:after="0"/>
              <w:rPr>
                <w:sz w:val="20"/>
                <w:szCs w:val="20"/>
                <w:color w:val="auto"/>
              </w:rPr>
            </w:pPr>
            <w:r>
              <w:rPr>
                <w:rFonts w:ascii="Times New Roman" w:cs="Times New Roman" w:eastAsia="Times New Roman" w:hAnsi="Times New Roman"/>
                <w:sz w:val="16"/>
                <w:szCs w:val="16"/>
                <w:color w:val="auto"/>
              </w:rPr>
              <w:t>18,895</w:t>
            </w:r>
          </w:p>
        </w:tc>
        <w:tc>
          <w:tcPr>
            <w:tcW w:w="12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15,180</w:t>
            </w:r>
          </w:p>
        </w:tc>
      </w:tr>
      <w:tr>
        <w:trPr>
          <w:trHeight w:val="212"/>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cash outflows for finance leases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134</w:t>
            </w:r>
          </w:p>
        </w:tc>
      </w:tr>
      <w:tr>
        <w:trPr>
          <w:trHeight w:val="209"/>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Financing cash outflows for finance leases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243"/>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222</w:t>
            </w:r>
          </w:p>
        </w:tc>
      </w:tr>
      <w:tr>
        <w:trPr>
          <w:trHeight w:val="21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ROU assets obtained in exchange for new operating lease liabilities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6"/>
                <w:szCs w:val="16"/>
                <w:color w:val="auto"/>
              </w:rPr>
              <w:t>14,996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17,753</w:t>
            </w:r>
          </w:p>
        </w:tc>
      </w:tr>
      <w:tr>
        <w:trPr>
          <w:trHeight w:val="209"/>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ROU assets obtained in exchange for new finance lease liabilities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243"/>
              <w:spacing w:after="0"/>
              <w:rPr>
                <w:sz w:val="20"/>
                <w:szCs w:val="20"/>
                <w:color w:val="auto"/>
              </w:rPr>
            </w:pPr>
            <w:r>
              <w:rPr>
                <w:rFonts w:ascii="Times New Roman" w:cs="Times New Roman" w:eastAsia="Times New Roman" w:hAnsi="Times New Roman"/>
                <w:sz w:val="16"/>
                <w:szCs w:val="16"/>
                <w:color w:val="auto"/>
              </w:rPr>
              <w:t>733</w:t>
            </w:r>
          </w:p>
        </w:tc>
        <w:tc>
          <w:tcPr>
            <w:tcW w:w="12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972</w:t>
            </w:r>
          </w:p>
        </w:tc>
      </w:tr>
      <w:tr>
        <w:trPr>
          <w:trHeight w:val="21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9"/>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Finance lease</w:t>
            </w:r>
          </w:p>
        </w:tc>
        <w:tc>
          <w:tcPr>
            <w:tcW w:w="280" w:type="dxa"/>
            <w:vAlign w:val="bottom"/>
          </w:tcPr>
          <w:p>
            <w:pPr>
              <w:spacing w:after="0"/>
              <w:rPr>
                <w:sz w:val="18"/>
                <w:szCs w:val="18"/>
                <w:color w:val="auto"/>
              </w:rPr>
            </w:pPr>
          </w:p>
        </w:tc>
        <w:tc>
          <w:tcPr>
            <w:tcW w:w="142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2.7 years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years</w:t>
            </w:r>
          </w:p>
        </w:tc>
      </w:tr>
      <w:tr>
        <w:trPr>
          <w:trHeight w:val="212"/>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4.5 years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years</w:t>
            </w:r>
          </w:p>
        </w:tc>
      </w:tr>
      <w:tr>
        <w:trPr>
          <w:trHeight w:val="209"/>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2"/>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Finance lease</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14.9 %</w:t>
            </w:r>
          </w:p>
        </w:tc>
      </w:tr>
      <w:tr>
        <w:trPr>
          <w:trHeight w:val="207"/>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Operating lease</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7.9 %</w:t>
            </w:r>
          </w:p>
        </w:tc>
      </w:tr>
    </w:tbl>
    <w:p>
      <w:pPr>
        <w:spacing w:after="0" w:line="143" w:lineRule="exact"/>
        <w:rPr>
          <w:sz w:val="20"/>
          <w:szCs w:val="20"/>
          <w:color w:val="auto"/>
        </w:rPr>
      </w:pPr>
    </w:p>
    <w:p>
      <w:pPr>
        <w:jc w:val="both"/>
        <w:ind w:firstLine="395"/>
        <w:spacing w:after="0" w:line="241" w:lineRule="auto"/>
        <w:rPr>
          <w:sz w:val="20"/>
          <w:szCs w:val="20"/>
          <w:color w:val="auto"/>
        </w:rPr>
      </w:pPr>
      <w:r>
        <w:rPr>
          <w:rFonts w:ascii="Times New Roman" w:cs="Times New Roman" w:eastAsia="Times New Roman" w:hAnsi="Times New Roman"/>
          <w:sz w:val="18"/>
          <w:szCs w:val="18"/>
          <w:color w:val="auto"/>
        </w:rPr>
        <w:t>As part of the Company’s efforts to optimize its existing network of operations centers, the Company continued to evaluate its office facilities to determine where it can exit or consolidate its use of office space. The Company modified certain of its operating leases, resulting in an increase of its lease liabilities by $5,766 and $3,383, during the nine months ended September 30, 2025 and 2024, respectively, with a corresponding adjustment to ROU assets.</w:t>
      </w:r>
    </w:p>
    <w:p>
      <w:pPr>
        <w:spacing w:after="0" w:line="205"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color w:val="auto"/>
        </w:rPr>
        <w:t>As of September 30, 2025 and December 31, 2024, the Company did not have any significant leases that have not yet commenced but that create significant rights and obligations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Maturities of lease liabilities as of September 30, 2025 were as follows:</w:t>
      </w:r>
    </w:p>
    <w:p>
      <w:pPr>
        <w:spacing w:after="0" w:line="153"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6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20" w:type="dxa"/>
            <w:vAlign w:val="bottom"/>
          </w:tcPr>
          <w:p>
            <w:pPr>
              <w:spacing w:after="0"/>
              <w:rPr>
                <w:sz w:val="18"/>
                <w:szCs w:val="18"/>
                <w:color w:val="auto"/>
              </w:rPr>
            </w:pPr>
          </w:p>
        </w:tc>
        <w:tc>
          <w:tcPr>
            <w:tcW w:w="152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206"/>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(October 1 - December 31)</w:t>
            </w: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6,149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r>
      <w:tr>
        <w:trPr>
          <w:trHeight w:val="209"/>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24,463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r>
      <w:tr>
        <w:trPr>
          <w:trHeight w:val="21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22,275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r>
      <w:tr>
        <w:trPr>
          <w:trHeight w:val="209"/>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8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18,895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1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10,693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0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2030 and thereafter</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13,260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95,735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w:t>
            </w:r>
          </w:p>
        </w:tc>
      </w:tr>
      <w:tr>
        <w:trPr>
          <w:trHeight w:val="20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16,098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w:t>
            </w:r>
          </w:p>
        </w:tc>
      </w:tr>
      <w:tr>
        <w:trPr>
          <w:trHeight w:val="229"/>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79,637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Income Taxes</w:t>
      </w:r>
    </w:p>
    <w:p>
      <w:pPr>
        <w:spacing w:after="0" w:line="229" w:lineRule="exact"/>
        <w:rPr>
          <w:sz w:val="20"/>
          <w:szCs w:val="20"/>
          <w:color w:val="auto"/>
        </w:rPr>
      </w:pPr>
    </w:p>
    <w:p>
      <w:pPr>
        <w:jc w:val="both"/>
        <w:ind w:right="100" w:firstLine="395"/>
        <w:spacing w:after="0" w:line="253" w:lineRule="auto"/>
        <w:rPr>
          <w:sz w:val="20"/>
          <w:szCs w:val="20"/>
          <w:color w:val="auto"/>
        </w:rPr>
      </w:pPr>
      <w:r>
        <w:rPr>
          <w:rFonts w:ascii="Times New Roman" w:cs="Times New Roman" w:eastAsia="Times New Roman" w:hAnsi="Times New Roman"/>
          <w:sz w:val="18"/>
          <w:szCs w:val="18"/>
          <w:color w:val="auto"/>
        </w:rPr>
        <w:t>The Company determines the tax provision for interim periods using an estimate of its annual effective tax rate. Each quarter, the Company updates its estimate of annual effective tax rate, and if its estimated tax rate changes, the Company makes a cumulative adjustment.</w:t>
      </w:r>
    </w:p>
    <w:p>
      <w:pPr>
        <w:spacing w:after="0" w:line="182" w:lineRule="exact"/>
        <w:rPr>
          <w:sz w:val="20"/>
          <w:szCs w:val="20"/>
          <w:color w:val="auto"/>
        </w:rPr>
      </w:pPr>
    </w:p>
    <w:p>
      <w:pPr>
        <w:jc w:val="both"/>
        <w:ind w:right="100" w:firstLine="395"/>
        <w:spacing w:after="0" w:line="237" w:lineRule="auto"/>
        <w:rPr>
          <w:sz w:val="20"/>
          <w:szCs w:val="20"/>
          <w:color w:val="auto"/>
        </w:rPr>
      </w:pPr>
      <w:r>
        <w:rPr>
          <w:rFonts w:ascii="Times New Roman" w:cs="Times New Roman" w:eastAsia="Times New Roman" w:hAnsi="Times New Roman"/>
          <w:sz w:val="18"/>
          <w:szCs w:val="18"/>
          <w:color w:val="auto"/>
        </w:rPr>
        <w:t>The effective tax rate decreased from 22.6% to 22.1%, during the three months ended September 30, 2024 and 2025, respectively. The Company recorded income tax expense of $16,456 and $15,460 during the three months ended September 30, 2025 and 2024, respectively. The increase in income tax expense was primarily driven by higher profit, and lower excess tax benefits, partially offset by lower state taxes and a decrease in non-deductible expenses during the three months ended September 30, 2025, compared to the three months ended September 30, 2024.</w:t>
      </w:r>
    </w:p>
    <w:p>
      <w:pPr>
        <w:spacing w:after="0" w:line="222" w:lineRule="exact"/>
        <w:rPr>
          <w:sz w:val="20"/>
          <w:szCs w:val="20"/>
          <w:color w:val="auto"/>
        </w:rPr>
      </w:pPr>
    </w:p>
    <w:p>
      <w:pPr>
        <w:jc w:val="both"/>
        <w:ind w:right="100" w:firstLine="395"/>
        <w:spacing w:after="0" w:line="252" w:lineRule="auto"/>
        <w:rPr>
          <w:sz w:val="20"/>
          <w:szCs w:val="20"/>
          <w:color w:val="auto"/>
        </w:rPr>
      </w:pPr>
      <w:r>
        <w:rPr>
          <w:rFonts w:ascii="Times New Roman" w:cs="Times New Roman" w:eastAsia="Times New Roman" w:hAnsi="Times New Roman"/>
          <w:sz w:val="18"/>
          <w:szCs w:val="18"/>
          <w:color w:val="auto"/>
        </w:rPr>
        <w:t>The effective tax rate decreased from 22.6% to 20.3%, during the nine months ended September 30, 2024 and 2025, respectively. The Company recorded income tax expense of $48,498 and $43,086 during the nine months ended September 30, 2025 and 2024, respectively. The increase in income tax expense was primarily driven by higher profit, and an increase in non-deductible expenses, partially offset by lower state taxes and higher excess tax benefits during the nine months ended September 30, 2025, compared to the nine months ended September 30, 2024.</w:t>
      </w:r>
    </w:p>
    <w:p>
      <w:pPr>
        <w:spacing w:after="0" w:line="210" w:lineRule="exact"/>
        <w:rPr>
          <w:sz w:val="20"/>
          <w:szCs w:val="20"/>
          <w:color w:val="auto"/>
        </w:rPr>
      </w:pPr>
    </w:p>
    <w:p>
      <w:pPr>
        <w:jc w:val="both"/>
        <w:ind w:right="100" w:firstLine="395"/>
        <w:spacing w:after="0" w:line="252" w:lineRule="auto"/>
        <w:rPr>
          <w:sz w:val="20"/>
          <w:szCs w:val="20"/>
          <w:color w:val="auto"/>
        </w:rPr>
      </w:pPr>
      <w:r>
        <w:rPr>
          <w:rFonts w:ascii="Times New Roman" w:cs="Times New Roman" w:eastAsia="Times New Roman" w:hAnsi="Times New Roman"/>
          <w:sz w:val="18"/>
          <w:szCs w:val="18"/>
          <w:color w:val="auto"/>
        </w:rPr>
        <w:t>On July 4, 2025, President Trump signed new tax legislation known as the One Big Beautiful Bill Act (“OBBBA”), which effectively extends certain provisions of the 2017 Tax Cuts and Jobs Act, including adjustments to several provisions that were scheduled to sunset, phase out, or phase in. As a result of the Company’s election to expense research or experimental expenditures incurred in the United States and the related transition provisions, the Company’s U.S. cash taxes for 2025 will decrease, while there will be no significant impact on its effective tax rate.</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Deferred income taxes recognized in OCI were as follows:</w:t>
      </w:r>
    </w:p>
    <w:p>
      <w:pPr>
        <w:spacing w:after="0" w:line="111"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4640" w:type="dxa"/>
            <w:vAlign w:val="bottom"/>
          </w:tcPr>
          <w:p>
            <w:pPr>
              <w:spacing w:after="0"/>
              <w:rPr>
                <w:sz w:val="18"/>
                <w:szCs w:val="18"/>
                <w:color w:val="auto"/>
              </w:rPr>
            </w:pPr>
          </w:p>
        </w:tc>
        <w:tc>
          <w:tcPr>
            <w:tcW w:w="322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0" w:type="dxa"/>
            <w:vAlign w:val="bottom"/>
          </w:tcPr>
          <w:p>
            <w:pPr>
              <w:spacing w:after="0"/>
              <w:rPr>
                <w:sz w:val="18"/>
                <w:szCs w:val="18"/>
                <w:color w:val="auto"/>
              </w:rPr>
            </w:pPr>
          </w:p>
        </w:tc>
        <w:tc>
          <w:tcPr>
            <w:tcW w:w="2760" w:type="dxa"/>
            <w:vAlign w:val="bottom"/>
            <w:gridSpan w:val="4"/>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5"/>
        </w:trPr>
        <w:tc>
          <w:tcPr>
            <w:tcW w:w="464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5"/>
        </w:trPr>
        <w:tc>
          <w:tcPr>
            <w:tcW w:w="46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Deferred taxes benefit / (expense) recognized on:</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gain/(loss) on cash flow hedges</w:t>
            </w:r>
          </w:p>
        </w:tc>
        <w:tc>
          <w:tcPr>
            <w:tcW w:w="940" w:type="dxa"/>
            <w:vAlign w:val="bottom"/>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4"/>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cash flow hedges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retirement benefits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4"/>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r>
      <w:tr>
        <w:trPr>
          <w:trHeight w:val="217"/>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7,736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0"/>
        </w:trPr>
        <w:tc>
          <w:tcPr>
            <w:tcW w:w="4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Stock-Based Compensation</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Stock-based compensation expense by function, as below, are included in the unaudited consolidated statements of income:</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290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400" w:type="dxa"/>
            <w:vAlign w:val="bottom"/>
            <w:gridSpan w:val="4"/>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54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11,989</w:t>
            </w:r>
          </w:p>
        </w:tc>
      </w:tr>
      <w:tr>
        <w:trPr>
          <w:trHeight w:val="224"/>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22,635</w:t>
            </w:r>
          </w:p>
        </w:tc>
      </w:tr>
      <w:tr>
        <w:trPr>
          <w:trHeight w:val="224"/>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10,781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22,555</w:t>
            </w:r>
          </w:p>
        </w:tc>
      </w:tr>
      <w:tr>
        <w:trPr>
          <w:trHeight w:val="217"/>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23,139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58,718</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57,179</w:t>
            </w:r>
          </w:p>
        </w:tc>
      </w:tr>
      <w:tr>
        <w:trPr>
          <w:trHeight w:val="29"/>
        </w:trPr>
        <w:tc>
          <w:tcPr>
            <w:tcW w:w="5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3"/>
        </w:trPr>
        <w:tc>
          <w:tcPr>
            <w:tcW w:w="542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8"/>
                <w:szCs w:val="18"/>
                <w:color w:val="auto"/>
              </w:rPr>
              <w:t xml:space="preserve">Income tax benefit related to share-based compensation </w:t>
            </w:r>
            <w:r>
              <w:rPr>
                <w:rFonts w:ascii="Times New Roman" w:cs="Times New Roman" w:eastAsia="Times New Roman" w:hAnsi="Times New Roman"/>
                <w:sz w:val="22"/>
                <w:szCs w:val="22"/>
                <w:color w:val="auto"/>
                <w:vertAlign w:val="superscript"/>
              </w:rPr>
              <w:t>(1)</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15,807</w:t>
            </w:r>
          </w:p>
        </w:tc>
      </w:tr>
    </w:tbl>
    <w:p>
      <w:pPr>
        <w:spacing w:after="0" w:line="153" w:lineRule="exact"/>
        <w:rPr>
          <w:sz w:val="20"/>
          <w:szCs w:val="20"/>
          <w:color w:val="auto"/>
        </w:rPr>
      </w:pPr>
    </w:p>
    <w:p>
      <w:pPr>
        <w:jc w:val="both"/>
        <w:ind w:right="100" w:firstLine="400"/>
        <w:spacing w:after="0" w:line="256" w:lineRule="auto"/>
        <w:tabs>
          <w:tab w:leader="none" w:pos="65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$64 and $1,673 during the three months ended September 30, 2025 and 2024, respectively, and $14,792 and $9,214 during the nine months ended September 30, 2025 and 2024, respectively, related to discrete benefits recognized in income tax expense in accordance with ASU No. 2016-09, Compensation - Stock Compensation.</w:t>
      </w:r>
    </w:p>
    <w:p>
      <w:pPr>
        <w:spacing w:after="0" w:line="193" w:lineRule="exact"/>
        <w:rPr>
          <w:sz w:val="20"/>
          <w:szCs w:val="20"/>
          <w:color w:val="auto"/>
        </w:rPr>
      </w:pPr>
    </w:p>
    <w:p>
      <w:pPr>
        <w:jc w:val="both"/>
        <w:ind w:right="100" w:firstLine="474"/>
        <w:spacing w:after="0" w:line="237" w:lineRule="auto"/>
        <w:rPr>
          <w:sz w:val="20"/>
          <w:szCs w:val="20"/>
          <w:color w:val="auto"/>
        </w:rPr>
      </w:pPr>
      <w:r>
        <w:rPr>
          <w:rFonts w:ascii="Times New Roman" w:cs="Times New Roman" w:eastAsia="Times New Roman" w:hAnsi="Times New Roman"/>
          <w:sz w:val="18"/>
          <w:szCs w:val="18"/>
          <w:color w:val="auto"/>
        </w:rPr>
        <w:t>On June 17, 2025, the Company’s stockholders approved 2025 Omnibus Incentive Plan (the "2025 Plan"), which among other things, reserves 6,800,000 shares (as adjusted under the terms thereof) of the Company’s common stock for grant of awards under the 2025 Plan, at which time new awards under the 2018 Omnibus Incentive Plan (the "2018 Plan") were not permitted to be made, but outstanding awards under the 2018 Plan will continued to be governed by the terms thereof. As of September 30, 2025, the Company had 5,702,547 shares available for future grants under the 2025 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Stock option activity under the Company’s stock-based compensation plans is shown below:</w:t>
      </w:r>
    </w:p>
    <w:p>
      <w:pPr>
        <w:spacing w:after="0" w:line="271"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80" w:type="dxa"/>
            <w:vAlign w:val="bottom"/>
          </w:tcPr>
          <w:p>
            <w:pPr>
              <w:spacing w:after="0"/>
              <w:rPr>
                <w:sz w:val="13"/>
                <w:szCs w:val="13"/>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Aggregate Intrinsic</w:t>
            </w:r>
          </w:p>
        </w:tc>
        <w:tc>
          <w:tcPr>
            <w:tcW w:w="208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Weighted Average Remaining</w:t>
            </w:r>
          </w:p>
        </w:tc>
        <w:tc>
          <w:tcPr>
            <w:tcW w:w="0" w:type="dxa"/>
            <w:vAlign w:val="bottom"/>
          </w:tcPr>
          <w:p>
            <w:pPr>
              <w:spacing w:after="0"/>
              <w:rPr>
                <w:sz w:val="1"/>
                <w:szCs w:val="1"/>
                <w:color w:val="auto"/>
              </w:rPr>
            </w:pPr>
          </w:p>
        </w:tc>
      </w:tr>
      <w:tr>
        <w:trPr>
          <w:trHeight w:val="185"/>
        </w:trPr>
        <w:tc>
          <w:tcPr>
            <w:tcW w:w="4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30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8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Contractual Life (Years)</w:t>
            </w:r>
          </w:p>
        </w:tc>
        <w:tc>
          <w:tcPr>
            <w:tcW w:w="0" w:type="dxa"/>
            <w:vAlign w:val="bottom"/>
          </w:tcPr>
          <w:p>
            <w:pPr>
              <w:spacing w:after="0"/>
              <w:rPr>
                <w:sz w:val="1"/>
                <w:szCs w:val="1"/>
                <w:color w:val="auto"/>
              </w:rPr>
            </w:pPr>
          </w:p>
        </w:tc>
      </w:tr>
      <w:tr>
        <w:trPr>
          <w:trHeight w:val="37"/>
        </w:trPr>
        <w:tc>
          <w:tcPr>
            <w:tcW w:w="43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1,768,305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25,187</w:t>
            </w: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ind w:left="19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50"/>
        </w:trPr>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3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50"/>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ind w:left="19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68"/>
        </w:trPr>
        <w:tc>
          <w:tcPr>
            <w:tcW w:w="4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1,734,720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80" w:type="dxa"/>
            <w:vAlign w:val="bottom"/>
            <w:tcBorders>
              <w:top w:val="single" w:sz="8" w:color="auto"/>
              <w:bottom w:val="single" w:sz="8" w:color="auto"/>
            </w:tcBorders>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at September 30, 2025</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3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861,740</w:t>
            </w:r>
          </w:p>
        </w:tc>
        <w:tc>
          <w:tcPr>
            <w:tcW w:w="10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30.14</w:t>
            </w:r>
          </w:p>
        </w:tc>
        <w:tc>
          <w:tcPr>
            <w:tcW w:w="100" w:type="dxa"/>
            <w:vAlign w:val="bottom"/>
          </w:tcPr>
          <w:p>
            <w:pPr>
              <w:spacing w:after="0"/>
              <w:rPr>
                <w:sz w:val="17"/>
                <w:szCs w:val="17"/>
                <w:color w:val="auto"/>
              </w:rPr>
            </w:pPr>
          </w:p>
        </w:tc>
        <w:tc>
          <w:tcPr>
            <w:tcW w:w="300" w:type="dxa"/>
            <w:vAlign w:val="bottom"/>
          </w:tcPr>
          <w:p>
            <w:pPr>
              <w:jc w:val="right"/>
              <w:ind w:right="117"/>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11,973</w:t>
            </w:r>
          </w:p>
        </w:tc>
        <w:tc>
          <w:tcPr>
            <w:tcW w:w="100" w:type="dxa"/>
            <w:vAlign w:val="bottom"/>
          </w:tcPr>
          <w:p>
            <w:pPr>
              <w:spacing w:after="0"/>
              <w:rPr>
                <w:sz w:val="17"/>
                <w:szCs w:val="17"/>
                <w:color w:val="auto"/>
              </w:rPr>
            </w:pPr>
          </w:p>
        </w:tc>
        <w:tc>
          <w:tcPr>
            <w:tcW w:w="2080" w:type="dxa"/>
            <w:vAlign w:val="bottom"/>
          </w:tcPr>
          <w:p>
            <w:pPr>
              <w:ind w:left="1920"/>
              <w:spacing w:after="0" w:line="201"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
        </w:trPr>
        <w:tc>
          <w:tcPr>
            <w:tcW w:w="4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38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Weighted average grant date fair value of per unit of stock</w:t>
            </w:r>
          </w:p>
        </w:tc>
        <w:tc>
          <w:tcPr>
            <w:tcW w:w="320" w:type="dxa"/>
            <w:vAlign w:val="bottom"/>
            <w:shd w:val="clear" w:color="auto" w:fill="CCEEFF"/>
          </w:tcPr>
          <w:p>
            <w:pPr>
              <w:jc w:val="right"/>
              <w:ind w:right="141"/>
              <w:spacing w:after="0" w:line="179"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line="17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 granted during the period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3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ind w:right="940" w:firstLine="395"/>
        <w:spacing w:after="0" w:line="381" w:lineRule="auto"/>
        <w:rPr>
          <w:sz w:val="20"/>
          <w:szCs w:val="20"/>
          <w:color w:val="auto"/>
        </w:rPr>
      </w:pPr>
      <w:r>
        <w:rPr>
          <w:rFonts w:ascii="Times New Roman" w:cs="Times New Roman" w:eastAsia="Times New Roman" w:hAnsi="Times New Roman"/>
          <w:sz w:val="18"/>
          <w:szCs w:val="18"/>
          <w:color w:val="auto"/>
        </w:rPr>
        <w:t xml:space="preserve">As of September 30, 2025, unrecognized compensation cost of $9,067 is expected to be expensed over a weighted average period of 1.8 years. </w:t>
      </w:r>
      <w:r>
        <w:rPr>
          <w:rFonts w:ascii="Times New Roman" w:cs="Times New Roman" w:eastAsia="Times New Roman" w:hAnsi="Times New Roman"/>
          <w:sz w:val="18"/>
          <w:szCs w:val="18"/>
          <w:b w:val="1"/>
          <w:bCs w:val="1"/>
          <w:color w:val="auto"/>
        </w:rPr>
        <w:t>Share Matching Program</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the Company’s 2018 Plan, the Company established a share matching program (“SMP”) for executive officers and other specified employees.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 the SMP, the Company agreed to issue a number of restricted stock units equal to the number of newly acquired shares of the Company's common stock.</w:t>
      </w:r>
    </w:p>
    <w:p>
      <w:pPr>
        <w:sectPr>
          <w:pgSz w:w="11900" w:h="16838" w:orient="portrait"/>
          <w:cols w:equalWidth="0" w:num="1">
            <w:col w:w="11340"/>
          </w:cols>
          <w:pgMar w:left="320" w:top="1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Restricted stock unit activity under the SMP is shown below:</w:t>
      </w:r>
    </w:p>
    <w:p>
      <w:pPr>
        <w:spacing w:after="0" w:line="168"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5920" w:type="dxa"/>
            <w:vAlign w:val="bottom"/>
          </w:tcPr>
          <w:p>
            <w:pPr>
              <w:spacing w:after="0"/>
              <w:rPr>
                <w:sz w:val="16"/>
                <w:szCs w:val="16"/>
                <w:color w:val="auto"/>
              </w:rPr>
            </w:pPr>
          </w:p>
        </w:tc>
        <w:tc>
          <w:tcPr>
            <w:tcW w:w="3640" w:type="dxa"/>
            <w:vAlign w:val="bottom"/>
            <w:gridSpan w:val="4"/>
          </w:tcPr>
          <w:p>
            <w:pPr>
              <w:jc w:val="right"/>
              <w:ind w:right="857"/>
              <w:spacing w:after="0"/>
              <w:rPr>
                <w:sz w:val="20"/>
                <w:szCs w:val="20"/>
                <w:color w:val="auto"/>
              </w:rPr>
            </w:pPr>
            <w:r>
              <w:rPr>
                <w:rFonts w:ascii="Times New Roman" w:cs="Times New Roman" w:eastAsia="Times New Roman" w:hAnsi="Times New Roman"/>
                <w:sz w:val="14"/>
                <w:szCs w:val="14"/>
                <w:b w:val="1"/>
                <w:bCs w:val="1"/>
                <w:color w:val="auto"/>
              </w:rPr>
              <w:t>Restricted Stock Units (SMP)</w:t>
            </w:r>
          </w:p>
        </w:tc>
        <w:tc>
          <w:tcPr>
            <w:tcW w:w="0" w:type="dxa"/>
            <w:vAlign w:val="bottom"/>
          </w:tcPr>
          <w:p>
            <w:pPr>
              <w:spacing w:after="0"/>
              <w:rPr>
                <w:sz w:val="1"/>
                <w:szCs w:val="1"/>
                <w:color w:val="auto"/>
              </w:rPr>
            </w:pPr>
          </w:p>
        </w:tc>
      </w:tr>
      <w:tr>
        <w:trPr>
          <w:trHeight w:val="24"/>
        </w:trPr>
        <w:tc>
          <w:tcPr>
            <w:tcW w:w="59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5920" w:type="dxa"/>
            <w:vAlign w:val="bottom"/>
          </w:tcPr>
          <w:p>
            <w:pPr>
              <w:spacing w:after="0"/>
              <w:rPr>
                <w:sz w:val="10"/>
                <w:szCs w:val="10"/>
                <w:color w:val="auto"/>
              </w:rPr>
            </w:pPr>
          </w:p>
        </w:tc>
        <w:tc>
          <w:tcPr>
            <w:tcW w:w="18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0"/>
                <w:szCs w:val="10"/>
                <w:color w:val="auto"/>
              </w:rPr>
            </w:pPr>
          </w:p>
        </w:tc>
        <w:tc>
          <w:tcPr>
            <w:tcW w:w="1560" w:type="dxa"/>
            <w:vAlign w:val="bottom"/>
          </w:tcPr>
          <w:p>
            <w:pPr>
              <w:jc w:val="right"/>
              <w:ind w:right="257"/>
              <w:spacing w:after="0" w:line="125"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08"/>
        </w:trPr>
        <w:tc>
          <w:tcPr>
            <w:tcW w:w="5920" w:type="dxa"/>
            <w:vAlign w:val="bottom"/>
          </w:tcPr>
          <w:p>
            <w:pPr>
              <w:spacing w:after="0"/>
              <w:rPr>
                <w:sz w:val="9"/>
                <w:szCs w:val="9"/>
                <w:color w:val="auto"/>
              </w:rPr>
            </w:pPr>
          </w:p>
        </w:tc>
        <w:tc>
          <w:tcPr>
            <w:tcW w:w="18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vMerge w:val="restart"/>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83"/>
        </w:trPr>
        <w:tc>
          <w:tcPr>
            <w:tcW w:w="5920" w:type="dxa"/>
            <w:vAlign w:val="bottom"/>
            <w:tcBorders>
              <w:bottom w:val="single" w:sz="8" w:color="CCEEFF"/>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24"/>
        </w:trPr>
        <w:tc>
          <w:tcPr>
            <w:tcW w:w="5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24"/>
        </w:trPr>
        <w:tc>
          <w:tcPr>
            <w:tcW w:w="5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Forfeited</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5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2025*</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ind w:firstLine="440"/>
        <w:spacing w:after="0" w:line="253" w:lineRule="auto"/>
        <w:tabs>
          <w:tab w:leader="none" w:pos="57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2025 and December 31, 2024 restricted stock units vested for which the underlying common stock is yet to be issued are 217,230 and 72,385,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Restricted stock unit activity under the Company’s stock-based compensation plans is shown below:</w:t>
      </w:r>
    </w:p>
    <w:p>
      <w:pPr>
        <w:spacing w:after="0" w:line="129"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920" w:type="dxa"/>
            <w:vAlign w:val="bottom"/>
          </w:tcPr>
          <w:p>
            <w:pPr>
              <w:spacing w:after="0"/>
              <w:rPr>
                <w:sz w:val="16"/>
                <w:szCs w:val="16"/>
                <w:color w:val="auto"/>
              </w:rPr>
            </w:pPr>
          </w:p>
        </w:tc>
        <w:tc>
          <w:tcPr>
            <w:tcW w:w="3640" w:type="dxa"/>
            <w:vAlign w:val="bottom"/>
            <w:gridSpan w:val="4"/>
          </w:tcPr>
          <w:p>
            <w:pPr>
              <w:jc w:val="right"/>
              <w:ind w:right="1077"/>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24"/>
        </w:trPr>
        <w:tc>
          <w:tcPr>
            <w:tcW w:w="59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920" w:type="dxa"/>
            <w:vAlign w:val="bottom"/>
          </w:tcPr>
          <w:p>
            <w:pPr>
              <w:spacing w:after="0"/>
              <w:rPr>
                <w:sz w:val="11"/>
                <w:szCs w:val="11"/>
                <w:color w:val="auto"/>
              </w:rPr>
            </w:pPr>
          </w:p>
        </w:tc>
        <w:tc>
          <w:tcPr>
            <w:tcW w:w="18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1"/>
                <w:szCs w:val="11"/>
                <w:color w:val="auto"/>
              </w:rPr>
            </w:pPr>
          </w:p>
        </w:tc>
        <w:tc>
          <w:tcPr>
            <w:tcW w:w="1560" w:type="dxa"/>
            <w:vAlign w:val="bottom"/>
          </w:tcPr>
          <w:p>
            <w:pPr>
              <w:jc w:val="right"/>
              <w:ind w:right="257"/>
              <w:spacing w:after="0" w:line="127"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06"/>
        </w:trPr>
        <w:tc>
          <w:tcPr>
            <w:tcW w:w="5920" w:type="dxa"/>
            <w:vAlign w:val="bottom"/>
          </w:tcPr>
          <w:p>
            <w:pPr>
              <w:spacing w:after="0"/>
              <w:rPr>
                <w:sz w:val="9"/>
                <w:szCs w:val="9"/>
                <w:color w:val="auto"/>
              </w:rPr>
            </w:pPr>
          </w:p>
        </w:tc>
        <w:tc>
          <w:tcPr>
            <w:tcW w:w="18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vMerge w:val="restart"/>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84"/>
        </w:trPr>
        <w:tc>
          <w:tcPr>
            <w:tcW w:w="5920" w:type="dxa"/>
            <w:vAlign w:val="bottom"/>
            <w:tcBorders>
              <w:bottom w:val="single" w:sz="8" w:color="CCEEFF"/>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r>
        <w:trPr>
          <w:trHeight w:val="224"/>
        </w:trPr>
        <w:tc>
          <w:tcPr>
            <w:tcW w:w="5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0" w:type="dxa"/>
            <w:vAlign w:val="bottom"/>
          </w:tcPr>
          <w:p>
            <w:pPr>
              <w:spacing w:after="0"/>
              <w:rPr>
                <w:sz w:val="1"/>
                <w:szCs w:val="1"/>
                <w:color w:val="auto"/>
              </w:rPr>
            </w:pPr>
          </w:p>
        </w:tc>
      </w:tr>
      <w:tr>
        <w:trPr>
          <w:trHeight w:val="224"/>
        </w:trPr>
        <w:tc>
          <w:tcPr>
            <w:tcW w:w="5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(1,321,833)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0" w:type="dxa"/>
            <w:vAlign w:val="bottom"/>
          </w:tcPr>
          <w:p>
            <w:pPr>
              <w:spacing w:after="0"/>
              <w:rPr>
                <w:sz w:val="1"/>
                <w:szCs w:val="1"/>
                <w:color w:val="auto"/>
              </w:rPr>
            </w:pPr>
          </w:p>
        </w:tc>
      </w:tr>
      <w:tr>
        <w:trPr>
          <w:trHeight w:val="224"/>
        </w:trPr>
        <w:tc>
          <w:tcPr>
            <w:tcW w:w="59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0" w:type="dxa"/>
            <w:vAlign w:val="bottom"/>
          </w:tcPr>
          <w:p>
            <w:pPr>
              <w:spacing w:after="0"/>
              <w:rPr>
                <w:sz w:val="1"/>
                <w:szCs w:val="1"/>
                <w:color w:val="auto"/>
              </w:rPr>
            </w:pPr>
          </w:p>
        </w:tc>
      </w:tr>
      <w:tr>
        <w:trPr>
          <w:trHeight w:val="242"/>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2025*</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2,843,050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firstLine="400"/>
        <w:spacing w:after="0" w:line="253" w:lineRule="auto"/>
        <w:tabs>
          <w:tab w:leader="none" w:pos="526"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As of September 30, 2025 and December 31, 2024 restricted stock units vested for which the underlying common stock is yet to be issued are 346,431 and 289,547, respectively.</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September 30, 2025, unrecognized compensation cost of $80,207 is expected to be expensed over a weighted average period of 2.7 years.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Based Stock Awards</w:t>
      </w:r>
    </w:p>
    <w:p>
      <w:pPr>
        <w:spacing w:after="0" w:line="229" w:lineRule="exact"/>
        <w:rPr>
          <w:sz w:val="20"/>
          <w:szCs w:val="20"/>
          <w:color w:val="auto"/>
        </w:rPr>
      </w:pPr>
    </w:p>
    <w:p>
      <w:pPr>
        <w:jc w:val="both"/>
        <w:ind w:firstLine="395"/>
        <w:spacing w:after="0" w:line="234" w:lineRule="auto"/>
        <w:rPr>
          <w:sz w:val="20"/>
          <w:szCs w:val="20"/>
          <w:color w:val="auto"/>
        </w:rPr>
      </w:pPr>
      <w:r>
        <w:rPr>
          <w:rFonts w:ascii="Times New Roman" w:cs="Times New Roman" w:eastAsia="Times New Roman" w:hAnsi="Times New Roman"/>
          <w:sz w:val="18"/>
          <w:szCs w:val="18"/>
          <w:color w:val="auto"/>
        </w:rPr>
        <w:t>Under the Company’s equity incentive plans, the Company grants performance-based restricted stock units (“PRSUs”) to executive officers and other specified employees. During the nine months ended September 30, 2025, under the 2025 Plan and the 2018 Plan, the Company granted 40% of each award recipient’s equity grants in the form of PRSUs that cliff vest at the end of a three-year period based on an aggregated revenue target for a three-year period (“PU”). The remaining 60% of each award recipient’s equity grants are PRSUs that are based on market conditions, contingent on the Company’s meeting a total shareholder return relative to a group of peer companies specified under PRSU agreements, and are measured over a three-year performance period (“MU”).</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PRSU activity under the Company’s stock plans is shown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30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Revenue Based PRSUs</w:t>
            </w:r>
          </w:p>
        </w:tc>
        <w:tc>
          <w:tcPr>
            <w:tcW w:w="3860" w:type="dxa"/>
            <w:vAlign w:val="bottom"/>
            <w:gridSpan w:val="5"/>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Market Condition Based PRSUs</w:t>
            </w:r>
          </w:p>
        </w:tc>
        <w:tc>
          <w:tcPr>
            <w:tcW w:w="0" w:type="dxa"/>
            <w:vAlign w:val="bottom"/>
          </w:tcPr>
          <w:p>
            <w:pPr>
              <w:spacing w:after="0"/>
              <w:rPr>
                <w:sz w:val="1"/>
                <w:szCs w:val="1"/>
                <w:color w:val="auto"/>
              </w:rPr>
            </w:pPr>
          </w:p>
        </w:tc>
      </w:tr>
      <w:tr>
        <w:trPr>
          <w:trHeight w:val="24"/>
        </w:trPr>
        <w:tc>
          <w:tcPr>
            <w:tcW w:w="4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0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400" w:type="dxa"/>
            <w:vAlign w:val="bottom"/>
            <w:tcBorders>
              <w:top w:val="single" w:sz="8" w:color="auto"/>
            </w:tcBorders>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center"/>
              <w:ind w:right="57"/>
              <w:spacing w:after="0" w:line="125"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20" w:type="dxa"/>
            <w:vAlign w:val="bottom"/>
          </w:tcPr>
          <w:p>
            <w:pPr>
              <w:spacing w:after="0"/>
              <w:rPr>
                <w:sz w:val="10"/>
                <w:szCs w:val="10"/>
                <w:color w:val="auto"/>
              </w:rPr>
            </w:pPr>
          </w:p>
        </w:tc>
        <w:tc>
          <w:tcPr>
            <w:tcW w:w="1420" w:type="dxa"/>
            <w:vAlign w:val="bottom"/>
            <w:tcBorders>
              <w:top w:val="single" w:sz="8" w:color="auto"/>
            </w:tcBorders>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center"/>
              <w:ind w:right="77"/>
              <w:spacing w:after="0" w:line="125"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4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2280" w:type="dxa"/>
            <w:vAlign w:val="bottom"/>
            <w:gridSpan w:val="2"/>
            <w:vMerge w:val="restart"/>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83"/>
        </w:trPr>
        <w:tc>
          <w:tcPr>
            <w:tcW w:w="40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806,519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3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Pr>
          <w:p>
            <w:pPr>
              <w:spacing w:after="0"/>
              <w:rPr>
                <w:sz w:val="20"/>
                <w:szCs w:val="20"/>
                <w:color w:val="auto"/>
              </w:rPr>
            </w:pPr>
          </w:p>
        </w:tc>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767,068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1,150,113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0"/>
        </w:trPr>
        <w:tc>
          <w:tcPr>
            <w:tcW w:w="4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0" w:type="dxa"/>
            <w:vAlign w:val="bottom"/>
            <w:tcBorders>
              <w:bottom w:val="single" w:sz="8" w:color="9A9A9A"/>
            </w:tcBorders>
          </w:tcPr>
          <w:p>
            <w:pPr>
              <w:spacing w:after="0"/>
              <w:rPr>
                <w:sz w:val="9"/>
                <w:szCs w:val="9"/>
                <w:color w:val="auto"/>
              </w:rPr>
            </w:pPr>
          </w:p>
        </w:tc>
        <w:tc>
          <w:tcPr>
            <w:tcW w:w="39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720" w:firstLine="434"/>
        <w:spacing w:after="0" w:line="406" w:lineRule="auto"/>
        <w:rPr>
          <w:sz w:val="20"/>
          <w:szCs w:val="20"/>
          <w:color w:val="auto"/>
        </w:rPr>
      </w:pPr>
      <w:r>
        <w:rPr>
          <w:rFonts w:ascii="Times New Roman" w:cs="Times New Roman" w:eastAsia="Times New Roman" w:hAnsi="Times New Roman"/>
          <w:sz w:val="18"/>
          <w:szCs w:val="18"/>
          <w:color w:val="auto"/>
        </w:rPr>
        <w:t xml:space="preserve">As of September 30, 2025, unrecognized compensation cost of $45,697 is expected to be expensed over a weighted average period of 1.8 years. </w:t>
      </w:r>
      <w:r>
        <w:rPr>
          <w:rFonts w:ascii="Times New Roman" w:cs="Times New Roman" w:eastAsia="Times New Roman" w:hAnsi="Times New Roman"/>
          <w:sz w:val="18"/>
          <w:szCs w:val="18"/>
          <w:b w:val="1"/>
          <w:bCs w:val="1"/>
          <w:color w:val="auto"/>
        </w:rPr>
        <w:t>Employee Stock Purchase Plan</w:t>
      </w:r>
    </w:p>
    <w:p>
      <w:pPr>
        <w:spacing w:after="0" w:line="63"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color w:val="auto"/>
        </w:rPr>
        <w:t>On June 21, 2022, at the annual meeting of stockholders of the Company, the Company’s stockholders approved the ExlService Holdings, Inc. 2022 Employee Stock Purchase Plan (the “2022 ESPP”).</w:t>
      </w:r>
    </w:p>
    <w:p>
      <w:pPr>
        <w:spacing w:after="0" w:line="182" w:lineRule="exact"/>
        <w:rPr>
          <w:sz w:val="20"/>
          <w:szCs w:val="20"/>
          <w:color w:val="auto"/>
        </w:rPr>
      </w:pPr>
    </w:p>
    <w:p>
      <w:pPr>
        <w:jc w:val="both"/>
        <w:ind w:firstLine="395"/>
        <w:spacing w:after="0" w:line="236" w:lineRule="auto"/>
        <w:rPr>
          <w:sz w:val="20"/>
          <w:szCs w:val="20"/>
          <w:color w:val="auto"/>
        </w:rPr>
      </w:pPr>
      <w:r>
        <w:rPr>
          <w:rFonts w:ascii="Times New Roman" w:cs="Times New Roman" w:eastAsia="Times New Roman" w:hAnsi="Times New Roman"/>
          <w:sz w:val="18"/>
          <w:szCs w:val="18"/>
          <w:color w:val="auto"/>
        </w:rPr>
        <w:t>The 2022 ESPP allows eligible employees to purchase the Company’s shares of common stock through payroll deductions at a pre-specified discount to the lower of closing price of the Company’s common shares on the date of offering or the last business day of each purchase interval. The dollar amount of shares of common stock that can be purchased under the 2022 ESPP must not exceed 15% of the participating employee’s compensation during the offering period, subject to a cap of $25 per employee per calendar year. The Company has reserved 4,000,000 shares of common stock for issuance under the 2022 ESPP.</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seventh offering period under the 2022 ESPP commenced on July 1, 2025 with a term of six months.</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Activity under the Company’s 2022 ESPP is shown below:</w:t>
      </w:r>
    </w:p>
    <w:p>
      <w:pPr>
        <w:spacing w:after="0" w:line="265" w:lineRule="exact"/>
        <w:rPr>
          <w:sz w:val="20"/>
          <w:szCs w:val="20"/>
          <w:color w:val="auto"/>
        </w:rPr>
      </w:pPr>
    </w:p>
    <w:tbl>
      <w:tblPr>
        <w:tblLayout w:type="fixed"/>
        <w:tblInd w:w="6300" w:type="dxa"/>
        <w:tblCellMar>
          <w:top w:w="0" w:type="dxa"/>
          <w:left w:w="0" w:type="dxa"/>
          <w:bottom w:w="0" w:type="dxa"/>
          <w:right w:w="0" w:type="dxa"/>
        </w:tblCellMar>
      </w:tblPr>
      <w:tr>
        <w:trPr>
          <w:trHeight w:val="181"/>
        </w:trPr>
        <w:tc>
          <w:tcPr>
            <w:tcW w:w="1500" w:type="dxa"/>
            <w:vAlign w:val="bottom"/>
            <w:tcBorders>
              <w:top w:val="single" w:sz="8" w:color="auto"/>
            </w:tcBorders>
          </w:tcPr>
          <w:p>
            <w:pPr>
              <w:ind w:left="460"/>
              <w:spacing w:after="0" w:line="181" w:lineRule="exact"/>
              <w:rPr>
                <w:sz w:val="20"/>
                <w:szCs w:val="20"/>
                <w:color w:val="auto"/>
              </w:rPr>
            </w:pPr>
            <w:r>
              <w:rPr>
                <w:rFonts w:ascii="Times New Roman" w:cs="Times New Roman" w:eastAsia="Times New Roman" w:hAnsi="Times New Roman"/>
                <w:sz w:val="16"/>
                <w:szCs w:val="16"/>
                <w:b w:val="1"/>
                <w:bCs w:val="1"/>
                <w:color w:val="auto"/>
              </w:rPr>
              <w:t>Number</w:t>
            </w:r>
          </w:p>
        </w:tc>
        <w:tc>
          <w:tcPr>
            <w:tcW w:w="80" w:type="dxa"/>
            <w:vAlign w:val="bottom"/>
          </w:tcPr>
          <w:p>
            <w:pPr>
              <w:spacing w:after="0"/>
              <w:rPr>
                <w:sz w:val="15"/>
                <w:szCs w:val="15"/>
                <w:color w:val="auto"/>
              </w:rPr>
            </w:pPr>
          </w:p>
        </w:tc>
        <w:tc>
          <w:tcPr>
            <w:tcW w:w="154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6"/>
              </w:rPr>
              <w:t>Total Proceeds</w:t>
            </w:r>
          </w:p>
        </w:tc>
      </w:tr>
      <w:tr>
        <w:trPr>
          <w:trHeight w:val="209"/>
        </w:trPr>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Received</w:t>
            </w:r>
          </w:p>
        </w:tc>
      </w:tr>
    </w:tbl>
    <w:p>
      <w:pPr>
        <w:spacing w:after="0" w:line="26" w:lineRule="exact"/>
        <w:rPr>
          <w:sz w:val="20"/>
          <w:szCs w:val="20"/>
          <w:color w:val="auto"/>
        </w:rPr>
      </w:pPr>
    </w:p>
    <w:p>
      <w:pPr>
        <w:sectPr>
          <w:pgSz w:w="11900" w:h="16838" w:orient="portrait"/>
          <w:cols w:equalWidth="0" w:num="1">
            <w:col w:w="11240"/>
          </w:cols>
          <w:pgMar w:left="320" w:top="119" w:right="339" w:bottom="1440" w:gutter="0" w:footer="0" w:header="0"/>
        </w:sectPr>
      </w:pPr>
    </w:p>
    <w:p>
      <w:pPr>
        <w:ind w:left="420"/>
        <w:spacing w:after="0"/>
        <w:rPr>
          <w:sz w:val="20"/>
          <w:szCs w:val="20"/>
          <w:color w:val="auto"/>
        </w:rPr>
      </w:pPr>
      <w:r>
        <w:rPr>
          <w:rFonts w:ascii="Times New Roman" w:cs="Times New Roman" w:eastAsia="Times New Roman" w:hAnsi="Times New Roman"/>
          <w:sz w:val="18"/>
          <w:szCs w:val="18"/>
          <w:color w:val="auto"/>
        </w:rPr>
        <w:t>Shares available for issuance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-127635</wp:posOffset>
            </wp:positionV>
            <wp:extent cx="5723890" cy="1587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23890" cy="158750"/>
                    </a:xfrm>
                    <a:prstGeom prst="rect">
                      <a:avLst/>
                    </a:prstGeom>
                    <a:noFill/>
                  </pic:spPr>
                </pic:pic>
              </a:graphicData>
            </a:graphic>
          </wp:anchor>
        </w:drawing>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Issuance of common stock related to the:</w:t>
      </w:r>
    </w:p>
    <w:p>
      <w:pPr>
        <w:spacing w:after="0" w:line="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Fifth offering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-127635</wp:posOffset>
            </wp:positionV>
            <wp:extent cx="5723890" cy="1587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23890" cy="158750"/>
                    </a:xfrm>
                    <a:prstGeom prst="rect">
                      <a:avLst/>
                    </a:prstGeom>
                    <a:noFill/>
                  </pic:spPr>
                </pic:pic>
              </a:graphicData>
            </a:graphic>
          </wp:anchor>
        </w:drawing>
      </w:r>
    </w:p>
    <w:p>
      <w:pPr>
        <w:spacing w:after="0" w:line="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Sixth offering period</w:t>
      </w:r>
    </w:p>
    <w:p>
      <w:pPr>
        <w:spacing w:after="0" w:line="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Shares available for issuance as of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-127635</wp:posOffset>
            </wp:positionV>
            <wp:extent cx="5723890" cy="167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23890" cy="167005"/>
                    </a:xfrm>
                    <a:prstGeom prst="rect">
                      <a:avLst/>
                    </a:prstGeom>
                    <a:noFill/>
                  </pic:spPr>
                </pic:pic>
              </a:graphicData>
            </a:graphic>
          </wp:anchor>
        </w:drawing>
      </w:r>
    </w:p>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Contributions received for the seventh offering period up to September 30, 2025</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Related Party Disclosures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3,672,744</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64,939</w:t>
            </w:r>
          </w:p>
        </w:tc>
        <w:tc>
          <w:tcPr>
            <w:tcW w:w="6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0" w:type="dxa"/>
            <w:vAlign w:val="bottom"/>
          </w:tcPr>
          <w:p>
            <w:pPr>
              <w:spacing w:after="0"/>
              <w:rPr>
                <w:sz w:val="1"/>
                <w:szCs w:val="1"/>
                <w:color w:val="auto"/>
              </w:rPr>
            </w:pPr>
          </w:p>
        </w:tc>
      </w:tr>
      <w:tr>
        <w:trPr>
          <w:trHeight w:val="250"/>
        </w:trPr>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97,536</w:t>
            </w:r>
          </w:p>
        </w:tc>
        <w:tc>
          <w:tcPr>
            <w:tcW w:w="6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0" w:type="dxa"/>
            <w:vAlign w:val="bottom"/>
          </w:tcPr>
          <w:p>
            <w:pPr>
              <w:spacing w:after="0"/>
              <w:rPr>
                <w:sz w:val="1"/>
                <w:szCs w:val="1"/>
                <w:color w:val="auto"/>
              </w:rPr>
            </w:pPr>
          </w:p>
        </w:tc>
      </w:tr>
      <w:tr>
        <w:trPr>
          <w:trHeight w:val="217"/>
        </w:trPr>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3,510,269</w:t>
            </w: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680" w:type="dxa"/>
            <w:vAlign w:val="bottom"/>
            <w:vMerge w:val="restart"/>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line="20" w:lineRule="exact"/>
              <w:rPr>
                <w:sz w:val="1"/>
                <w:szCs w:val="1"/>
                <w:color w:val="auto"/>
              </w:rPr>
            </w:pPr>
          </w:p>
        </w:tc>
      </w:tr>
      <w:tr>
        <w:trPr>
          <w:trHeight w:val="221"/>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710" w:lineRule="exact"/>
        <w:rPr>
          <w:sz w:val="20"/>
          <w:szCs w:val="20"/>
          <w:color w:val="auto"/>
        </w:rPr>
      </w:pPr>
    </w:p>
    <w:p>
      <w:pPr>
        <w:sectPr>
          <w:pgSz w:w="11900" w:h="16838" w:orient="portrait"/>
          <w:cols w:equalWidth="0" w:num="2">
            <w:col w:w="6060" w:space="240"/>
            <w:col w:w="4940"/>
          </w:cols>
          <w:pgMar w:left="320" w:top="119" w:right="339" w:bottom="1440" w:gutter="0" w:footer="0" w:header="0"/>
          <w:type w:val="continuous"/>
        </w:sectPr>
      </w:pPr>
    </w:p>
    <w:p>
      <w:pPr>
        <w:spacing w:after="0" w:line="29" w:lineRule="exact"/>
        <w:rPr>
          <w:sz w:val="20"/>
          <w:szCs w:val="20"/>
          <w:color w:val="auto"/>
        </w:rPr>
      </w:pPr>
    </w:p>
    <w:p>
      <w:pPr>
        <w:jc w:val="both"/>
        <w:ind w:firstLine="434"/>
        <w:spacing w:after="0" w:line="226" w:lineRule="auto"/>
        <w:rPr>
          <w:sz w:val="20"/>
          <w:szCs w:val="20"/>
          <w:color w:val="auto"/>
        </w:rPr>
      </w:pPr>
      <w:r>
        <w:rPr>
          <w:rFonts w:ascii="Times New Roman" w:cs="Times New Roman" w:eastAsia="Times New Roman" w:hAnsi="Times New Roman"/>
          <w:sz w:val="18"/>
          <w:szCs w:val="18"/>
          <w:color w:val="auto"/>
        </w:rPr>
        <w:t>The Company provides data and AI-led services to Corridor Platforms, Inc., which is an equity affiliate of the Company. The Company recognized revenues, net of $42 and $80 during the three months ended September 30, 2025 and 2024, respectively, and $126 and $382 during the nine months ended September 30, 2025 and 2024, respectively. The Company had outstanding accounts receivable, net of $14 and $56, related to this service contract as of September 30, 2025 and December 31, 2024, respectively.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Commitments and Contingencies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Commitments</w:t>
      </w:r>
    </w:p>
    <w:p>
      <w:pPr>
        <w:spacing w:after="0" w:line="231" w:lineRule="exact"/>
        <w:rPr>
          <w:sz w:val="20"/>
          <w:szCs w:val="20"/>
          <w:color w:val="auto"/>
        </w:rPr>
      </w:pPr>
    </w:p>
    <w:p>
      <w:pPr>
        <w:jc w:val="both"/>
        <w:ind w:firstLine="434"/>
        <w:spacing w:after="0" w:line="253"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committed to spend approximately $6,000 and $6,500, respectively, net of capital advances, under agreements to purchase property and equipment.</w:t>
      </w:r>
    </w:p>
    <w:p>
      <w:pPr>
        <w:spacing w:after="0" w:line="195" w:lineRule="exact"/>
        <w:rPr>
          <w:sz w:val="20"/>
          <w:szCs w:val="20"/>
          <w:color w:val="auto"/>
        </w:rPr>
      </w:pPr>
    </w:p>
    <w:p>
      <w:pPr>
        <w:jc w:val="both"/>
        <w:ind w:firstLine="434"/>
        <w:spacing w:after="0" w:line="232" w:lineRule="auto"/>
        <w:rPr>
          <w:sz w:val="20"/>
          <w:szCs w:val="20"/>
          <w:color w:val="auto"/>
        </w:rPr>
      </w:pPr>
      <w:r>
        <w:rPr>
          <w:rFonts w:ascii="Times New Roman" w:cs="Times New Roman" w:eastAsia="Times New Roman" w:hAnsi="Times New Roman"/>
          <w:sz w:val="18"/>
          <w:szCs w:val="18"/>
          <w:color w:val="auto"/>
        </w:rPr>
        <w:t>On June 15, 2023, the Company, along with other limited partners, entered into a limited partnership agreement with the general partner, PNP Financial Services Fund GP I, LLC and initial limited partner and outgoing partner, to form a partnership with the name Plug and Play Financial Services Fund I, L.P. (the “Partnership”) for the primary purpose of making investments in growth-stage technology companies. The Company committed to make an aggregate investment of $4,000 in the Partnership. As of September 30, 2025, the Company has invested $2,400 in the Partnership and is committed to make further investments up to an amount of $1,600.</w:t>
      </w:r>
    </w:p>
    <w:p>
      <w:pPr>
        <w:sectPr>
          <w:pgSz w:w="11900" w:h="16838" w:orient="portrait"/>
          <w:cols w:equalWidth="0" w:num="1">
            <w:col w:w="11240"/>
          </w:cols>
          <w:pgMar w:left="320" w:top="1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231" w:lineRule="exact"/>
        <w:rPr>
          <w:sz w:val="20"/>
          <w:szCs w:val="20"/>
          <w:color w:val="auto"/>
        </w:rPr>
      </w:pPr>
    </w:p>
    <w:p>
      <w:pPr>
        <w:jc w:val="both"/>
        <w:ind w:firstLine="395"/>
        <w:spacing w:after="0" w:line="236" w:lineRule="auto"/>
        <w:rPr>
          <w:sz w:val="20"/>
          <w:szCs w:val="20"/>
          <w:color w:val="auto"/>
        </w:rPr>
      </w:pPr>
      <w:r>
        <w:rPr>
          <w:rFonts w:ascii="Times New Roman" w:cs="Times New Roman" w:eastAsia="Times New Roman" w:hAnsi="Times New Roman"/>
          <w:sz w:val="18"/>
          <w:szCs w:val="18"/>
          <w:color w:val="auto"/>
        </w:rPr>
        <w:t>Certain units of the Company’s Indian subsidiaries were established as 100% Export-Oriented units or under the Software Technology Parks of India or Special Economic Zone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 believes, however, that these units have in the past satisfied, and will continue to satisfy, the required conditions.</w:t>
      </w:r>
    </w:p>
    <w:p>
      <w:pPr>
        <w:spacing w:after="0" w:line="206" w:lineRule="exact"/>
        <w:rPr>
          <w:sz w:val="20"/>
          <w:szCs w:val="20"/>
          <w:color w:val="auto"/>
        </w:rPr>
      </w:pPr>
    </w:p>
    <w:p>
      <w:pPr>
        <w:jc w:val="both"/>
        <w:ind w:firstLine="395"/>
        <w:spacing w:after="0" w:line="277" w:lineRule="auto"/>
        <w:rPr>
          <w:sz w:val="20"/>
          <w:szCs w:val="20"/>
          <w:color w:val="auto"/>
        </w:rPr>
      </w:pPr>
      <w:r>
        <w:rPr>
          <w:rFonts w:ascii="Times New Roman" w:cs="Times New Roman" w:eastAsia="Times New Roman" w:hAnsi="Times New Roman"/>
          <w:sz w:val="16"/>
          <w:szCs w:val="16"/>
          <w:color w:val="auto"/>
        </w:rPr>
        <w:t>The Company’s operations centers in the Philippines are registered as qualified Philippines Economic Zone Authority units, which provides the Company fiscal incentives on the import of capital goods and local purchase of services and materials. The Company is required to meet certain requirements to retain the incentives. The Company has complied, and intends to continue compliance, with the requirements to avail itself of the incentives.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44" w:lineRule="exact"/>
        <w:rPr>
          <w:sz w:val="20"/>
          <w:szCs w:val="20"/>
          <w:color w:val="auto"/>
        </w:rPr>
      </w:pPr>
    </w:p>
    <w:p>
      <w:pPr>
        <w:jc w:val="both"/>
        <w:ind w:firstLine="395"/>
        <w:spacing w:after="0" w:line="242" w:lineRule="auto"/>
        <w:rPr>
          <w:sz w:val="20"/>
          <w:szCs w:val="20"/>
          <w:color w:val="auto"/>
        </w:rPr>
      </w:pPr>
      <w:r>
        <w:rPr>
          <w:rFonts w:ascii="Times New Roman" w:cs="Times New Roman" w:eastAsia="Times New Roman" w:hAnsi="Times New Roman"/>
          <w:sz w:val="18"/>
          <w:szCs w:val="18"/>
          <w:color w:val="auto"/>
        </w:rPr>
        <w:t>The transfer pricing regulations in the countries where the Company operates require that controlled intercompany transactions be at arm’s-length. Accordingly, the Company determines and documents pricing for controlled intercompany transactions based on an economic analysis as prescribed in the respective regulations. The tax authorities have jurisdiction to review the Company’s transfer pricing. If the Company’s transfer pricing is challenged by the authorities, they could assess additional tax, interest and penalties, thereby impacting the Company’s profitability and cash flows.</w:t>
      </w:r>
    </w:p>
    <w:p>
      <w:pPr>
        <w:spacing w:after="0" w:line="205" w:lineRule="exact"/>
        <w:rPr>
          <w:sz w:val="20"/>
          <w:szCs w:val="20"/>
          <w:color w:val="auto"/>
        </w:rPr>
      </w:pPr>
    </w:p>
    <w:p>
      <w:pPr>
        <w:jc w:val="both"/>
        <w:ind w:firstLine="395"/>
        <w:spacing w:after="0" w:line="232" w:lineRule="auto"/>
        <w:rPr>
          <w:sz w:val="20"/>
          <w:szCs w:val="20"/>
          <w:color w:val="auto"/>
        </w:rPr>
      </w:pPr>
      <w:r>
        <w:rPr>
          <w:rFonts w:ascii="Times New Roman" w:cs="Times New Roman" w:eastAsia="Times New Roman" w:hAnsi="Times New Roman"/>
          <w:sz w:val="18"/>
          <w:szCs w:val="18"/>
          <w:color w:val="auto"/>
        </w:rPr>
        <w:t>The Company is currently involved in transfer pricing and related income tax disputes with Indian tax authorities. The aggregate amount demanded by Indian tax authorities (net of advance payments) as of September 30, 2025 and December 31, 2024 is $46,645 and $49,588, respectively. The Company has made payments and/or provided bank guarantees against these demands in the amounts of $7,757 and $7,506, as of September 30, 2025 and December 31, 2024, respectively. The Company believes that its positions will more likely than not be sustained upon final examination by the tax authorities, and accordingly has not accrued any liabilities with respect to these matters in its consolidated financial statements.</w:t>
      </w:r>
    </w:p>
    <w:p>
      <w:pPr>
        <w:spacing w:after="0" w:line="22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Pursuant to reviewing the Company’s annual VAT and service tax filings, the Indian tax authorities raised aggregate demands for tax years 2015 and 2017, in the amounts of $5,249 and $5,339, as of September 30, 2025 and December 31, 2024, respectively. The Company has provided bank guarantees against these demands in the amounts of $5,148 and $5,339, as of September 30, 2025 and December 31, 2024, respectively. The Company has filed appeals against these matters and believes that it is more likely than not that upon final examination its position will be sustained based on technical merits.</w:t>
      </w:r>
    </w:p>
    <w:p>
      <w:pPr>
        <w:spacing w:after="0" w:line="21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Indian GST authorities rejected the Company’s refund claims in the amounts of $5,537 and $5,885 as of September 30, 2025 and December 31, 2024, respectively. The Company has filed appeals against these matters and believes that it is more likely than not that upon final examination its position will be sustained based on its technical merits. Accordingly, no allowance was recorded against these GST receivables as of September 30, 2025 and December 31, 2024, respectively.</w:t>
      </w:r>
    </w:p>
    <w:p>
      <w:pPr>
        <w:spacing w:after="0" w:line="210"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Some of the Company’s subsidiaries in India have undergone assessments with the statutory authority with respect to defined contribution plan. Except for some components of the assessments for which the Company has recognized a provision in the unaudited consolidated financial statements, the Company believes that the amount demanded by such authority is not a meaningful indicator of the potential liabilities of the Company, and that these matters are without merit. The Company is defending against the assessment orders and in one case, has instituted an appeal against the order before the relevant tribunal while also making a payment under protest of the amount demanded. As of the reporting date, the Company’s management does not believe that the ultimate assessments in any of these matters will have a material adverse effect on the Company’s consolidated financial condition, results of operations or cash flows. The Company will continue to monitor and evaluate its position based on future events and developments on these matters.</w:t>
      </w:r>
    </w:p>
    <w:p>
      <w:pPr>
        <w:spacing w:after="0" w:line="200" w:lineRule="exact"/>
        <w:rPr>
          <w:sz w:val="20"/>
          <w:szCs w:val="20"/>
          <w:color w:val="auto"/>
        </w:rPr>
      </w:pPr>
    </w:p>
    <w:p>
      <w:pPr>
        <w:jc w:val="both"/>
        <w:ind w:firstLine="395"/>
        <w:spacing w:after="0" w:line="237" w:lineRule="auto"/>
        <w:rPr>
          <w:sz w:val="20"/>
          <w:szCs w:val="20"/>
          <w:color w:val="auto"/>
        </w:rPr>
      </w:pPr>
      <w:r>
        <w:rPr>
          <w:rFonts w:ascii="Times New Roman" w:cs="Times New Roman" w:eastAsia="Times New Roman" w:hAnsi="Times New Roman"/>
          <w:sz w:val="18"/>
          <w:szCs w:val="18"/>
          <w:color w:val="auto"/>
        </w:rPr>
        <w:t>From time to time, the Company, its subsidiaries, and/or their present officers or directors, may be or have been, named as a defendant in litigation matters, including employment-related claims. The plaintiffs in those cases seek damages, including, where applicable, compensatory damages, punitive damages and attorney’s fees. With respect to pending litigation matters as of the reporting date, the Company believes that the damages claimed are without merit, and the Company intends to vigorously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defend them. The Company will continuously monitor developments on these matters to assess potential impacts to the financial statements.</w:t>
      </w:r>
    </w:p>
    <w:p>
      <w:pPr>
        <w:spacing w:after="0" w:line="227" w:lineRule="exact"/>
        <w:rPr>
          <w:sz w:val="20"/>
          <w:szCs w:val="20"/>
          <w:color w:val="auto"/>
        </w:rPr>
      </w:pPr>
    </w:p>
    <w:p>
      <w:pPr>
        <w:jc w:val="both"/>
        <w:ind w:firstLine="395"/>
        <w:spacing w:after="0" w:line="231" w:lineRule="auto"/>
        <w:rPr>
          <w:sz w:val="20"/>
          <w:szCs w:val="20"/>
          <w:color w:val="auto"/>
        </w:rPr>
      </w:pPr>
      <w:r>
        <w:rPr>
          <w:rFonts w:ascii="Times New Roman" w:cs="Times New Roman" w:eastAsia="Times New Roman" w:hAnsi="Times New Roman"/>
          <w:sz w:val="18"/>
          <w:szCs w:val="18"/>
          <w:color w:val="auto"/>
        </w:rPr>
        <w:t>The outcomes of legal actions are unpredictable and subject to significant uncertainties, and thus it is inherently difficult to determine the likelihood of the Company incurring a material loss or quantification of any such loss. With respect to certain pending litigation matters as of the reporting date, the Company has made provisions based on information currently available, including its evaluation of the facts underlying each matter and legal counsel’s advice on the estimated losses or range of reasonably possible losses. Based on the Company’s assessment, including the availability of insurance recoveries, the Company’s management does not believe that currently pending litigation, individually or in aggregate, will have a material adverse effect on the Company’s consolidated financial condition, results of operations or cash flows. The Company will continuously monitor these matters to assess potential impacts to the financial statements.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40"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2024. Some of the statements in the following discussion are forward looking statements.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2"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6"/>
          <w:szCs w:val="16"/>
          <w:color w:val="auto"/>
        </w:rPr>
        <w:t>This Quarterly Report on Form 10-Q contains forward-looking statements within the meaning of the United States Private Securities Litigation Reform Act of 1995.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236" w:lineRule="exact"/>
        <w:rPr>
          <w:sz w:val="20"/>
          <w:szCs w:val="20"/>
          <w:color w:val="auto"/>
        </w:rPr>
      </w:pPr>
    </w:p>
    <w:p>
      <w:pPr>
        <w:ind w:left="640" w:hanging="319"/>
        <w:spacing w:after="0" w:line="268" w:lineRule="auto"/>
        <w:tabs>
          <w:tab w:leader="none" w:pos="6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client demand for our services and solutions, including anticipating and incorporating the latest technologies, for instance, artificial intelligence (“AI”), including generative AI into our offerings;</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AI technology presents competitive, operational, reputational and legal risks, and our use of AI technology may not be successful;</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on client demand by the selling cycle and terms of our client contracts;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transition to and implement new organization structure;</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earnings;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enough sufficiently trained employees to support our operations or any changes in the senior management team;</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and/or manage costs;</w:t>
      </w:r>
    </w:p>
    <w:p>
      <w:pPr>
        <w:spacing w:after="0" w:line="5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our pricing terms or effectively manage our asset utilization levels to meet the changing demands of our clients and potential clients;</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security incidents, data breaches, or other unauthorized disclosure of sensitive or confidential client and employee data;</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reliance on third parties to deliver services and infrastructure for client critical services, and on third party data use rights for certain of our offerings;</w:t>
      </w:r>
    </w:p>
    <w:p>
      <w:pPr>
        <w:spacing w:after="0" w:line="79"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wage increases;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clients and our ability to withstand the loss of a significant client;</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rapid infrastructure and personnel growth across countries;</w:t>
      </w:r>
    </w:p>
    <w:p>
      <w:pPr>
        <w:spacing w:after="0" w:line="5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consummate or integrate strategic acquisitions including the impact from the impairment of goodwill and other intangible assets, if any;</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liability arising out of customer and third party contracts;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in our industry;</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telecommunications or technology disruptions or breaches, natural or other disasters, medical epidemics or pandemics, or acts of violence or war;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40" w:hanging="319"/>
        <w:spacing w:after="0" w:line="268" w:lineRule="auto"/>
        <w:tabs>
          <w:tab w:leader="none" w:pos="6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by applicable tax authorities to transfer pricing determinations or the introduction of new or unfavorable tax legislation, tariffs, including legal restrictions on repatriation of funds held abroad;</w:t>
      </w:r>
    </w:p>
    <w:p>
      <w:pPr>
        <w:spacing w:after="0" w:line="1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currency exchange rate fluctuations in the various currencies in which we do business including rising inflation, high interest rates and economic recessionary trends on currency exchange rates;</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immigration and work permits;</w:t>
      </w:r>
    </w:p>
    <w:p>
      <w:pPr>
        <w:spacing w:after="0" w:line="5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legislative and judicial developments, including our ability to adhere to regulations or accreditation or licensing standards that govern our business;</w:t>
      </w:r>
    </w:p>
    <w:p>
      <w:pPr>
        <w:spacing w:after="0" w:line="1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debt or obtain additional financing on competitive terms, or exposure to interest rate fluctuations that are not fully hedged through interest rate swaps;</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reaction in the United States or elsewhere to offshore outsourcing;</w:t>
      </w:r>
    </w:p>
    <w:p>
      <w:pPr>
        <w:spacing w:after="0" w:line="5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political and economic conditions globally including newly imposed U.S tariffs and any additional responsive non-U.S tariffs, particularly in the geographies where we operate;</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accurate estimates and assumptions in connection with the preparation of our consolidated financial statements;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fluctuations in the market values of our investment and derivatives portfolios; and</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sustainability-related initiatives.</w:t>
      </w:r>
    </w:p>
    <w:p>
      <w:pPr>
        <w:spacing w:after="0" w:line="34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These and other factors are more fully discussed in our Annual Report on Form 10-K for the fiscal year ended December 31, 2024. These and other risks could cause actual results to differ materially from those implied by forward-looking statements in this Quarterly Report on Form 10-Q.</w:t>
      </w:r>
    </w:p>
    <w:p>
      <w:pPr>
        <w:spacing w:after="0" w:line="19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forward-looking statements made by us in this Quarterly Report on Form 10-Q, or elsewhere, speak only as of the date on which they were made. New risks and uncertainties may occur from time to time, and it is impossible for us to predict those events or how they may affect us. We have no obligation to update any forward-looking statements in this Quarterly Report on Form 10-Q after the date of this Quarterly Report on Form 10-Q, except as required by federal securities laws.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9" w:lineRule="exact"/>
        <w:rPr>
          <w:sz w:val="20"/>
          <w:szCs w:val="20"/>
          <w:color w:val="auto"/>
        </w:rPr>
      </w:pPr>
    </w:p>
    <w:p>
      <w:pPr>
        <w:jc w:val="both"/>
        <w:ind w:firstLine="395"/>
        <w:spacing w:after="0" w:line="237" w:lineRule="auto"/>
        <w:rPr>
          <w:sz w:val="20"/>
          <w:szCs w:val="20"/>
          <w:color w:val="auto"/>
        </w:rPr>
      </w:pPr>
      <w:r>
        <w:rPr>
          <w:rFonts w:ascii="Times New Roman" w:cs="Times New Roman" w:eastAsia="Times New Roman" w:hAnsi="Times New Roman"/>
          <w:sz w:val="18"/>
          <w:szCs w:val="18"/>
          <w:color w:val="auto"/>
        </w:rPr>
        <w:t>We are a global data and artificial intelligence (“AI”) company that offers services and solutions to reinvent client business models, drive better outcomes and unlock growth with speed. We harness the power of data, AI, and deep industry knowledge to transform businesses, including the world’s leading corporations in industries including insurance, healthcare, life sciences, banking and financial services, media and retail, communications and media, and energy and infrastructure, among others.</w:t>
      </w:r>
    </w:p>
    <w:p>
      <w:pPr>
        <w:spacing w:after="0" w:line="22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global delivery network, which includes highly trained industry and process specialists across the United States, the United Kingdom, Latin America, South Africa, Europe and Asia (primarily India and the Philippines), is a key asset. We have operations centers in India, the United States, the Philippines, South Africa, Colombia, Bulgaria, Romania, the United Kingdom, the Czech Republic, Mexico and the Republic of Ireland.</w:t>
      </w:r>
    </w:p>
    <w:p>
      <w:pPr>
        <w:spacing w:after="0" w:line="127"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the first quarter of 2025, we implemented operational and structural changes to align with how our management reviews financial information and makes operating decisions. The new operating model is comprised of Industry Market Units (“IMUs”) to focus on delivering higher value to clients leveraging our full suite of capabilities; and Strategic Growth Units to focus on rapidly advancing our operational, analytics, data engineering, and AI capabilities specific to our chosen industries. Our IMUs will focus on managing customer relationships and delivering the “One EXL” value proposition to clients, maintain a unified go-to-market approach and be integrally responsible for growth, profitability and client satisfaction.</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Accordingly, our new reportable segments, aligned to our IMUs, are as follows:</w:t>
      </w:r>
    </w:p>
    <w:p>
      <w:pPr>
        <w:spacing w:after="0" w:line="161" w:lineRule="exact"/>
        <w:rPr>
          <w:sz w:val="20"/>
          <w:szCs w:val="20"/>
          <w:color w:val="auto"/>
        </w:rPr>
      </w:pPr>
    </w:p>
    <w:p>
      <w:pPr>
        <w:ind w:left="1260" w:hanging="544"/>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21" w:lineRule="exact"/>
        <w:rPr>
          <w:rFonts w:ascii="Times New Roman" w:cs="Times New Roman" w:eastAsia="Times New Roman" w:hAnsi="Times New Roman"/>
          <w:sz w:val="18"/>
          <w:szCs w:val="18"/>
          <w:color w:val="auto"/>
        </w:rPr>
      </w:pPr>
    </w:p>
    <w:p>
      <w:pPr>
        <w:ind w:left="1260" w:hanging="544"/>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and Life Sciences,</w:t>
      </w:r>
    </w:p>
    <w:p>
      <w:pPr>
        <w:spacing w:after="0" w:line="3" w:lineRule="exact"/>
        <w:rPr>
          <w:rFonts w:ascii="Times New Roman" w:cs="Times New Roman" w:eastAsia="Times New Roman" w:hAnsi="Times New Roman"/>
          <w:sz w:val="18"/>
          <w:szCs w:val="18"/>
          <w:color w:val="auto"/>
        </w:rPr>
      </w:pPr>
    </w:p>
    <w:p>
      <w:pPr>
        <w:ind w:left="1260" w:hanging="544"/>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Capital Markets and Diversified Industries,</w:t>
      </w:r>
    </w:p>
    <w:p>
      <w:pPr>
        <w:spacing w:after="0" w:line="3" w:lineRule="exact"/>
        <w:rPr>
          <w:rFonts w:ascii="Times New Roman" w:cs="Times New Roman" w:eastAsia="Times New Roman" w:hAnsi="Times New Roman"/>
          <w:sz w:val="18"/>
          <w:szCs w:val="18"/>
          <w:color w:val="auto"/>
        </w:rPr>
      </w:pPr>
    </w:p>
    <w:p>
      <w:pPr>
        <w:ind w:left="1260" w:hanging="544"/>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Growth Markets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The primary changes in our new reportable segments reflect 1) the integration of our former Analytics reportable segment as a core capability within each of our IMUs, ensuring alignment with the specialized needs of our clients across IMUs, 2) the reorganization of our former Emerging Business reportable segment into a Banking, Capital Markets and Diversified Industries reportable segment, excluding Life Sciences, which is now a part of the new Healthcare and Life Sciences reportable segment, and 3) the formation of International Growth Markets as a separate business unit to represent all our service and solutions offerings to clients in the United Kingdom, Europe, Middle East, Asia-Pacific and South Africa geographies across all industry verticals. The International Growth Markets business unit will help strategically expand our footprint in markets outside of North America and drive focus on offerings and expansion in those markets in new and existing clients.</w:t>
      </w:r>
    </w:p>
    <w:p>
      <w:pPr>
        <w:spacing w:after="0" w:line="2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addition, our revenues by service type are now presented as data and AI-led and digital operations services. Revenues attributable to geographical regions are now presented as North America (including the United States, Canada and Mexico), the United Kingdom and Europe, and Rest of World.</w:t>
      </w:r>
    </w:p>
    <w:p>
      <w:pPr>
        <w:spacing w:after="0" w:line="19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have recast our segment disclosures for all prior periods presented to conform to the way we internally manage and monitor segment level performance of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42"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For the three months ended September 30, 2025, we generated revenues of $529.6 million compared to revenues of $472.1 million for the three months ended September 30, 2024, an increase of $57.5 million, or 12.2%. For the nine months ended September 30, 2025, we generated revenues of $1,545.1 million compared to revenues of $1,356.9 million for the nine months ended September 30, 2024, an increase of $188.2 million, or 13.9%.</w:t>
      </w:r>
    </w:p>
    <w:p>
      <w:pPr>
        <w:spacing w:after="0" w:line="201" w:lineRule="exact"/>
        <w:rPr>
          <w:sz w:val="20"/>
          <w:szCs w:val="20"/>
          <w:color w:val="auto"/>
        </w:rPr>
      </w:pPr>
    </w:p>
    <w:p>
      <w:pPr>
        <w:jc w:val="both"/>
        <w:ind w:firstLine="395"/>
        <w:spacing w:after="0" w:line="242" w:lineRule="auto"/>
        <w:rPr>
          <w:sz w:val="20"/>
          <w:szCs w:val="20"/>
          <w:color w:val="auto"/>
        </w:rPr>
      </w:pPr>
      <w:r>
        <w:rPr>
          <w:rFonts w:ascii="Times New Roman" w:cs="Times New Roman" w:eastAsia="Times New Roman" w:hAnsi="Times New Roman"/>
          <w:sz w:val="18"/>
          <w:szCs w:val="18"/>
          <w:color w:val="auto"/>
        </w:rPr>
        <w:t>We serve clients mainly in North America, and the United Kingdom &amp; Europe, with these two regions generating 82.5% and 14.9%, respectively, of our total revenues for the three months ended September 30, 2025, and 81.7% and 15.1%, respectively, of our total revenues for the three months ended September 30, 2024. For the nine months ended September 30, 2025, these two regions generated 82.5% and 14.8%, respectively, of our total revenues and 82.3% and 14.8%, respectively, of our total revenues for the nine months ended September 30, 2024.</w:t>
      </w:r>
    </w:p>
    <w:p>
      <w:pPr>
        <w:spacing w:after="0" w:line="205" w:lineRule="exact"/>
        <w:rPr>
          <w:sz w:val="20"/>
          <w:szCs w:val="20"/>
          <w:color w:val="auto"/>
        </w:rPr>
      </w:pPr>
    </w:p>
    <w:p>
      <w:pPr>
        <w:jc w:val="both"/>
        <w:ind w:firstLine="395"/>
        <w:spacing w:after="0" w:line="242" w:lineRule="auto"/>
        <w:rPr>
          <w:sz w:val="20"/>
          <w:szCs w:val="20"/>
          <w:color w:val="auto"/>
        </w:rPr>
      </w:pPr>
      <w:r>
        <w:rPr>
          <w:rFonts w:ascii="Times New Roman" w:cs="Times New Roman" w:eastAsia="Times New Roman" w:hAnsi="Times New Roman"/>
          <w:sz w:val="18"/>
          <w:szCs w:val="18"/>
          <w:color w:val="auto"/>
        </w:rPr>
        <w:t>For the three months ended September 30, 2025 and 2024, our total revenues from our top ten clients accounted for 34.5% and 34.2% of our total revenues, respectively. For the nine months ended September 30, 2025 and 2024, our total revenues from our top ten clients accounted for 33.8% and 33.2% of our total revenues, respectively. Although we continue to develop relationships with new clients to diversify our client base, we believe that the loss of any of our top ten clients could have a material adverse effect on our financial performance.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provide data and AI-led and digital operations services to our clients. We market and sell our solutions and services to existing and prospective clients through our sales and client management teams, which are aligned by our IMUs. Our sales and client management teams operate primarily from the United States, India, the United Kingdom, Ireland and Australia.</w:t>
      </w:r>
    </w:p>
    <w:p>
      <w:pPr>
        <w:spacing w:after="0" w:line="191" w:lineRule="exact"/>
        <w:rPr>
          <w:sz w:val="20"/>
          <w:szCs w:val="20"/>
          <w:color w:val="auto"/>
        </w:rPr>
      </w:pPr>
    </w:p>
    <w:p>
      <w:pPr>
        <w:jc w:val="both"/>
        <w:ind w:firstLine="395"/>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Data and AI-led: </w:t>
      </w:r>
      <w:r>
        <w:rPr>
          <w:rFonts w:ascii="Times New Roman" w:cs="Times New Roman" w:eastAsia="Times New Roman" w:hAnsi="Times New Roman"/>
          <w:sz w:val="18"/>
          <w:szCs w:val="18"/>
          <w:color w:val="auto"/>
        </w:rPr>
        <w:t>Our data and AI-led revenue comes from AI-powered solutions and services in which we embed data and AI into client workflows.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Leveraging our depth of domain knowledge, analytics, data management and digital engineering expertise, our industry-specific offerings are designed to help clients accelerate growth, improve customer experience, enhance efficiency, and deliver lasting competitive advantages. As clients evolve from digital operations to data and AI-powered operations and outcomes, these capabilities represent the next stage of enterprise transformation.</w:t>
      </w:r>
    </w:p>
    <w:p>
      <w:pPr>
        <w:spacing w:after="0" w:line="206" w:lineRule="exact"/>
        <w:rPr>
          <w:sz w:val="20"/>
          <w:szCs w:val="20"/>
          <w:color w:val="auto"/>
        </w:rPr>
      </w:pPr>
    </w:p>
    <w:p>
      <w:pPr>
        <w:jc w:val="both"/>
        <w:ind w:firstLine="395"/>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Digital operations: </w:t>
      </w:r>
      <w:r>
        <w:rPr>
          <w:rFonts w:ascii="Times New Roman" w:cs="Times New Roman" w:eastAsia="Times New Roman" w:hAnsi="Times New Roman"/>
          <w:sz w:val="18"/>
          <w:szCs w:val="18"/>
          <w:color w:val="auto"/>
        </w:rPr>
        <w:t>Our digital operations revenue comes from our industry-specific solutions and services that help clients run essential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functions with greater speed, accuracy, and efficiency. We apply deep industry expertise and tailored technology—whether our proprietary technology or client technology—to solve complex challenges and drive measurable outcomes. These digital operations deployments form the foundation for future client transformation opportunities to infuse AI into client workflows and unlock even greater value.</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industry market units, which provide data and AI-led and digital operations services, are described below:</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Insurance: </w:t>
      </w:r>
      <w:r>
        <w:rPr>
          <w:rFonts w:ascii="Times New Roman" w:cs="Times New Roman" w:eastAsia="Times New Roman" w:hAnsi="Times New Roman"/>
          <w:sz w:val="18"/>
          <w:szCs w:val="18"/>
          <w:color w:val="auto"/>
        </w:rPr>
        <w:t>We combine our cloud-first digital insurance software solutions and industry expertise with generative AI, machine learning, advanced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analytics, and platforms, to enable insurance businesses to transform operations and embed artificial intelligence into workflows. Our data and AI-powered operations and services span across the insurance value chain. We provide services to insurers in the areas of property and casualty, life, disability, annuity, and retirement services. Additionally, we serve insurance brokers, reinsurers, and insurtech companies.</w:t>
      </w:r>
    </w:p>
    <w:p>
      <w:pPr>
        <w:spacing w:after="0" w:line="20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offerings include digital marketing, new business acquisition, actuarial, underwriting support, claims processing, premium and benefit administration, policy servicing, premium audit, surveys, billing and collection, commercial and residential surveys, finance and accounting and customer service. This includes our Insurance Large Language Model (“LLM”), a specialized generative AI platform for claims, underwriting and subrogation, developed leveraging our deep experience and proprietary data in the insurance space.</w:t>
      </w:r>
    </w:p>
    <w:p>
      <w:pPr>
        <w:spacing w:after="0" w:line="208"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Healthcare and Life Sciences: </w:t>
      </w:r>
      <w:r>
        <w:rPr>
          <w:rFonts w:ascii="Times New Roman" w:cs="Times New Roman" w:eastAsia="Times New Roman" w:hAnsi="Times New Roman"/>
          <w:sz w:val="18"/>
          <w:szCs w:val="18"/>
          <w:color w:val="auto"/>
        </w:rPr>
        <w:t>We work with clients across the healthcare ecosystem to meet their current and dynamic business challenges. We deliver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integrated solutions and services at the intersection of domain, data, and AI to enable AI transformation for healthcare payers and providers, pharmacy benefit managers (“PBMs”), and life sciences organizations. Through the provision of a range of data and AI-powered operations and solutions, we focus on streamlining healthcare administration processes to enhance operational efficiency, aimed at reducing costs for both providers and consumers and improving consumer experience. We leverage innovative technologies to provide offerings intended to simplify complex workflows, minimize bureaucratic hurdles, and improve overall effectiveness.</w:t>
      </w:r>
    </w:p>
    <w:p>
      <w:pPr>
        <w:spacing w:after="0" w:line="214"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For healthcare payers, we offer pre and post-pay auditing services, payment analytics, payment integrity, a care management platform and services and patient navigation. For healthcare providers, we offer revenue cycle management, digital transformation, data and analytics and call center modernization. For PBMs, we provide digital transformation, data and analytics and call center modernization. Within the life sciences space, we provide finance and accounting operations and data analytics. Across our segments, we leverage AI, analytics, and cloud-based solutions to enhance value-based care, optimize claims, and ensure regulatory compliance.</w:t>
      </w:r>
    </w:p>
    <w:p>
      <w:pPr>
        <w:spacing w:after="0" w:line="210"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Banking, Capital Markets, and Diversified Industries: </w:t>
      </w:r>
      <w:r>
        <w:rPr>
          <w:rFonts w:ascii="Times New Roman" w:cs="Times New Roman" w:eastAsia="Times New Roman" w:hAnsi="Times New Roman"/>
          <w:sz w:val="18"/>
          <w:szCs w:val="18"/>
          <w:color w:val="auto"/>
        </w:rPr>
        <w:t>Our Banking and Capital Markets and Diversified Industries group delivers comprehensive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across retail and commercial banking, credit card services, payment services, fintech, banking infrastructure services, capital markets, mortgage services, utilities, retail and consumer packaged goods, media, communications and entertainment, travel and leisure, transportation and logistics, and other business services industries.</w:t>
      </w:r>
    </w:p>
    <w:p>
      <w:pPr>
        <w:spacing w:after="0" w:line="208"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By integrating domain expertise with AI-driven data management, we empower financial institutions to innovate, enhance operational agility, and navigate evolving market demands. Our tailored services span retail banking operations such as digital lending solutions that enhance underwriting and compliance, sales and demand generation, omni-channel marketing, digital onboarding, know your customer (“KYC”)/anti-money laundering (“AML”) compliance, and collections; credit card services including customer acquisition, fraud management, and payment processing; and payment services structured for secure, multi-currency transaction processing. Additionally, we support fintechs with AI-driven hyper-personalization and analytics, while our capital markets solutions cover investment banking, asset management, custodian banking, and fund administration. Mortgage services include loan origination, account servicing, default management, and title settlement services. Our industry-leading AI and automation-driven service offerings drive efficiency and innovation across financial services.</w:t>
      </w:r>
    </w:p>
    <w:p>
      <w:pPr>
        <w:spacing w:after="0" w:line="217"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Our enterprise services and solutions include domain-specific operations, finance and accounting, customer experience management, back-office operations, and revenue enhancement, such as pricing and billing, enabling our clients to deliver superior economic performance. For example, in the retail and consumer packaged goods sectors, we provide supply chain management services and AI-led advanced analytical services including merchandising, pricing, and demand forecasting and for our clients in the utilities sector, we offer AI-enabled operations and solutions related to end-to-end customer life cycle management, including onboarding and terminations, engineering field services, customer service, billing, and debt management and collections.</w:t>
      </w:r>
    </w:p>
    <w:p>
      <w:pPr>
        <w:spacing w:after="0" w:line="210"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International Growth Markets: </w:t>
      </w:r>
      <w:r>
        <w:rPr>
          <w:rFonts w:ascii="Times New Roman" w:cs="Times New Roman" w:eastAsia="Times New Roman" w:hAnsi="Times New Roman"/>
          <w:sz w:val="18"/>
          <w:szCs w:val="18"/>
          <w:color w:val="auto"/>
        </w:rPr>
        <w:t>Our International Growth Markets (“IGM”) unit is focused on extending our global reach in growth markets outside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North America. This provides us with opportunities to leverage our investments, experience, and expertise from the North America market to expand our global client base, drive further growth, and bring us closer to our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customers across the world. IGM consists of dedicated teams servicing clients in the banking and capital markets, insurance, life sciences, energy and infrastructure, retail, consumer goods, and travel industries in growth markets. This unit is instrumental in localizing our global capabilities in these industry segments to align with the local regulatory, cultural, linguistic and economic needs. Across all regions in which we operate, we combine deep domain experience with our data and AI expertise to help clients innovate, enhance operational agility, adapt to changing market demands, and drive better business outcomes.</w:t>
      </w:r>
    </w:p>
    <w:p>
      <w:pPr>
        <w:spacing w:after="0" w:line="210"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Pricing: </w:t>
      </w:r>
      <w:r>
        <w:rPr>
          <w:rFonts w:ascii="Times New Roman" w:cs="Times New Roman" w:eastAsia="Times New Roman" w:hAnsi="Times New Roman"/>
          <w:sz w:val="16"/>
          <w:szCs w:val="16"/>
          <w:color w:val="auto"/>
        </w:rPr>
        <w:t>We charge for our services using various pricing models like time-and-material pricing, full-time-equivalent pricing, transaction-based pricing,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outcome-based pricing, subscription-based pricing and other alternative or emerging pricing models. Outcome-based pricing arrangements is an example of a non-linear pricing model where our revenues from platforms and solutions and the services we provide are compensated based on our clients’ usage or savings rather than the efforts we deploy to provide these services. We continue to observe a shift in the industry pricing models toward transaction-based pricing, outcome-based pricing and other alternative pricing models. We believe this trend will continue and we use such alternative pricing models with some of our current clients and are seeking to move certain other clients from a full-time-equivalent pricing model to a transaction-based or other alternative pricing model. These alternative pricing models place the focus on operating efficiency in order to maintain or improve our gross margins.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Organization for Economic Cooperation and Development, issued a Pillar II model for implementing a 15% global minimum tax effective January 1, 2024. The application of the rules relating to Pillar II continue to evolve, and there are countries that are still in the process of issuing attendant rules and regulations, including available transitional safe harbor rules. The two countries where we operate but do not meet the available safe harbor rules are the Republic of Ireland and the Philippines. The Pillar II impacts for the Republic of Ireland and the Philippines are not significant and have been properly reflected in our financial statements. We will continue to monitor Pillar II developments and assess any future impacts.</w:t>
      </w:r>
    </w:p>
    <w:p>
      <w:pPr>
        <w:spacing w:after="0" w:line="21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July 4, 2025, President Trump signed new tax legislation known as the One Big Beautiful Bill Act (“OBBBA”), which effectively extends certain provisions of the 2017 Tax Cuts and Jobs Act, including adjustments to several provisions that were scheduled to sunset, phase out, or phase in. As a result of our election to expense research or experimental expenditures incurred in the United States and the related transition provisions, our U.S. cash taxes for 2025 will decrease, while there will be no significant impact on its effective tax rate.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the first quarter of 2025, we implemented operational and structural changes which resulted in the realignment of our reporting segments. Refer to Note 3- Segment Information and Note 10- Goodwill and Other Intangible Assets to our unaudited consolidated financial statements for further details.</w:t>
      </w:r>
    </w:p>
    <w:p>
      <w:pPr>
        <w:spacing w:after="0" w:line="19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Goodwill has been re-allocated to reporting units based on the relative fair value approach. We tested goodwill for impairment prior to the segment realignment and immediately thereafter, for events and conditions identified in accordance with the guidance in ASC Topic 350, </w:t>
      </w:r>
      <w:r>
        <w:rPr>
          <w:rFonts w:ascii="Times New Roman" w:cs="Times New Roman" w:eastAsia="Times New Roman" w:hAnsi="Times New Roman"/>
          <w:sz w:val="18"/>
          <w:szCs w:val="18"/>
          <w:i w:val="1"/>
          <w:iCs w:val="1"/>
          <w:color w:val="auto"/>
        </w:rPr>
        <w:t>Intangibles- 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The fair value of our reporting units was calculated using a discounted cash flow model using estimated future cash flows. The results of our evaluation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demonstrated that the fair value of each reporting unit exceeded its book value as of the date of the segment realignment.</w:t>
      </w:r>
    </w:p>
    <w:p>
      <w:pPr>
        <w:spacing w:after="0" w:line="21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during the nine months ended September 30, 2025, as compared to the critical accounting policies and estimates referred in Part II, Item 7, “Management’s Discussion and Analysis of Financial Condition and Results of Operations” under “Critical Accounting Policies and Estimates” and Note 2 - Summary of Significant Accounting Policies to our consolidated financial statements included in our Annual Report on Form 10-K for the fiscal year ended December 31, 2024.</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2025 and 2024: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326"/>
        </w:trPr>
        <w:tc>
          <w:tcPr>
            <w:tcW w:w="3300" w:type="dxa"/>
            <w:vAlign w:val="bottom"/>
          </w:tcPr>
          <w:p>
            <w:pPr>
              <w:spacing w:after="0"/>
              <w:rPr>
                <w:sz w:val="24"/>
                <w:szCs w:val="24"/>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4"/>
                <w:szCs w:val="14"/>
                <w:b w:val="1"/>
                <w:bCs w:val="1"/>
                <w:color w:val="auto"/>
              </w:rPr>
              <w:t>ended</w:t>
            </w: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4"/>
                <w:szCs w:val="14"/>
                <w:b w:val="1"/>
                <w:bCs w:val="1"/>
                <w:color w:val="auto"/>
              </w:rPr>
              <w:t>ended</w:t>
            </w: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300" w:type="dxa"/>
            <w:vAlign w:val="bottom"/>
          </w:tcPr>
          <w:p>
            <w:pPr>
              <w:spacing w:after="0"/>
              <w:rPr>
                <w:sz w:val="12"/>
                <w:szCs w:val="12"/>
                <w:color w:val="auto"/>
              </w:rPr>
            </w:pPr>
          </w:p>
        </w:tc>
        <w:tc>
          <w:tcPr>
            <w:tcW w:w="1060" w:type="dxa"/>
            <w:vAlign w:val="bottom"/>
            <w:gridSpan w:val="3"/>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w:t>
            </w:r>
          </w:p>
        </w:tc>
        <w:tc>
          <w:tcPr>
            <w:tcW w:w="10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w:t>
            </w:r>
          </w:p>
        </w:tc>
        <w:tc>
          <w:tcPr>
            <w:tcW w:w="10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(C=A-B)</w:t>
            </w:r>
          </w:p>
        </w:tc>
        <w:tc>
          <w:tcPr>
            <w:tcW w:w="1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net</w:t>
            </w:r>
          </w:p>
        </w:tc>
        <w:tc>
          <w:tcPr>
            <w:tcW w:w="20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529.6</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472.1</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330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Cost of revenues </w:t>
            </w:r>
            <w:r>
              <w:rPr>
                <w:rFonts w:ascii="Times New Roman" w:cs="Times New Roman" w:eastAsia="Times New Roman" w:hAnsi="Times New Roman"/>
                <w:sz w:val="20"/>
                <w:szCs w:val="20"/>
                <w:color w:val="auto"/>
                <w:vertAlign w:val="superscript"/>
              </w:rPr>
              <w:t>(1)</w:t>
            </w:r>
          </w:p>
        </w:tc>
        <w:tc>
          <w:tcPr>
            <w:tcW w:w="20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325.6</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293.8</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330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b w:val="1"/>
                <w:bCs w:val="1"/>
                <w:color w:val="auto"/>
              </w:rPr>
              <w:t xml:space="preserve">Gross profit </w:t>
            </w:r>
            <w:r>
              <w:rPr>
                <w:rFonts w:ascii="Times New Roman" w:cs="Times New Roman" w:eastAsia="Times New Roman" w:hAnsi="Times New Roman"/>
                <w:sz w:val="20"/>
                <w:szCs w:val="20"/>
                <w:b w:val="1"/>
                <w:bCs w:val="1"/>
                <w:color w:val="auto"/>
                <w:vertAlign w:val="superscript"/>
              </w:rPr>
              <w:t>(1)</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204.0</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38.5 %</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178.3</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37.8 %</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25.7</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14.4 %</w:t>
            </w:r>
          </w:p>
        </w:tc>
        <w:tc>
          <w:tcPr>
            <w:tcW w:w="0" w:type="dxa"/>
            <w:vAlign w:val="bottom"/>
          </w:tcPr>
          <w:p>
            <w:pPr>
              <w:spacing w:after="0"/>
              <w:rPr>
                <w:sz w:val="1"/>
                <w:szCs w:val="1"/>
                <w:color w:val="auto"/>
              </w:rPr>
            </w:pPr>
          </w:p>
        </w:tc>
      </w:tr>
      <w:tr>
        <w:trPr>
          <w:trHeight w:val="189"/>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3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127.8</w:t>
            </w:r>
          </w:p>
        </w:tc>
        <w:tc>
          <w:tcPr>
            <w:tcW w:w="10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0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76.2</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14.4 %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69.4</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9.8 %</w:t>
            </w:r>
          </w:p>
        </w:tc>
        <w:tc>
          <w:tcPr>
            <w:tcW w:w="0" w:type="dxa"/>
            <w:vAlign w:val="bottom"/>
          </w:tcPr>
          <w:p>
            <w:pPr>
              <w:spacing w:after="0"/>
              <w:rPr>
                <w:sz w:val="1"/>
                <w:szCs w:val="1"/>
                <w:color w:val="auto"/>
              </w:rPr>
            </w:pPr>
          </w:p>
        </w:tc>
      </w:tr>
      <w:tr>
        <w:trPr>
          <w:trHeight w:val="209"/>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exchange gain/(loss), net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(464.4) %</w:t>
            </w:r>
          </w:p>
        </w:tc>
        <w:tc>
          <w:tcPr>
            <w:tcW w:w="0" w:type="dxa"/>
            <w:vAlign w:val="bottom"/>
          </w:tcPr>
          <w:p>
            <w:pPr>
              <w:spacing w:after="0"/>
              <w:rPr>
                <w:sz w:val="1"/>
                <w:szCs w:val="1"/>
                <w:color w:val="auto"/>
              </w:rPr>
            </w:pPr>
          </w:p>
        </w:tc>
      </w:tr>
      <w:tr>
        <w:trPr>
          <w:trHeight w:val="21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0" w:type="dxa"/>
            <w:vAlign w:val="bottom"/>
          </w:tcPr>
          <w:p>
            <w:pPr>
              <w:spacing w:after="0"/>
              <w:rPr>
                <w:sz w:val="1"/>
                <w:szCs w:val="1"/>
                <w:color w:val="auto"/>
              </w:rPr>
            </w:pPr>
          </w:p>
        </w:tc>
      </w:tr>
      <w:tr>
        <w:trPr>
          <w:trHeight w:val="209"/>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0"/>
        </w:trPr>
        <w:tc>
          <w:tcPr>
            <w:tcW w:w="330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6"/>
                <w:szCs w:val="16"/>
                <w:b w:val="1"/>
                <w:bCs w:val="1"/>
                <w:color w:val="auto"/>
                <w:w w:val="99"/>
              </w:rPr>
              <w:t>Income before income tax expense and earnings</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74.8</w:t>
            </w:r>
          </w:p>
        </w:tc>
        <w:tc>
          <w:tcPr>
            <w:tcW w:w="10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14.1 %</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68.5</w:t>
            </w:r>
          </w:p>
        </w:tc>
        <w:tc>
          <w:tcPr>
            <w:tcW w:w="10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14.5 %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w:t>
            </w:r>
          </w:p>
        </w:tc>
        <w:tc>
          <w:tcPr>
            <w:tcW w:w="1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9.0 %</w:t>
            </w:r>
          </w:p>
        </w:tc>
        <w:tc>
          <w:tcPr>
            <w:tcW w:w="0" w:type="dxa"/>
            <w:vAlign w:val="bottom"/>
          </w:tcPr>
          <w:p>
            <w:pPr>
              <w:spacing w:after="0"/>
              <w:rPr>
                <w:sz w:val="1"/>
                <w:szCs w:val="1"/>
                <w:color w:val="auto"/>
              </w:rPr>
            </w:pPr>
          </w:p>
        </w:tc>
      </w:tr>
      <w:tr>
        <w:trPr>
          <w:trHeight w:val="21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from equity affiliates</w:t>
            </w: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2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earnings from equity affiliates</w:t>
            </w: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58.3</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11.0 %</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53.0</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11.2 %</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9.7 %</w:t>
            </w:r>
          </w:p>
        </w:tc>
        <w:tc>
          <w:tcPr>
            <w:tcW w:w="0" w:type="dxa"/>
            <w:vAlign w:val="bottom"/>
          </w:tcPr>
          <w:p>
            <w:pPr>
              <w:spacing w:after="0"/>
              <w:rPr>
                <w:sz w:val="1"/>
                <w:szCs w:val="1"/>
                <w:color w:val="auto"/>
              </w:rPr>
            </w:pPr>
          </w:p>
        </w:tc>
      </w:tr>
      <w:tr>
        <w:trPr>
          <w:trHeight w:val="209"/>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equity-method investment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30"/>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0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9.7 %</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(1) Exclusive of depreciation and amortization expense.</w:t>
      </w:r>
    </w:p>
    <w:p>
      <w:pPr>
        <w:spacing w:after="0" w:line="237" w:lineRule="exact"/>
        <w:rPr>
          <w:sz w:val="20"/>
          <w:szCs w:val="20"/>
          <w:color w:val="auto"/>
        </w:rPr>
      </w:pPr>
    </w:p>
    <w:p>
      <w:pPr>
        <w:ind w:left="400"/>
        <w:spacing w:after="0" w:line="272" w:lineRule="auto"/>
        <w:rPr>
          <w:sz w:val="20"/>
          <w:szCs w:val="20"/>
          <w:color w:val="auto"/>
        </w:rPr>
      </w:pPr>
      <w:r>
        <w:rPr>
          <w:rFonts w:ascii="Times New Roman" w:cs="Times New Roman" w:eastAsia="Times New Roman" w:hAnsi="Times New Roman"/>
          <w:sz w:val="16"/>
          <w:szCs w:val="16"/>
          <w:i w:val="1"/>
          <w:iCs w:val="1"/>
          <w:color w:val="auto"/>
        </w:rPr>
        <w:t>Due to rounding, the numbers presented in the tables included in this Part I, Item 2, “Management’s Discussion and Analysis of Financial Condition and Results of Operations” may not add up precisely to the totals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2025 Compared to Three Months Ended September 30, 2024</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revenues by reportable segments: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3"/>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Percentage of Total Revenues for the three</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5"/>
            <w:vMerge w:val="continue"/>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2860" w:type="dxa"/>
            <w:vAlign w:val="bottom"/>
            <w:gridSpan w:val="3"/>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months ended September 30,</w:t>
            </w:r>
          </w:p>
        </w:tc>
        <w:tc>
          <w:tcPr>
            <w:tcW w:w="0" w:type="dxa"/>
            <w:vAlign w:val="bottom"/>
          </w:tcPr>
          <w:p>
            <w:pPr>
              <w:spacing w:after="0"/>
              <w:rPr>
                <w:sz w:val="1"/>
                <w:szCs w:val="1"/>
                <w:color w:val="auto"/>
              </w:rPr>
            </w:pPr>
          </w:p>
        </w:tc>
      </w:tr>
      <w:tr>
        <w:trPr>
          <w:trHeight w:val="192"/>
        </w:trPr>
        <w:tc>
          <w:tcPr>
            <w:tcW w:w="25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138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0" w:type="dxa"/>
            <w:vAlign w:val="bottom"/>
            <w:tcBorders>
              <w:top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0" w:type="dxa"/>
            <w:vAlign w:val="bottom"/>
          </w:tcPr>
          <w:p>
            <w:pPr>
              <w:spacing w:after="0"/>
              <w:rPr>
                <w:sz w:val="1"/>
                <w:szCs w:val="1"/>
                <w:color w:val="auto"/>
              </w:rPr>
            </w:pPr>
          </w:p>
        </w:tc>
      </w:tr>
      <w:tr>
        <w:trPr>
          <w:trHeight w:val="224"/>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 and Life Sciences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0" w:type="dxa"/>
            <w:vAlign w:val="bottom"/>
          </w:tcPr>
          <w:p>
            <w:pPr>
              <w:spacing w:after="0"/>
              <w:rPr>
                <w:sz w:val="1"/>
                <w:szCs w:val="1"/>
                <w:color w:val="auto"/>
              </w:rPr>
            </w:pPr>
          </w:p>
        </w:tc>
      </w:tr>
      <w:tr>
        <w:trPr>
          <w:trHeight w:val="171"/>
        </w:trPr>
        <w:tc>
          <w:tcPr>
            <w:tcW w:w="25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Banking, Capital Markets and</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Diversified Industries</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224"/>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Growth Markets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242"/>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Revenues for the three months ended September 30, 2025 were up by $57.5 million, or 12.2%, compared to the three months ended September 30, 2024, primarily driven by the expansion of business from our existing clients across all reportable segments by 9.7% and revenue from new client wins, including revenue from our August 2024 acquisition of Incandescent Technologies, Inc. (“ITI Data”) by 2.5% during the three months ended September 30, 2025.</w:t>
      </w:r>
    </w:p>
    <w:p>
      <w:pPr>
        <w:spacing w:after="0" w:line="158"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color w:val="auto"/>
        </w:rPr>
        <w:t>Revenue growth in Insurance by 8.5% was driven by the expansion of business from our existing clients by 7.7% and new clients by 0.8% during the three months ended September 30, 2025, compared to the three months ended September 30, 2024.</w:t>
      </w:r>
    </w:p>
    <w:p>
      <w:pPr>
        <w:spacing w:after="0" w:line="195" w:lineRule="exact"/>
        <w:rPr>
          <w:sz w:val="20"/>
          <w:szCs w:val="20"/>
          <w:color w:val="auto"/>
        </w:rPr>
      </w:pPr>
    </w:p>
    <w:p>
      <w:pPr>
        <w:jc w:val="both"/>
        <w:ind w:firstLine="395"/>
        <w:spacing w:after="0" w:line="298" w:lineRule="auto"/>
        <w:rPr>
          <w:sz w:val="20"/>
          <w:szCs w:val="20"/>
          <w:color w:val="auto"/>
        </w:rPr>
      </w:pPr>
      <w:r>
        <w:rPr>
          <w:rFonts w:ascii="Times New Roman" w:cs="Times New Roman" w:eastAsia="Times New Roman" w:hAnsi="Times New Roman"/>
          <w:sz w:val="16"/>
          <w:szCs w:val="16"/>
          <w:color w:val="auto"/>
        </w:rPr>
        <w:t>Revenue growth in Healthcare and Life Sciences by 21.6% was driven by the expansion of business from our existing clients by 20.5% and new clients including revenue from ITI Data by 1.1% during the three months ended September 30, 2025, compared to the three months ended September 30, 2024.</w:t>
      </w:r>
    </w:p>
    <w:p>
      <w:pPr>
        <w:spacing w:after="0" w:line="162" w:lineRule="exact"/>
        <w:rPr>
          <w:sz w:val="20"/>
          <w:szCs w:val="20"/>
          <w:color w:val="auto"/>
        </w:rPr>
      </w:pPr>
    </w:p>
    <w:p>
      <w:pPr>
        <w:jc w:val="both"/>
        <w:ind w:firstLine="395"/>
        <w:spacing w:after="0" w:line="241" w:lineRule="auto"/>
        <w:rPr>
          <w:sz w:val="20"/>
          <w:szCs w:val="20"/>
          <w:color w:val="auto"/>
        </w:rPr>
      </w:pPr>
      <w:r>
        <w:rPr>
          <w:rFonts w:ascii="Times New Roman" w:cs="Times New Roman" w:eastAsia="Times New Roman" w:hAnsi="Times New Roman"/>
          <w:sz w:val="18"/>
          <w:szCs w:val="18"/>
          <w:color w:val="auto"/>
        </w:rPr>
        <w:t>Revenue growth in Banking, Capital Markets and Diversified Industries by 11.7% was driven by the expansion of business from our existing clients by 5.4% and new clients including revenue from ITI Data by 6.3% during the three months ended September 30, 2025, compared to the three months ended September 30, 2024.</w:t>
      </w:r>
    </w:p>
    <w:p>
      <w:pPr>
        <w:spacing w:after="0" w:line="205" w:lineRule="exact"/>
        <w:rPr>
          <w:sz w:val="20"/>
          <w:szCs w:val="20"/>
          <w:color w:val="auto"/>
        </w:rPr>
      </w:pPr>
    </w:p>
    <w:p>
      <w:pPr>
        <w:jc w:val="both"/>
        <w:ind w:firstLine="395"/>
        <w:spacing w:after="0" w:line="241" w:lineRule="auto"/>
        <w:rPr>
          <w:sz w:val="20"/>
          <w:szCs w:val="20"/>
          <w:color w:val="auto"/>
        </w:rPr>
      </w:pPr>
      <w:r>
        <w:rPr>
          <w:rFonts w:ascii="Times New Roman" w:cs="Times New Roman" w:eastAsia="Times New Roman" w:hAnsi="Times New Roman"/>
          <w:sz w:val="18"/>
          <w:szCs w:val="18"/>
          <w:color w:val="auto"/>
        </w:rPr>
        <w:t>Revenue growth in International Growth Markets by 7.7% was driven by the expansion of business from our existing clients by 5.8% and new clients including revenue from ITI Data by 2.6%, partially offset by a foreign exchange loss, net of hedging by 0.7% during the three months ended September 30, 2025, compared to the three months ended September 30, 2024.</w:t>
      </w:r>
    </w:p>
    <w:p>
      <w:pPr>
        <w:spacing w:after="0" w:line="200" w:lineRule="exact"/>
        <w:rPr>
          <w:sz w:val="20"/>
          <w:szCs w:val="20"/>
          <w:color w:val="auto"/>
        </w:rPr>
      </w:pP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table sets forth cost of revenues and gross margin of our reportable segments: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40" w:type="dxa"/>
            <w:vAlign w:val="bottom"/>
          </w:tcPr>
          <w:p>
            <w:pPr>
              <w:spacing w:after="0"/>
              <w:rPr>
                <w:sz w:val="2"/>
                <w:szCs w:val="2"/>
                <w:color w:val="auto"/>
              </w:rPr>
            </w:pPr>
          </w:p>
        </w:tc>
        <w:tc>
          <w:tcPr>
            <w:tcW w:w="2400" w:type="dxa"/>
            <w:vAlign w:val="bottom"/>
            <w:tcBorders>
              <w:bottom w:val="single" w:sz="8" w:color="auto"/>
            </w:tcBorders>
            <w:gridSpan w:val="6"/>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1"/>
        </w:trPr>
        <w:tc>
          <w:tcPr>
            <w:tcW w:w="2540" w:type="dxa"/>
            <w:vAlign w:val="bottom"/>
          </w:tcPr>
          <w:p>
            <w:pPr>
              <w:spacing w:after="0"/>
              <w:rPr>
                <w:sz w:val="24"/>
                <w:szCs w:val="24"/>
                <w:color w:val="auto"/>
              </w:rPr>
            </w:pPr>
          </w:p>
        </w:tc>
        <w:tc>
          <w:tcPr>
            <w:tcW w:w="240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24"/>
                <w:szCs w:val="24"/>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26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10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4"/>
        </w:trPr>
        <w:tc>
          <w:tcPr>
            <w:tcW w:w="2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126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18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10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gridSpan w:val="4"/>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26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24"/>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 and Life Sciences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171"/>
        </w:trPr>
        <w:tc>
          <w:tcPr>
            <w:tcW w:w="25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Banking, Capital Markets and</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Diversified Industries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4"/>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Growth Markets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35.8 %</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42"/>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37.8 %</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firstLine="395"/>
        <w:spacing w:after="0" w:line="253" w:lineRule="auto"/>
        <w:rPr>
          <w:sz w:val="20"/>
          <w:szCs w:val="20"/>
          <w:color w:val="auto"/>
        </w:rPr>
      </w:pPr>
      <w:r>
        <w:rPr>
          <w:rFonts w:ascii="Times New Roman" w:cs="Times New Roman" w:eastAsia="Times New Roman" w:hAnsi="Times New Roman"/>
          <w:sz w:val="18"/>
          <w:szCs w:val="18"/>
          <w:color w:val="auto"/>
        </w:rPr>
        <w:t>Cost of revenues for the three months ended September 30, 2025 increased by $31.8 million, or 10.8% compared to the three months ended September 30, 2024. The increase in cost of revenues was primarily due to increases in employee-related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costs of $38.4 million on account of higher headcount and wage inflation, higher facilities, technology and other operating costs of $2.9 million, partially offset by lower mail and data expenses in our direct marketing business of $4.3 million and a foreign exchange gain, net of hedging of $5.2 million. Our gross margin for the three months ended September 30, 2025 was 38.5%, compared to 37.8% for the three months ended September 30, 2024, an increase of 70 basis points (“bps”) primarily driven by higher revenues and operational efficiencies, partially offset by increases in employee-related costs across all reportable segments during the three months ended September 30, 2025, compared to the three months ended September 30, 2024.</w:t>
      </w:r>
    </w:p>
    <w:p>
      <w:pPr>
        <w:spacing w:after="0" w:line="206" w:lineRule="exact"/>
        <w:rPr>
          <w:sz w:val="20"/>
          <w:szCs w:val="20"/>
          <w:color w:val="auto"/>
        </w:rPr>
      </w:pPr>
    </w:p>
    <w:p>
      <w:pPr>
        <w:jc w:val="both"/>
        <w:ind w:firstLine="395"/>
        <w:spacing w:after="0" w:line="232" w:lineRule="auto"/>
        <w:rPr>
          <w:sz w:val="20"/>
          <w:szCs w:val="20"/>
          <w:color w:val="auto"/>
        </w:rPr>
      </w:pPr>
      <w:r>
        <w:rPr>
          <w:rFonts w:ascii="Times New Roman" w:cs="Times New Roman" w:eastAsia="Times New Roman" w:hAnsi="Times New Roman"/>
          <w:sz w:val="18"/>
          <w:szCs w:val="18"/>
          <w:color w:val="auto"/>
        </w:rPr>
        <w:t>The increase in cost of revenues in Insurance by $7.8 million for the three months ended September 30, 2025 was primarily due to increases in employee-related costs of $12.9 million on account of higher headcount and wage inflation, higher other operating costs of $0.9 million, partially offset by lower mail and data expenses in our direct marketing business of $4.3 million and a foreign exchange gain, net of hedging of $1.7 million. Gross margin in Insurance increased by 70 bps, primarily due to higher volumes in certain existing clients during the three months ended September 30, 2025, compared to the three months ended September 30, 2024.</w:t>
      </w:r>
    </w:p>
    <w:p>
      <w:pPr>
        <w:spacing w:after="0" w:line="210" w:lineRule="exact"/>
        <w:rPr>
          <w:sz w:val="20"/>
          <w:szCs w:val="20"/>
          <w:color w:val="auto"/>
        </w:rPr>
      </w:pPr>
    </w:p>
    <w:p>
      <w:pPr>
        <w:jc w:val="both"/>
        <w:ind w:firstLine="395"/>
        <w:spacing w:after="0" w:line="236" w:lineRule="auto"/>
        <w:rPr>
          <w:sz w:val="20"/>
          <w:szCs w:val="20"/>
          <w:color w:val="auto"/>
        </w:rPr>
      </w:pPr>
      <w:r>
        <w:rPr>
          <w:rFonts w:ascii="Times New Roman" w:cs="Times New Roman" w:eastAsia="Times New Roman" w:hAnsi="Times New Roman"/>
          <w:sz w:val="18"/>
          <w:szCs w:val="18"/>
          <w:color w:val="auto"/>
        </w:rPr>
        <w:t>The increase in cost of revenues in Healthcare and Life Sciences by $13.4 million for the three months ended September 30, 2025 was primarily due to increases in employee-related costs of $13.6 million on account of higher headcount and wage inflation, including incremental costs related to the acquisition of ITI Data, higher facilities and other operating costs of $1.0 million, partially offset by a foreign exchange gain, net of hedging of $1.2 million. Gross margin in Healthcare and Life Sciences increased by 30 bps primarily due to higher volumes in certain existing clients during the three months ended September 30, 2025, compared to the three months ended September 30, 2024.</w:t>
      </w:r>
    </w:p>
    <w:p>
      <w:pPr>
        <w:spacing w:after="0" w:line="206" w:lineRule="exact"/>
        <w:rPr>
          <w:sz w:val="20"/>
          <w:szCs w:val="20"/>
          <w:color w:val="auto"/>
        </w:rPr>
      </w:pPr>
    </w:p>
    <w:p>
      <w:pPr>
        <w:jc w:val="both"/>
        <w:ind w:firstLine="395"/>
        <w:spacing w:after="0" w:line="236" w:lineRule="auto"/>
        <w:rPr>
          <w:sz w:val="20"/>
          <w:szCs w:val="20"/>
          <w:color w:val="auto"/>
        </w:rPr>
      </w:pPr>
      <w:r>
        <w:rPr>
          <w:rFonts w:ascii="Times New Roman" w:cs="Times New Roman" w:eastAsia="Times New Roman" w:hAnsi="Times New Roman"/>
          <w:sz w:val="18"/>
          <w:szCs w:val="18"/>
          <w:color w:val="auto"/>
        </w:rPr>
        <w:t>The increase in cost of revenues in Banking, Capital Markets and Diversified Industries by $6.6 million for the three months ended September 30, 2025 was primarily due to increases in employee-related costs of $7.2 million on account of higher headcount and wage inflation, including incremental costs related to the acquisition of ITI Data, higher technology and other operating costs of $0.6 million, partially offset by a foreign exchange gain, net of hedging of $1.2 million. Gross margin in Banking, Capital Markets and Diversified Industries increased by 110 bps, primarily due to higher revenues and operational efficiencies during the three months ended September 30, 2025, compared to the three months ended September 30, 2024.</w:t>
      </w:r>
    </w:p>
    <w:p>
      <w:pPr>
        <w:spacing w:after="0" w:line="193" w:lineRule="exact"/>
        <w:rPr>
          <w:sz w:val="20"/>
          <w:szCs w:val="20"/>
          <w:color w:val="auto"/>
        </w:rPr>
      </w:pPr>
    </w:p>
    <w:p>
      <w:pPr>
        <w:jc w:val="both"/>
        <w:ind w:firstLine="395"/>
        <w:spacing w:after="0" w:line="236" w:lineRule="auto"/>
        <w:rPr>
          <w:sz w:val="20"/>
          <w:szCs w:val="20"/>
          <w:color w:val="auto"/>
        </w:rPr>
      </w:pPr>
      <w:r>
        <w:rPr>
          <w:rFonts w:ascii="Times New Roman" w:cs="Times New Roman" w:eastAsia="Times New Roman" w:hAnsi="Times New Roman"/>
          <w:sz w:val="18"/>
          <w:szCs w:val="18"/>
          <w:color w:val="auto"/>
        </w:rPr>
        <w:t>The increase in cost of revenues in International Growth Markets by $4.0 million for the three months ended September 30, 2025 was primarily due to increases in employee-related costs of $4.7 million on account of higher headcount and wage inflation, including incremental costs related to the acquisition of ITI Data, higher technology and other operating costs of $0.4 million, partially offset by a foreign exchange gain, net of hedging of $1.1 million. Gross margin in International Growth Markets increased by 20 bps, primarily due to higher volumes in certain existing clients during the three months ended September 30, 2025, compared to the three months ended September 30, 2024.</w:t>
      </w:r>
    </w:p>
    <w:p>
      <w:pPr>
        <w:spacing w:after="0" w:line="215" w:lineRule="exact"/>
        <w:rPr>
          <w:sz w:val="20"/>
          <w:szCs w:val="20"/>
          <w:color w:val="auto"/>
        </w:rPr>
      </w:pPr>
    </w:p>
    <w:p>
      <w:pPr>
        <w:ind w:right="60" w:firstLine="395"/>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(“SG&amp;A”) Expenses. </w:t>
      </w:r>
      <w:r>
        <w:rPr>
          <w:rFonts w:ascii="Times New Roman" w:cs="Times New Roman" w:eastAsia="Times New Roman" w:hAnsi="Times New Roman"/>
          <w:sz w:val="18"/>
          <w:szCs w:val="18"/>
          <w:color w:val="auto"/>
        </w:rPr>
        <w:t>SG&amp;A expenses as a percentage of net revenues increased by 1.1% to 21.3% during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September 30, 2025, compared to the three months ended September 30, 2024.</w:t>
      </w:r>
    </w:p>
    <w:p>
      <w:pPr>
        <w:spacing w:after="0" w:line="178" w:lineRule="exact"/>
        <w:rPr>
          <w:sz w:val="20"/>
          <w:szCs w:val="20"/>
          <w:color w:val="auto"/>
        </w:rPr>
      </w:pPr>
    </w:p>
    <w:p>
      <w:pPr>
        <w:jc w:val="both"/>
        <w:ind w:firstLine="395"/>
        <w:spacing w:after="0" w:line="237" w:lineRule="auto"/>
        <w:rPr>
          <w:sz w:val="20"/>
          <w:szCs w:val="20"/>
          <w:color w:val="auto"/>
        </w:rPr>
      </w:pPr>
      <w:r>
        <w:rPr>
          <w:rFonts w:ascii="Times New Roman" w:cs="Times New Roman" w:eastAsia="Times New Roman" w:hAnsi="Times New Roman"/>
          <w:sz w:val="18"/>
          <w:szCs w:val="18"/>
          <w:color w:val="auto"/>
        </w:rPr>
        <w:t>The increase in SG&amp;A expenses by $17.6 million during the three months ended September 30, 2025, compared to the three months ended September 30, 2024 was primarily due to increases in employee-related costs of $17.0 million on account of higher headcount and wage inflation, including incremental costs related to the acquisition of ITI Data and increase in investments in digital and generative AI capabilities and other operating costs of $0.6 million during the three months ended September 30, 2024, compared to the three months ended September 30, 2025.</w:t>
      </w:r>
    </w:p>
    <w:p>
      <w:pPr>
        <w:spacing w:after="0" w:line="297" w:lineRule="exact"/>
        <w:rPr>
          <w:sz w:val="20"/>
          <w:szCs w:val="20"/>
          <w:color w:val="auto"/>
        </w:rPr>
      </w:pPr>
    </w:p>
    <w:p>
      <w:pPr>
        <w:jc w:val="both"/>
        <w:ind w:firstLine="434"/>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as a percentage of net revenues remained flat during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2025, compared to the three months ended September 30, 2024.</w:t>
      </w:r>
    </w:p>
    <w:p>
      <w:pPr>
        <w:spacing w:after="0" w:line="177"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color w:val="auto"/>
        </w:rPr>
        <w:t>The increase in depreciation and amortization expense by 9.6% during the three months ended September 30, 2025, compared to the three months ended September 30, 2024 was primarily due to investments in infrastructure, technology assets and digital capabilities.</w:t>
      </w:r>
    </w:p>
    <w:p>
      <w:pPr>
        <w:spacing w:after="0" w:line="296" w:lineRule="exact"/>
        <w:rPr>
          <w:sz w:val="20"/>
          <w:szCs w:val="20"/>
          <w:color w:val="auto"/>
        </w:rPr>
      </w:pPr>
    </w:p>
    <w:p>
      <w:pPr>
        <w:jc w:val="both"/>
        <w:ind w:firstLine="395"/>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from Operations. </w:t>
      </w:r>
      <w:r>
        <w:rPr>
          <w:rFonts w:ascii="Times New Roman" w:cs="Times New Roman" w:eastAsia="Times New Roman" w:hAnsi="Times New Roman"/>
          <w:sz w:val="18"/>
          <w:szCs w:val="18"/>
          <w:color w:val="auto"/>
        </w:rPr>
        <w:t>The increase in income from operations by 9.8% during the three months ended September 30, 2025, compared to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September 30, 2024 was primarily due to higher revenues and gross margins, partially offset by higher SG&amp;A expenses.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Exchange Gain, net. </w:t>
      </w:r>
      <w:r>
        <w:rPr>
          <w:rFonts w:ascii="Times New Roman" w:cs="Times New Roman" w:eastAsia="Times New Roman" w:hAnsi="Times New Roman"/>
          <w:sz w:val="18"/>
          <w:szCs w:val="18"/>
          <w:color w:val="auto"/>
        </w:rPr>
        <w:t>We recorded a foreign exchange loss, net of $1.0 million for the three months ended September 30, 2025, compared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foreign exchange gain, net of $0.3 million for the three months ended September 30, 2024. Foreign exchange gains and losses are primarily attributable to the movement of the U.S. dollar against the Indian rupee, the Philippine peso, the U.K. pound sterling and the South African rand during the three months ended September 30, 2025, compared to the three months ended September 30, 2024.</w:t>
      </w:r>
    </w:p>
    <w:p>
      <w:pPr>
        <w:spacing w:after="0" w:line="193" w:lineRule="exact"/>
        <w:rPr>
          <w:sz w:val="20"/>
          <w:szCs w:val="20"/>
          <w:color w:val="auto"/>
        </w:rPr>
      </w:pPr>
    </w:p>
    <w:p>
      <w:pPr>
        <w:jc w:val="both"/>
        <w:ind w:firstLine="395"/>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The decrease in interest expense by $0.6 million during the three months ended September 30, 2025, compared to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September 30, 2024 was primarily due to lower average borrowings and a lower average effective interest rate of 5.7% during the three months ended September 30, 2025, compared to 6.5% during the three months ended September 30, 2024.</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344"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4"/>
        </w:trPr>
        <w:tc>
          <w:tcPr>
            <w:tcW w:w="5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4"/>
        </w:trPr>
        <w:tc>
          <w:tcPr>
            <w:tcW w:w="5080" w:type="dxa"/>
            <w:vAlign w:val="bottom"/>
          </w:tcPr>
          <w:p>
            <w:pPr>
              <w:spacing w:after="0"/>
              <w:rPr>
                <w:sz w:val="16"/>
                <w:szCs w:val="16"/>
                <w:color w:val="auto"/>
              </w:rPr>
            </w:pPr>
          </w:p>
        </w:tc>
        <w:tc>
          <w:tcPr>
            <w:tcW w:w="9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122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91"/>
        </w:trPr>
        <w:tc>
          <w:tcPr>
            <w:tcW w:w="5080" w:type="dxa"/>
            <w:vAlign w:val="bottom"/>
          </w:tcPr>
          <w:p>
            <w:pPr>
              <w:spacing w:after="0"/>
              <w:rPr>
                <w:sz w:val="16"/>
                <w:szCs w:val="16"/>
                <w:color w:val="auto"/>
              </w:rPr>
            </w:pPr>
          </w:p>
        </w:tc>
        <w:tc>
          <w:tcPr>
            <w:tcW w:w="2420" w:type="dxa"/>
            <w:vAlign w:val="bottom"/>
            <w:gridSpan w:val="4"/>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2"/>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and fair value mark-to-market on investments</w:t>
            </w:r>
          </w:p>
        </w:tc>
        <w:tc>
          <w:tcPr>
            <w:tcW w:w="900" w:type="dxa"/>
            <w:vAlign w:val="bottom"/>
            <w:tcBorders>
              <w:top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1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center"/>
              <w:ind w:left="278"/>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r>
      <w:tr>
        <w:trPr>
          <w:trHeight w:val="22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center"/>
              <w:ind w:left="238"/>
              <w:spacing w:after="0"/>
              <w:rPr>
                <w:sz w:val="20"/>
                <w:szCs w:val="20"/>
                <w:color w:val="auto"/>
              </w:rPr>
            </w:pPr>
            <w:r>
              <w:rPr>
                <w:rFonts w:ascii="Times New Roman" w:cs="Times New Roman" w:eastAsia="Times New Roman" w:hAnsi="Times New Roman"/>
                <w:sz w:val="18"/>
                <w:szCs w:val="18"/>
                <w:color w:val="auto"/>
                <w:w w:val="98"/>
              </w:rPr>
              <w:t>(0.4)</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4"/>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 net</w:t>
            </w: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left="278"/>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111.5 %</w:t>
            </w:r>
          </w:p>
        </w:tc>
      </w:tr>
      <w:tr>
        <w:trPr>
          <w:trHeight w:val="21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00" w:type="dxa"/>
            <w:vAlign w:val="bottom"/>
            <w:tcBorders>
              <w:top w:val="single" w:sz="8" w:color="auto"/>
              <w:bottom w:val="single" w:sz="8" w:color="auto"/>
            </w:tcBorders>
          </w:tcPr>
          <w:p>
            <w:pPr>
              <w:jc w:val="right"/>
              <w:ind w:right="72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1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4.3</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center"/>
              <w:ind w:left="278"/>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0"/>
        </w:trPr>
        <w:tc>
          <w:tcPr>
            <w:tcW w:w="5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color w:val="auto"/>
        </w:rPr>
        <w:t>Other income, net increased marginally by $0.2 million during the three months ended September 30, 2025, compared to the three months ended September 30, 2024.</w:t>
      </w:r>
    </w:p>
    <w:p>
      <w:pPr>
        <w:spacing w:after="0" w:line="191" w:lineRule="exact"/>
        <w:rPr>
          <w:sz w:val="20"/>
          <w:szCs w:val="20"/>
          <w:color w:val="auto"/>
        </w:rPr>
      </w:pPr>
    </w:p>
    <w:p>
      <w:pPr>
        <w:jc w:val="both"/>
        <w:ind w:firstLine="395"/>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Tax Expense. </w:t>
      </w:r>
      <w:r>
        <w:rPr>
          <w:rFonts w:ascii="Times New Roman" w:cs="Times New Roman" w:eastAsia="Times New Roman" w:hAnsi="Times New Roman"/>
          <w:sz w:val="16"/>
          <w:szCs w:val="16"/>
          <w:color w:val="auto"/>
        </w:rPr>
        <w:t>The effective tax rate decreased from 22.6% during the three months ended September 30, 2024 to 22.1% during the three months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ended September 30, 2025. We recorded income tax expense of $16.5 million and $15.5 million for the three months ended September 30, 2025 and 2024, respectively. The increase in income tax expense was primarily as a result of higher profit and lower excess tax benefits, partially offset by lower state taxes and decrease in non-deductible expenses during the three months ended September 30, 2025, compared to the three months ended September 30, 2024.</w:t>
      </w:r>
    </w:p>
    <w:p>
      <w:pPr>
        <w:spacing w:after="0" w:line="174" w:lineRule="exact"/>
        <w:rPr>
          <w:sz w:val="20"/>
          <w:szCs w:val="20"/>
          <w:color w:val="auto"/>
        </w:rPr>
      </w:pPr>
    </w:p>
    <w:p>
      <w:pPr>
        <w:ind w:firstLine="395"/>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The increase in net income by 9.7% during the three months ended September 30, 2025, compared to the three months ended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was attributable to the aforementioned factors.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2025 and 2024:</w:t>
      </w:r>
    </w:p>
    <w:p>
      <w:pPr>
        <w:spacing w:after="0" w:line="274"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315"/>
        </w:trPr>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Nine months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w w:val="94"/>
              </w:rPr>
              <w:t>ended</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ended</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280" w:type="dxa"/>
            <w:vAlign w:val="bottom"/>
          </w:tcPr>
          <w:p>
            <w:pPr>
              <w:spacing w:after="0"/>
              <w:rPr>
                <w:sz w:val="11"/>
                <w:szCs w:val="11"/>
                <w:color w:val="auto"/>
              </w:rPr>
            </w:pPr>
          </w:p>
        </w:tc>
        <w:tc>
          <w:tcPr>
            <w:tcW w:w="1060" w:type="dxa"/>
            <w:vAlign w:val="bottom"/>
            <w:gridSpan w:val="3"/>
          </w:tcPr>
          <w:p>
            <w:pPr>
              <w:jc w:val="center"/>
              <w:ind w:right="80"/>
              <w:spacing w:after="0" w:line="13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80"/>
              <w:spacing w:after="0" w:line="13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2"/>
              </w:rPr>
              <w:t>(A)</w:t>
            </w:r>
          </w:p>
        </w:tc>
        <w:tc>
          <w:tcPr>
            <w:tcW w:w="10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(B)</w:t>
            </w:r>
          </w:p>
        </w:tc>
        <w:tc>
          <w:tcPr>
            <w:tcW w:w="10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(C=A-B)</w:t>
            </w:r>
          </w:p>
        </w:tc>
        <w:tc>
          <w:tcPr>
            <w:tcW w:w="1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net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1,545.1</w:t>
            </w: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1,356.9</w:t>
            </w: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328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Cost of revenues </w:t>
            </w:r>
            <w:r>
              <w:rPr>
                <w:rFonts w:ascii="Times New Roman" w:cs="Times New Roman" w:eastAsia="Times New Roman" w:hAnsi="Times New Roman"/>
                <w:sz w:val="20"/>
                <w:szCs w:val="20"/>
                <w:color w:val="auto"/>
                <w:vertAlign w:val="superscript"/>
              </w:rPr>
              <w:t>(1)</w:t>
            </w:r>
          </w:p>
        </w:tc>
        <w:tc>
          <w:tcPr>
            <w:tcW w:w="1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953.6</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849.3</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328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b w:val="1"/>
                <w:bCs w:val="1"/>
                <w:color w:val="auto"/>
              </w:rPr>
              <w:t xml:space="preserve">Gross profit </w:t>
            </w:r>
            <w:r>
              <w:rPr>
                <w:rFonts w:ascii="Times New Roman" w:cs="Times New Roman" w:eastAsia="Times New Roman" w:hAnsi="Times New Roman"/>
                <w:sz w:val="20"/>
                <w:szCs w:val="20"/>
                <w:b w:val="1"/>
                <w:bCs w:val="1"/>
                <w:color w:val="auto"/>
                <w:vertAlign w:val="superscript"/>
              </w:rPr>
              <w:t>(1)</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591.5</w:t>
            </w: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38.3 %</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507.6</w:t>
            </w: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37.4 %</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83.9</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16.5 %</w:t>
            </w:r>
          </w:p>
        </w:tc>
        <w:tc>
          <w:tcPr>
            <w:tcW w:w="0" w:type="dxa"/>
            <w:vAlign w:val="bottom"/>
          </w:tcPr>
          <w:p>
            <w:pPr>
              <w:spacing w:after="0"/>
              <w:rPr>
                <w:sz w:val="1"/>
                <w:szCs w:val="1"/>
                <w:color w:val="auto"/>
              </w:rPr>
            </w:pPr>
          </w:p>
        </w:tc>
      </w:tr>
      <w:tr>
        <w:trPr>
          <w:trHeight w:val="189"/>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167.2</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109.0</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39.0</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355.8</w:t>
            </w:r>
          </w:p>
        </w:tc>
        <w:tc>
          <w:tcPr>
            <w:tcW w:w="8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315.2</w:t>
            </w:r>
          </w:p>
        </w:tc>
        <w:tc>
          <w:tcPr>
            <w:tcW w:w="8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235.7</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15.3 %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192.4</w:t>
            </w: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43.3</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22.5 %</w:t>
            </w:r>
          </w:p>
        </w:tc>
        <w:tc>
          <w:tcPr>
            <w:tcW w:w="0" w:type="dxa"/>
            <w:vAlign w:val="bottom"/>
          </w:tcPr>
          <w:p>
            <w:pPr>
              <w:spacing w:after="0"/>
              <w:rPr>
                <w:sz w:val="1"/>
                <w:szCs w:val="1"/>
                <w:color w:val="auto"/>
              </w:rPr>
            </w:pPr>
          </w:p>
        </w:tc>
      </w:tr>
      <w:tr>
        <w:trPr>
          <w:trHeight w:val="209"/>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exchange gain, net</w:t>
            </w:r>
          </w:p>
        </w:tc>
        <w:tc>
          <w:tcPr>
            <w:tcW w:w="1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255.1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0" w:type="dxa"/>
            <w:vAlign w:val="bottom"/>
          </w:tcPr>
          <w:p>
            <w:pPr>
              <w:spacing w:after="0"/>
              <w:rPr>
                <w:sz w:val="1"/>
                <w:szCs w:val="1"/>
                <w:color w:val="auto"/>
              </w:rPr>
            </w:pPr>
          </w:p>
        </w:tc>
      </w:tr>
      <w:tr>
        <w:trPr>
          <w:trHeight w:val="209"/>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0"/>
        </w:trPr>
        <w:tc>
          <w:tcPr>
            <w:tcW w:w="328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6"/>
                <w:szCs w:val="16"/>
                <w:b w:val="1"/>
                <w:bCs w:val="1"/>
                <w:color w:val="auto"/>
                <w:w w:val="99"/>
              </w:rPr>
              <w:t>Income before income tax expense and earnings</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239.6</w:t>
            </w:r>
          </w:p>
        </w:tc>
        <w:tc>
          <w:tcPr>
            <w:tcW w:w="8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15.5 %</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190.8</w:t>
            </w:r>
          </w:p>
        </w:tc>
        <w:tc>
          <w:tcPr>
            <w:tcW w:w="8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48.8</w:t>
            </w:r>
          </w:p>
        </w:tc>
        <w:tc>
          <w:tcPr>
            <w:tcW w:w="1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25.6 %</w:t>
            </w:r>
          </w:p>
        </w:tc>
        <w:tc>
          <w:tcPr>
            <w:tcW w:w="0" w:type="dxa"/>
            <w:vAlign w:val="bottom"/>
          </w:tcPr>
          <w:p>
            <w:pPr>
              <w:spacing w:after="0"/>
              <w:rPr>
                <w:sz w:val="1"/>
                <w:szCs w:val="1"/>
                <w:color w:val="auto"/>
              </w:rPr>
            </w:pPr>
          </w:p>
        </w:tc>
      </w:tr>
      <w:tr>
        <w:trPr>
          <w:trHeight w:val="211"/>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from equity affiliates</w:t>
            </w: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2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48.5</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43.1</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earnings from equity affiliates</w:t>
            </w: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191.1</w:t>
            </w: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12.4 %</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147.7</w:t>
            </w: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10.9 %</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43.4</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29.4 %</w:t>
            </w:r>
          </w:p>
        </w:tc>
        <w:tc>
          <w:tcPr>
            <w:tcW w:w="0" w:type="dxa"/>
            <w:vAlign w:val="bottom"/>
          </w:tcPr>
          <w:p>
            <w:pPr>
              <w:spacing w:after="0"/>
              <w:rPr>
                <w:sz w:val="1"/>
                <w:szCs w:val="1"/>
                <w:color w:val="auto"/>
              </w:rPr>
            </w:pPr>
          </w:p>
        </w:tc>
      </w:tr>
      <w:tr>
        <w:trPr>
          <w:trHeight w:val="209"/>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equity-method investment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8"/>
                <w:szCs w:val="18"/>
                <w:color w:val="auto"/>
              </w:rPr>
            </w:pP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364.8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190.8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147.6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29.2 %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i w:val="1"/>
          <w:iCs w:val="1"/>
          <w:color w:val="auto"/>
        </w:rPr>
        <w:t>(1) Exclusive of depreciation and amortization expense.</w:t>
      </w:r>
    </w:p>
    <w:p>
      <w:pPr>
        <w:spacing w:after="0" w:line="237" w:lineRule="exact"/>
        <w:rPr>
          <w:sz w:val="20"/>
          <w:szCs w:val="20"/>
          <w:color w:val="auto"/>
        </w:rPr>
      </w:pPr>
    </w:p>
    <w:p>
      <w:pPr>
        <w:ind w:left="400"/>
        <w:spacing w:after="0" w:line="272" w:lineRule="auto"/>
        <w:rPr>
          <w:sz w:val="20"/>
          <w:szCs w:val="20"/>
          <w:color w:val="auto"/>
        </w:rPr>
      </w:pPr>
      <w:r>
        <w:rPr>
          <w:rFonts w:ascii="Times New Roman" w:cs="Times New Roman" w:eastAsia="Times New Roman" w:hAnsi="Times New Roman"/>
          <w:sz w:val="16"/>
          <w:szCs w:val="16"/>
          <w:i w:val="1"/>
          <w:iCs w:val="1"/>
          <w:color w:val="auto"/>
        </w:rPr>
        <w:t>Due to rounding, the numbers presented in the tables included in this Part I, Item 2, “Management’s Discussion and Analysis of Financial Condition and Results of Operations” may not add up precisely to the totals provided.</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2025 Compared to Nine Months Ended September 30, 2024</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revenues by reportable segments:</w:t>
      </w:r>
    </w:p>
    <w:p>
      <w:pPr>
        <w:spacing w:after="0" w:line="200" w:lineRule="exact"/>
        <w:rPr>
          <w:sz w:val="20"/>
          <w:szCs w:val="20"/>
          <w:color w:val="auto"/>
        </w:rPr>
      </w:pP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 Total Revenues for the nine</w:t>
            </w:r>
          </w:p>
        </w:tc>
        <w:tc>
          <w:tcPr>
            <w:tcW w:w="0" w:type="dxa"/>
            <w:vAlign w:val="bottom"/>
          </w:tcPr>
          <w:p>
            <w:pPr>
              <w:spacing w:after="0"/>
              <w:rPr>
                <w:sz w:val="1"/>
                <w:szCs w:val="1"/>
                <w:color w:val="auto"/>
              </w:rPr>
            </w:pPr>
          </w:p>
        </w:tc>
      </w:tr>
      <w:tr>
        <w:trPr>
          <w:trHeight w:val="190"/>
        </w:trPr>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2580" w:type="dxa"/>
            <w:vAlign w:val="bottom"/>
            <w:gridSpan w:val="3"/>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months ended September 30,</w:t>
            </w:r>
          </w:p>
        </w:tc>
        <w:tc>
          <w:tcPr>
            <w:tcW w:w="0" w:type="dxa"/>
            <w:vAlign w:val="bottom"/>
          </w:tcPr>
          <w:p>
            <w:pPr>
              <w:spacing w:after="0"/>
              <w:rPr>
                <w:sz w:val="1"/>
                <w:szCs w:val="1"/>
                <w:color w:val="auto"/>
              </w:rPr>
            </w:pPr>
          </w:p>
        </w:tc>
      </w:tr>
      <w:tr>
        <w:trPr>
          <w:trHeight w:val="53"/>
        </w:trPr>
        <w:tc>
          <w:tcPr>
            <w:tcW w:w="26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60" w:type="dxa"/>
            <w:vAlign w:val="bottom"/>
            <w:tcBorders>
              <w:top w:val="single" w:sz="8" w:color="auto"/>
            </w:tcBorders>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240" w:type="dxa"/>
            <w:vAlign w:val="bottom"/>
            <w:gridSpan w:val="2"/>
            <w:vMerge w:val="continue"/>
          </w:tcPr>
          <w:p>
            <w:pPr>
              <w:spacing w:after="0"/>
              <w:rPr>
                <w:sz w:val="4"/>
                <w:szCs w:val="4"/>
                <w:color w:val="auto"/>
              </w:rPr>
            </w:pPr>
          </w:p>
        </w:tc>
        <w:tc>
          <w:tcPr>
            <w:tcW w:w="1220" w:type="dxa"/>
            <w:vAlign w:val="bottom"/>
            <w:tcBorders>
              <w:top w:val="single" w:sz="8" w:color="auto"/>
            </w:tcBorders>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4"/>
                <w:szCs w:val="4"/>
                <w:color w:val="auto"/>
              </w:rPr>
            </w:pPr>
          </w:p>
        </w:tc>
        <w:tc>
          <w:tcPr>
            <w:tcW w:w="1260" w:type="dxa"/>
            <w:vAlign w:val="bottom"/>
            <w:tcBorders>
              <w:top w:val="single" w:sz="8" w:color="auto"/>
            </w:tcBorders>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0"/>
        </w:trPr>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40" w:type="dxa"/>
            <w:vAlign w:val="bottom"/>
            <w:tcBorders>
              <w:top w:val="single" w:sz="8" w:color="auto"/>
            </w:tcBorders>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0" w:type="dxa"/>
            <w:vAlign w:val="bottom"/>
          </w:tcPr>
          <w:p>
            <w:pPr>
              <w:spacing w:after="0"/>
              <w:rPr>
                <w:sz w:val="1"/>
                <w:szCs w:val="1"/>
                <w:color w:val="auto"/>
              </w:rPr>
            </w:pPr>
          </w:p>
        </w:tc>
      </w:tr>
      <w:tr>
        <w:trPr>
          <w:trHeight w:val="224"/>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 and Life Sciences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0" w:type="dxa"/>
            <w:vAlign w:val="bottom"/>
          </w:tcPr>
          <w:p>
            <w:pPr>
              <w:spacing w:after="0"/>
              <w:rPr>
                <w:sz w:val="1"/>
                <w:szCs w:val="1"/>
                <w:color w:val="auto"/>
              </w:rPr>
            </w:pPr>
          </w:p>
        </w:tc>
      </w:tr>
      <w:tr>
        <w:trPr>
          <w:trHeight w:val="171"/>
        </w:trPr>
        <w:tc>
          <w:tcPr>
            <w:tcW w:w="26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Banking, Capital Markets and</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Diversified Industries</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0" w:type="dxa"/>
            <w:vAlign w:val="bottom"/>
          </w:tcPr>
          <w:p>
            <w:pPr>
              <w:spacing w:after="0"/>
              <w:rPr>
                <w:sz w:val="1"/>
                <w:szCs w:val="1"/>
                <w:color w:val="auto"/>
              </w:rPr>
            </w:pPr>
          </w:p>
        </w:tc>
      </w:tr>
      <w:tr>
        <w:trPr>
          <w:trHeight w:val="224"/>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Growth Markets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42"/>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Revenues for the nine months ended September 30, 2025 were up by $188.2 million, or 13.9%, compared to the nine months ended September 30, 2024, primarily driven by the expansion of business from our existing clients across all reportable segments by 10.8% and revenue from new client wins, including revenue from ITI Data by 3.1% during the nine months ended September 30, 2025.</w:t>
      </w:r>
    </w:p>
    <w:p>
      <w:pPr>
        <w:spacing w:after="0" w:line="206"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color w:val="auto"/>
        </w:rPr>
        <w:t>Revenue growth in Insurance by 8.6% was driven by the expansion of business from our existing clients by 7.8% and new clients by 0.8% during the nine months ended September 30, 2025, compared to the nine months ended September 30, 2024.</w:t>
      </w:r>
    </w:p>
    <w:p>
      <w:pPr>
        <w:spacing w:after="0" w:line="195"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Revenue growth in Healthcare and Life Sciences by 22.8% was driven by the expansion of business from our existing clients by 21.5% and new clients including revenue from ITI Data by 1.3% during the nine months ended September 30, 2025, compared to the nine months ended September 30, 2024.</w:t>
      </w:r>
    </w:p>
    <w:p>
      <w:pPr>
        <w:spacing w:after="0" w:line="136" w:lineRule="exact"/>
        <w:rPr>
          <w:sz w:val="20"/>
          <w:szCs w:val="20"/>
          <w:color w:val="auto"/>
        </w:rPr>
      </w:pPr>
    </w:p>
    <w:p>
      <w:pPr>
        <w:jc w:val="both"/>
        <w:ind w:firstLine="395"/>
        <w:spacing w:after="0" w:line="235" w:lineRule="auto"/>
        <w:rPr>
          <w:sz w:val="20"/>
          <w:szCs w:val="20"/>
          <w:color w:val="auto"/>
        </w:rPr>
      </w:pPr>
      <w:r>
        <w:rPr>
          <w:rFonts w:ascii="Times New Roman" w:cs="Times New Roman" w:eastAsia="Times New Roman" w:hAnsi="Times New Roman"/>
          <w:sz w:val="18"/>
          <w:szCs w:val="18"/>
          <w:color w:val="auto"/>
        </w:rPr>
        <w:t>Revenue growth in Banking, Capital Markets and Diversified Industries by 13.8% was driven by the expansion of business from our existing clients by 6.0% and new clients including revenue from ITI Data by 7.8% during the nine months ended September 30, 2025, compared to the nine months ended September 30, 2024.</w:t>
      </w:r>
    </w:p>
    <w:p>
      <w:pPr>
        <w:spacing w:after="0" w:line="20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Revenue growth in International Growth Markets by 12.7% was driven by the expansion of business from our existing clients by 9.2% and new clients including revenue from ITI Data by 4.0%, partially offset by a foreign exchange loss, net of hedging by 0.5% during the nine months ended September 30, 2025, compared to the nine months ended September 30, 2024.</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table sets forth cost of revenues and gross margin of our reportable segments: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4"/>
          </w:tcPr>
          <w:p>
            <w:pPr>
              <w:jc w:val="center"/>
              <w:ind w:right="117"/>
              <w:spacing w:after="0" w:line="140" w:lineRule="exact"/>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5"/>
          </w:tcPr>
          <w:p>
            <w:pPr>
              <w:ind w:left="60"/>
              <w:spacing w:after="0" w:line="140" w:lineRule="exact"/>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8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140" w:type="dxa"/>
            <w:vAlign w:val="bottom"/>
          </w:tcPr>
          <w:p>
            <w:pPr>
              <w:spacing w:after="0"/>
              <w:rPr>
                <w:sz w:val="16"/>
                <w:szCs w:val="16"/>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53"/>
        </w:trPr>
        <w:tc>
          <w:tcPr>
            <w:tcW w:w="3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8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880" w:type="dxa"/>
            <w:vAlign w:val="bottom"/>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0" w:type="dxa"/>
            <w:vAlign w:val="bottom"/>
          </w:tcPr>
          <w:p>
            <w:pPr>
              <w:spacing w:after="0"/>
              <w:rPr>
                <w:sz w:val="1"/>
                <w:szCs w:val="1"/>
                <w:color w:val="auto"/>
              </w:rPr>
            </w:pPr>
          </w:p>
        </w:tc>
      </w:tr>
      <w:tr>
        <w:trPr>
          <w:trHeight w:val="190"/>
        </w:trPr>
        <w:tc>
          <w:tcPr>
            <w:tcW w:w="36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4"/>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36.0 %</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 and Life Sciences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43.7 %</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6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Banking, Capital Markets and Diversified</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Industries</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37.8 %</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Growth Markets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4"/>
        </w:trPr>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49</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6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Cost of revenues for the nine months ended September 30, 2025 increased by $104.3 million, or 12.3%, compared to the nine months ended September 30, 2024. The increase in cost of revenues was primarily due to increases in employee-related costs of $116.1 million on account of higher headcount and wage inflation, higher facilities, technology and other operating costs of $13.3 million, partially offset by lower mail and data expenses in our direct marketing business of $13.3 million and a foreign exchange gain, net of hedging of $11.8 million. Our gross margin for the nine months ended September 30, 2025 was 38.3% compared to 37.4% for the nine months ended September 30, 2024, an increase of 90 bps primarily driven by higher revenues and operational efficiencies, partially offset by increases in employee-related costs during the nine months ended September 30, 2025, compared to the nine months ended September 30, 2024.</w:t>
      </w:r>
    </w:p>
    <w:p>
      <w:pPr>
        <w:spacing w:after="0" w:line="200" w:lineRule="exact"/>
        <w:rPr>
          <w:sz w:val="20"/>
          <w:szCs w:val="20"/>
          <w:color w:val="auto"/>
        </w:rPr>
      </w:pPr>
    </w:p>
    <w:p>
      <w:pPr>
        <w:jc w:val="both"/>
        <w:ind w:firstLine="395"/>
        <w:spacing w:after="0" w:line="232" w:lineRule="auto"/>
        <w:rPr>
          <w:sz w:val="20"/>
          <w:szCs w:val="20"/>
          <w:color w:val="auto"/>
        </w:rPr>
      </w:pPr>
      <w:r>
        <w:rPr>
          <w:rFonts w:ascii="Times New Roman" w:cs="Times New Roman" w:eastAsia="Times New Roman" w:hAnsi="Times New Roman"/>
          <w:sz w:val="18"/>
          <w:szCs w:val="18"/>
          <w:color w:val="auto"/>
        </w:rPr>
        <w:t>The increase in cost of revenues in Insurance by $20.0 million for the nine months ended September 30, 2025 was primarily due to increases in employee-related costs of $35.7 million on account of higher headcount and wage inflation, higher technology costs of $2.8 million, partially offset by lower mail and data expenses in our direct marketing business of $13.3 million, other operating costs of $1.2 million and a foreign exchange gain, net of hedging of $4.0 million. Gross margin in Insurance increased by 140 bps, primarily due to higher revenues and operational efficiencies during the nine months ended September 30, 2025, compared to the nine months ended September 30, 2024.</w:t>
      </w:r>
    </w:p>
    <w:p>
      <w:pPr>
        <w:spacing w:after="0" w:line="210" w:lineRule="exact"/>
        <w:rPr>
          <w:sz w:val="20"/>
          <w:szCs w:val="20"/>
          <w:color w:val="auto"/>
        </w:rPr>
      </w:pPr>
    </w:p>
    <w:p>
      <w:pPr>
        <w:jc w:val="both"/>
        <w:ind w:firstLine="395"/>
        <w:spacing w:after="0" w:line="236" w:lineRule="auto"/>
        <w:rPr>
          <w:sz w:val="20"/>
          <w:szCs w:val="20"/>
          <w:color w:val="auto"/>
        </w:rPr>
      </w:pPr>
      <w:r>
        <w:rPr>
          <w:rFonts w:ascii="Times New Roman" w:cs="Times New Roman" w:eastAsia="Times New Roman" w:hAnsi="Times New Roman"/>
          <w:sz w:val="18"/>
          <w:szCs w:val="18"/>
          <w:color w:val="auto"/>
        </w:rPr>
        <w:t>The increase in cost of revenues in Healthcare and Life Sciences by $41.8 million for the nine months ended September 30, 2025 was primarily due to increases in employee-related costs of $39.8 million on account of higher headcount and wage inflation, including incremental costs related to the acquisition of ITI Data, higher facilities costs of $1.6 million, higher technology and other operating costs of $3.1 million, partially offset by a foreign exchange gain, net of hedging of $2.7 million. Gross margin in Healthcare and Life Sciences decreased by 20 bps, primarily due to lower revenues in certain existing clients during the nine months ended September 30, 2025, compared to the nine months ended September 30, 2024.</w:t>
      </w:r>
    </w:p>
    <w:p>
      <w:pPr>
        <w:spacing w:after="0" w:line="206"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6"/>
          <w:szCs w:val="16"/>
          <w:color w:val="auto"/>
        </w:rPr>
        <w:t>The increase in cost of revenues in Banking, Capital Markets and Diversified Industries by $24.5 million for the nine months ended September 30, 2025 was primarily due to increases in employee-related costs of $23.4 million on account of higher headcount and wage inflation, including incremental costs related to the acquisition of ITI Data, higher technology costs of $1.6 million, higher facilities and other operating costs of $2.4 million, partially offset by a foreign exchange gain, net of hedging of $2.9 million. Gross margin in Banking, Capital Markets and Diversified Industries increased by 80 bps, primarily due to higher revenues and operational efficiencies during the nine months ended September 30, 2025, compared to the nine months ended September 30, 2024.</w:t>
      </w:r>
    </w:p>
    <w:p>
      <w:pPr>
        <w:spacing w:after="0" w:line="172" w:lineRule="exact"/>
        <w:rPr>
          <w:sz w:val="20"/>
          <w:szCs w:val="20"/>
          <w:color w:val="auto"/>
        </w:rPr>
      </w:pPr>
    </w:p>
    <w:p>
      <w:pPr>
        <w:jc w:val="both"/>
        <w:ind w:firstLine="395"/>
        <w:spacing w:after="0" w:line="236" w:lineRule="auto"/>
        <w:rPr>
          <w:sz w:val="20"/>
          <w:szCs w:val="20"/>
          <w:color w:val="auto"/>
        </w:rPr>
      </w:pPr>
      <w:r>
        <w:rPr>
          <w:rFonts w:ascii="Times New Roman" w:cs="Times New Roman" w:eastAsia="Times New Roman" w:hAnsi="Times New Roman"/>
          <w:sz w:val="18"/>
          <w:szCs w:val="18"/>
          <w:color w:val="auto"/>
        </w:rPr>
        <w:t>The increase in cost of revenues in International Growth Markets by $18.0 million for the nine months ended September 30, 2025 was primarily due to increases in employee-related costs of $17.2 million on account of higher headcount and wage inflation, including incremental costs related to the acquisition of ITI Data, higher technology and other operating costs of $3.0 million, partially offset by a foreign exchange gain, net of hedging of $2.2 million. Gross margin in International Growth Markets increased by 60 bps, primarily due to higher revenues and operational efficiencies during the nine months ended September 30, 2025, compared to the nine months ended September 30, 2024.</w:t>
      </w:r>
    </w:p>
    <w:p>
      <w:pPr>
        <w:spacing w:after="0" w:line="215" w:lineRule="exact"/>
        <w:rPr>
          <w:sz w:val="20"/>
          <w:szCs w:val="20"/>
          <w:color w:val="auto"/>
        </w:rPr>
      </w:pPr>
    </w:p>
    <w:p>
      <w:pPr>
        <w:ind w:right="460" w:firstLine="395"/>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(“SG&amp;A”) Expenses. </w:t>
      </w:r>
      <w:r>
        <w:rPr>
          <w:rFonts w:ascii="Times New Roman" w:cs="Times New Roman" w:eastAsia="Times New Roman" w:hAnsi="Times New Roman"/>
          <w:sz w:val="18"/>
          <w:szCs w:val="18"/>
          <w:color w:val="auto"/>
        </w:rPr>
        <w:t>SG&amp;A expenses as a percentage of net revenues remained flat at 20.3% during the nine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September 30, 2025, compared to the nine months ended September 30, 2024.</w:t>
      </w:r>
    </w:p>
    <w:p>
      <w:pPr>
        <w:spacing w:after="0" w:line="178"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6"/>
          <w:szCs w:val="16"/>
          <w:color w:val="auto"/>
        </w:rPr>
        <w:t>The increase in SG&amp;A expenses by $36.8 million during the nine months ended September 30, 2025, compared to the nine months ended September 30, 2024 was primarily due to increases in employee-related costs of $35.0 million on account of higher headcount and wage inflation, including incremental costs related to the acquisition of ITI Data, increase in investments in digital and generative AI capabilities of $2.1 million, higher sales and marketing costs of $1.0 million and other operating costs of $1.8 million. This increase in SG&amp;A was partially offset by one-time restructuring and litigation settlement costs of $3.1 million incurred during the nine months ended September 30, 2024, compared to the nine months ended September 30, 2025.</w:t>
      </w:r>
    </w:p>
    <w:p>
      <w:pPr>
        <w:spacing w:after="0" w:line="194" w:lineRule="exact"/>
        <w:rPr>
          <w:sz w:val="20"/>
          <w:szCs w:val="20"/>
          <w:color w:val="auto"/>
        </w:rPr>
      </w:pPr>
    </w:p>
    <w:p>
      <w:pPr>
        <w:jc w:val="both"/>
        <w:ind w:firstLine="42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as a percentage of net revenues decreased by 0.1% during the nine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September 30, 2025, compared to the nine months ended September 30, 2024.</w:t>
      </w:r>
    </w:p>
    <w:p>
      <w:pPr>
        <w:spacing w:after="0" w:line="177"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color w:val="auto"/>
        </w:rPr>
        <w:t>The increase in depreciation and amortization expense by 9.4% during the nine months ended September 30, 2025, compared to the nine months ended September 30, 2024 was primarily due to investments in infrastructure, technology assets and digital capabilities.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403"/>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from Operations. </w:t>
      </w:r>
      <w:r>
        <w:rPr>
          <w:rFonts w:ascii="Times New Roman" w:cs="Times New Roman" w:eastAsia="Times New Roman" w:hAnsi="Times New Roman"/>
          <w:sz w:val="18"/>
          <w:szCs w:val="18"/>
          <w:color w:val="auto"/>
        </w:rPr>
        <w:t>The increase in income from operations by 22.5% during the nine months ended September 30, 2025, compared to the nine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September 30, 2024 was primarily due to higher revenues and gross margins, partially offset by higher SG&amp;A expenses.</w:t>
      </w:r>
    </w:p>
    <w:p>
      <w:pPr>
        <w:spacing w:after="0" w:line="187"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Exchange Gain, net. </w:t>
      </w:r>
      <w:r>
        <w:rPr>
          <w:rFonts w:ascii="Times New Roman" w:cs="Times New Roman" w:eastAsia="Times New Roman" w:hAnsi="Times New Roman"/>
          <w:sz w:val="18"/>
          <w:szCs w:val="18"/>
          <w:color w:val="auto"/>
        </w:rPr>
        <w:t>We recorded a foreign exchange gain, net of $2.4 million for the nine months ended September 30, 2025, compared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foreign exchange gain, net of $0.7 million for the nine months ended September 30, 2024. Foreign exchange gains and losses are primarily attributable to the movement of the U.S. dollar against the Indian rupee, the Philippine peso, the U.K. pound sterling and the South African rand during the nine months ended September 30, 2025, compared to the nine months ended September 30, 2024.</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Interest expense. </w:t>
      </w:r>
      <w:r>
        <w:rPr>
          <w:rFonts w:ascii="Times New Roman" w:cs="Times New Roman" w:eastAsia="Times New Roman" w:hAnsi="Times New Roman"/>
          <w:sz w:val="16"/>
          <w:szCs w:val="16"/>
          <w:color w:val="auto"/>
        </w:rPr>
        <w:t>The decrease in interest expense by $0.8 million during the nine months ended September 30, 2025, compared to the nine months ended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was primarily due to lower average borrowings and a lower average effective interest rate of 5.7% during the nine months 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compared to 6.3% during the nine months ended September 30, 2024.</w:t>
      </w:r>
    </w:p>
    <w:p>
      <w:pPr>
        <w:spacing w:after="0" w:line="200" w:lineRule="exact"/>
        <w:rPr>
          <w:sz w:val="20"/>
          <w:szCs w:val="20"/>
          <w:color w:val="auto"/>
        </w:rPr>
      </w:pPr>
    </w:p>
    <w:p>
      <w:pPr>
        <w:spacing w:after="0" w:line="2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60" w:type="dxa"/>
            <w:vAlign w:val="bottom"/>
          </w:tcPr>
          <w:p>
            <w:pPr>
              <w:spacing w:after="0"/>
              <w:rPr>
                <w:sz w:val="16"/>
                <w:szCs w:val="16"/>
                <w:color w:val="auto"/>
              </w:rPr>
            </w:pPr>
          </w:p>
        </w:tc>
        <w:tc>
          <w:tcPr>
            <w:tcW w:w="280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
        </w:trPr>
        <w:tc>
          <w:tcPr>
            <w:tcW w:w="58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4"/>
        </w:trPr>
        <w:tc>
          <w:tcPr>
            <w:tcW w:w="586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92"/>
        </w:trPr>
        <w:tc>
          <w:tcPr>
            <w:tcW w:w="5860" w:type="dxa"/>
            <w:vAlign w:val="bottom"/>
          </w:tcPr>
          <w:p>
            <w:pPr>
              <w:spacing w:after="0"/>
              <w:rPr>
                <w:sz w:val="16"/>
                <w:szCs w:val="16"/>
                <w:color w:val="auto"/>
              </w:rPr>
            </w:pPr>
          </w:p>
        </w:tc>
        <w:tc>
          <w:tcPr>
            <w:tcW w:w="2260" w:type="dxa"/>
            <w:vAlign w:val="bottom"/>
            <w:gridSpan w:val="4"/>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14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2"/>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and fair value mark-to-market on investments</w:t>
            </w:r>
          </w:p>
        </w:tc>
        <w:tc>
          <w:tcPr>
            <w:tcW w:w="880" w:type="dxa"/>
            <w:vAlign w:val="bottom"/>
            <w:tcBorders>
              <w:top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7"/>
              </w:rPr>
              <w:t>2.5</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62.3 %</w:t>
            </w:r>
          </w:p>
        </w:tc>
      </w:tr>
      <w:tr>
        <w:trPr>
          <w:trHeight w:val="224"/>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center"/>
              <w:ind w:left="132"/>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4"/>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changes of contingent consideration</w:t>
            </w:r>
          </w:p>
        </w:tc>
        <w:tc>
          <w:tcPr>
            <w:tcW w:w="8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8"/>
              </w:rPr>
              <w:t>(0.6)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4"/>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 net</w:t>
            </w: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18"/>
                <w:szCs w:val="18"/>
                <w:color w:val="auto"/>
                <w:w w:val="97"/>
              </w:rPr>
              <w:t>0.9</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5"/>
                <w:szCs w:val="25"/>
                <w:color w:val="auto"/>
                <w:vertAlign w:val="subscript"/>
              </w:rPr>
              <w:t>NM</w:t>
            </w:r>
            <w:r>
              <w:rPr>
                <w:rFonts w:ascii="Times New Roman" w:cs="Times New Roman" w:eastAsia="Times New Roman" w:hAnsi="Times New Roman"/>
                <w:sz w:val="10"/>
                <w:szCs w:val="10"/>
                <w:color w:val="auto"/>
              </w:rPr>
              <w:t xml:space="preserve"> (1)</w:t>
            </w:r>
          </w:p>
        </w:tc>
      </w:tr>
      <w:tr>
        <w:trPr>
          <w:trHeight w:val="242"/>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7"/>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 Not Meaningful</w:t>
      </w:r>
    </w:p>
    <w:p>
      <w:pPr>
        <w:spacing w:after="0" w:line="214" w:lineRule="exact"/>
        <w:rPr>
          <w:sz w:val="20"/>
          <w:szCs w:val="20"/>
          <w:color w:val="auto"/>
        </w:rPr>
      </w:pPr>
    </w:p>
    <w:p>
      <w:pPr>
        <w:jc w:val="both"/>
        <w:ind w:firstLine="395"/>
        <w:spacing w:after="0" w:line="237" w:lineRule="auto"/>
        <w:rPr>
          <w:sz w:val="20"/>
          <w:szCs w:val="20"/>
          <w:color w:val="auto"/>
        </w:rPr>
      </w:pPr>
      <w:r>
        <w:rPr>
          <w:rFonts w:ascii="Times New Roman" w:cs="Times New Roman" w:eastAsia="Times New Roman" w:hAnsi="Times New Roman"/>
          <w:sz w:val="18"/>
          <w:szCs w:val="18"/>
          <w:color w:val="auto"/>
        </w:rPr>
        <w:t>The increase in other income, net by $3.0 million during the nine months ended September 30, 2025, compared to the nine months ended September 30, 2024 was primarily due to higher yield on our investments, and reversal of certain contingent liabilities of $0.9 million that were no longer required during the nine months ended September 30, 2025, partially offset by reversal of contingent consideration liability of $0.6 million related to our June 2022 acquisition of Inbound Media Group, LLC during the nine months ended September 30, 2024.</w:t>
      </w:r>
    </w:p>
    <w:p>
      <w:pPr>
        <w:spacing w:after="0" w:line="205" w:lineRule="exact"/>
        <w:rPr>
          <w:sz w:val="20"/>
          <w:szCs w:val="20"/>
          <w:color w:val="auto"/>
        </w:rPr>
      </w:pPr>
    </w:p>
    <w:p>
      <w:pPr>
        <w:jc w:val="both"/>
        <w:ind w:firstLine="403"/>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Tax Expense. </w:t>
      </w:r>
      <w:r>
        <w:rPr>
          <w:rFonts w:ascii="Times New Roman" w:cs="Times New Roman" w:eastAsia="Times New Roman" w:hAnsi="Times New Roman"/>
          <w:sz w:val="16"/>
          <w:szCs w:val="16"/>
          <w:color w:val="auto"/>
        </w:rPr>
        <w:t>The effective tax rate decreased from 22.6% during the nine months ended September 30, 2024 to 20.3% during the nine months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ended September 30, 2025. We recorded income tax expense of $48.5 million and $43.1 million for the nine months ended September 30, 2025 and 2024, respectively. The increase in income tax expense was primarily as a result of higher profit and an increase in non-deductible expenses, partially offset by lower state taxes and higher excess tax benefits during the nine months ended September 30, 2025, compared to the nine months ended September 30, 2024.</w:t>
      </w:r>
    </w:p>
    <w:p>
      <w:pPr>
        <w:spacing w:after="0" w:line="181" w:lineRule="exact"/>
        <w:rPr>
          <w:sz w:val="20"/>
          <w:szCs w:val="20"/>
          <w:color w:val="auto"/>
        </w:rPr>
      </w:pPr>
    </w:p>
    <w:p>
      <w:pPr>
        <w:ind w:firstLine="395"/>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The increase in net income by 29.2% during the nine months ended September 30, 2025, compared to the nine months ended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was attributable to the aforementioned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51" w:lineRule="exact"/>
        <w:rPr>
          <w:sz w:val="20"/>
          <w:szCs w:val="20"/>
          <w:color w:val="auto"/>
        </w:rPr>
      </w:pPr>
    </w:p>
    <w:tbl>
      <w:tblPr>
        <w:tblLayout w:type="fixed"/>
        <w:tblInd w:w="64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6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500" w:type="dxa"/>
            <w:vAlign w:val="bottom"/>
            <w:tcBorders>
              <w:top w:val="single" w:sz="8" w:color="auto"/>
            </w:tcBorders>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cash, cash equivalents and restricted cash</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0" w:type="dxa"/>
            <w:vAlign w:val="bottom"/>
          </w:tcPr>
          <w:p>
            <w:pPr>
              <w:spacing w:after="0"/>
              <w:rPr>
                <w:sz w:val="1"/>
                <w:szCs w:val="1"/>
                <w:color w:val="auto"/>
              </w:rPr>
            </w:pPr>
          </w:p>
        </w:tc>
      </w:tr>
      <w:tr>
        <w:trPr>
          <w:trHeight w:val="22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183.5 %</w:t>
            </w: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323.8 %</w:t>
            </w:r>
          </w:p>
        </w:tc>
        <w:tc>
          <w:tcPr>
            <w:tcW w:w="0" w:type="dxa"/>
            <w:vAlign w:val="bottom"/>
          </w:tcPr>
          <w:p>
            <w:pPr>
              <w:spacing w:after="0"/>
              <w:rPr>
                <w:sz w:val="1"/>
                <w:szCs w:val="1"/>
                <w:color w:val="auto"/>
              </w:rPr>
            </w:pPr>
          </w:p>
        </w:tc>
      </w:tr>
      <w:tr>
        <w:trPr>
          <w:trHeight w:val="217"/>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 cash, cash equivalents and restricted cash</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both"/>
        <w:ind w:firstLine="395"/>
        <w:spacing w:after="0" w:line="232" w:lineRule="auto"/>
        <w:rPr>
          <w:sz w:val="20"/>
          <w:szCs w:val="20"/>
          <w:color w:val="auto"/>
        </w:rPr>
      </w:pPr>
      <w:r>
        <w:rPr>
          <w:rFonts w:ascii="Times New Roman" w:cs="Times New Roman" w:eastAsia="Times New Roman" w:hAnsi="Times New Roman"/>
          <w:sz w:val="18"/>
          <w:szCs w:val="18"/>
          <w:color w:val="auto"/>
        </w:rPr>
        <w:t>As of September 30, 2025 and December 31, 2024, we had $390.1 million and $340.6 million, respectively, in cash, cash equivalents and short-term investments, of which $349.7 million and $296.0 million, respectively, is located in foreign jurisdictions that upon distribution may be subject to withholding and other taxes. We periodically evaluate opportunities to distribute cash among our group entities to fund our operations, expand our business and make strategic acquisitions in the United States and other geographies, and as and when we decide to distribute, we may have to accrue additional taxes in accordance with local tax laws, rules and regulations in the relevant foreign jurisdictions.</w:t>
      </w:r>
    </w:p>
    <w:p>
      <w:pPr>
        <w:spacing w:after="0" w:line="208" w:lineRule="exact"/>
        <w:rPr>
          <w:sz w:val="20"/>
          <w:szCs w:val="20"/>
          <w:color w:val="auto"/>
        </w:rPr>
      </w:pPr>
    </w:p>
    <w:p>
      <w:pPr>
        <w:jc w:val="both"/>
        <w:ind w:firstLine="395"/>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was $233.3 million during the nine months ended September 30,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$163.2 million during nine months ended September 30, 2024, reflecting higher cash earnings and lower working capital needs. The major drivers contributing to the increase of $70.1 million year-over-year included the following:</w:t>
      </w:r>
    </w:p>
    <w:p>
      <w:pPr>
        <w:spacing w:after="0" w:line="205" w:lineRule="exact"/>
        <w:rPr>
          <w:sz w:val="20"/>
          <w:szCs w:val="20"/>
          <w:color w:val="auto"/>
        </w:rPr>
      </w:pPr>
    </w:p>
    <w:p>
      <w:pPr>
        <w:jc w:val="both"/>
        <w:ind w:left="640" w:hanging="319"/>
        <w:spacing w:after="0" w:line="237" w:lineRule="auto"/>
        <w:tabs>
          <w:tab w:leader="none" w:pos="6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cash earnings including adjustments for non-cash and other items contributed higher cash flow of $62.2 million during the nine months ended September 30, 2025, compared to the nine months ended September 30, 2024. These adjustments include fair value changes in investments, unrealized foreign currency exchange (gain)/loss, net, stock-based employee compensation, depreciation and amortization of long-lived assets and intangibles acquired in business combinations, among others.</w:t>
      </w:r>
    </w:p>
    <w:p>
      <w:pPr>
        <w:spacing w:after="0" w:line="208" w:lineRule="exact"/>
        <w:rPr>
          <w:rFonts w:ascii="Times New Roman" w:cs="Times New Roman" w:eastAsia="Times New Roman" w:hAnsi="Times New Roman"/>
          <w:sz w:val="18"/>
          <w:szCs w:val="18"/>
          <w:color w:val="auto"/>
        </w:rPr>
      </w:pPr>
    </w:p>
    <w:p>
      <w:pPr>
        <w:jc w:val="both"/>
        <w:ind w:left="640" w:hanging="319"/>
        <w:spacing w:after="0" w:line="241" w:lineRule="auto"/>
        <w:tabs>
          <w:tab w:leader="none" w:pos="6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accounts receivable, including advance billings, driven by revenue growth, contributed lower cash flow of $18.6 million in the nine months ended September 30, 2025, compared to the nine months ended September 30, 2024. Our days sales outstanding were 63 days as of September 30, 2025, compared to 64 days as of September 30, 2024.</w:t>
      </w:r>
    </w:p>
    <w:p>
      <w:pPr>
        <w:spacing w:after="0" w:line="192" w:lineRule="exact"/>
        <w:rPr>
          <w:rFonts w:ascii="Times New Roman" w:cs="Times New Roman" w:eastAsia="Times New Roman" w:hAnsi="Times New Roman"/>
          <w:sz w:val="18"/>
          <w:szCs w:val="18"/>
          <w:color w:val="auto"/>
        </w:rPr>
      </w:pPr>
    </w:p>
    <w:p>
      <w:pPr>
        <w:jc w:val="both"/>
        <w:ind w:left="640" w:hanging="319"/>
        <w:spacing w:after="0" w:line="241" w:lineRule="auto"/>
        <w:tabs>
          <w:tab w:leader="none" w:pos="6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contingent consideration related to our December 2021 acquisition of Clairvoyant AI, Inc. (“Clairvoyant”) contributed to a higher cash payout of $11.0 million during the nine months ended September 30, 2024, whereas no such payment occurred during the nine months ended September 30, 2025.</w:t>
      </w:r>
    </w:p>
    <w:p>
      <w:pPr>
        <w:spacing w:after="0" w:line="205" w:lineRule="exact"/>
        <w:rPr>
          <w:rFonts w:ascii="Times New Roman" w:cs="Times New Roman" w:eastAsia="Times New Roman" w:hAnsi="Times New Roman"/>
          <w:sz w:val="18"/>
          <w:szCs w:val="18"/>
          <w:color w:val="auto"/>
        </w:rPr>
      </w:pPr>
    </w:p>
    <w:p>
      <w:pPr>
        <w:ind w:left="640" w:hanging="319"/>
        <w:spacing w:after="0" w:line="253" w:lineRule="auto"/>
        <w:tabs>
          <w:tab w:leader="none" w:pos="6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other assets, accounts payables including other liabilities contributed to a lower cash payout of $15.5 million for the nine months ended September 30, 2025, compared to the nine months ended September 30, 2024.</w:t>
      </w:r>
    </w:p>
    <w:p>
      <w:pPr>
        <w:spacing w:after="0" w:line="193" w:lineRule="exact"/>
        <w:rPr>
          <w:sz w:val="20"/>
          <w:szCs w:val="20"/>
          <w:color w:val="auto"/>
        </w:rPr>
      </w:pPr>
    </w:p>
    <w:p>
      <w:pPr>
        <w:jc w:val="both"/>
        <w:ind w:firstLine="395"/>
        <w:spacing w:after="0" w:line="272" w:lineRule="auto"/>
        <w:rPr>
          <w:sz w:val="20"/>
          <w:szCs w:val="20"/>
          <w:color w:val="auto"/>
        </w:rPr>
      </w:pPr>
      <w:r>
        <w:rPr>
          <w:rFonts w:ascii="Times New Roman" w:cs="Times New Roman" w:eastAsia="Times New Roman" w:hAnsi="Times New Roman"/>
          <w:sz w:val="16"/>
          <w:szCs w:val="16"/>
          <w:i w:val="1"/>
          <w:iCs w:val="1"/>
          <w:color w:val="auto"/>
        </w:rPr>
        <w:t xml:space="preserve">Investing Activities: </w:t>
      </w:r>
      <w:r>
        <w:rPr>
          <w:rFonts w:ascii="Times New Roman" w:cs="Times New Roman" w:eastAsia="Times New Roman" w:hAnsi="Times New Roman"/>
          <w:sz w:val="16"/>
          <w:szCs w:val="16"/>
          <w:color w:val="auto"/>
        </w:rPr>
        <w:t>Net cash used for investing activities was $82.6 million for the nine months ended September 30, 2025, compared to $94.5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the nine months ended September 30, 2024. The decrease of $11.9 million was primarily due to net cash used for business acquisition of $24.5 million during the nine months ended September 30, 2024 whereas no such payment occurred during the nine months ended September 30, 2025. This was partially offset by higher net purchase of investments of $6.6 million and higher cash paid for capital expenditures, including investments in infrastructure, technology assets and digital capabilities of $5.4 million during the nine months ended September 30, 2025, compared to the nine months ended September 30, 2024.</w:t>
      </w:r>
    </w:p>
    <w:p>
      <w:pPr>
        <w:spacing w:after="0" w:line="181" w:lineRule="exact"/>
        <w:rPr>
          <w:sz w:val="20"/>
          <w:szCs w:val="20"/>
          <w:color w:val="auto"/>
        </w:rPr>
      </w:pPr>
    </w:p>
    <w:p>
      <w:pPr>
        <w:jc w:val="both"/>
        <w:ind w:firstLine="395"/>
        <w:spacing w:after="0" w:line="287" w:lineRule="auto"/>
        <w:rPr>
          <w:sz w:val="20"/>
          <w:szCs w:val="20"/>
          <w:color w:val="auto"/>
        </w:rPr>
      </w:pPr>
      <w:r>
        <w:rPr>
          <w:rFonts w:ascii="Times New Roman" w:cs="Times New Roman" w:eastAsia="Times New Roman" w:hAnsi="Times New Roman"/>
          <w:sz w:val="16"/>
          <w:szCs w:val="16"/>
          <w:i w:val="1"/>
          <w:iCs w:val="1"/>
          <w:color w:val="auto"/>
        </w:rPr>
        <w:t xml:space="preserve">Financing Activities: </w:t>
      </w:r>
      <w:r>
        <w:rPr>
          <w:rFonts w:ascii="Times New Roman" w:cs="Times New Roman" w:eastAsia="Times New Roman" w:hAnsi="Times New Roman"/>
          <w:sz w:val="16"/>
          <w:szCs w:val="16"/>
          <w:color w:val="auto"/>
        </w:rPr>
        <w:t>Net cash used for financing activities was $147.9 million during the nine months ended September 30, 2025, compared to $52.2</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during the nine months ended September 30, 2024. The increase of $95.7 million was primarily due to lower net proceeds from borrowings of $78.7 million during the nine months ended September 30, 2025, compared to nine months ended September 30, 2024 and higher purchases of treasury stock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$23.0 million under our share repurchase programs during the nine months ended September 30, 2025, compared to the nine months ended September 30, 2024. This was partially offset by payment of contingent consideration related to our December 2021 acquisition of Clairvoyant of $4.0 million during the nine months ended September 30, 2024 whereas no such payment occurred during the nine months ended September 30, 2025.</w:t>
      </w:r>
    </w:p>
    <w:p>
      <w:pPr>
        <w:spacing w:after="0" w:line="21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July 29, 2025, we entered into a new supplemental confirmation to the prior Master Accelerated Share Repurchase Confirmation (together, the “2025 ASR Agreement”) with Citibank to repurchase shares of our common stock for an aggregate purchase price of $125 million, as part of our 2024 Repurchase Program of $500 million. We funded the repurchase with available cash on hand and borrowing from our credit facility.</w:t>
      </w:r>
    </w:p>
    <w:p>
      <w:pPr>
        <w:spacing w:after="0" w:line="206" w:lineRule="exact"/>
        <w:rPr>
          <w:sz w:val="20"/>
          <w:szCs w:val="20"/>
          <w:color w:val="auto"/>
        </w:rPr>
      </w:pPr>
    </w:p>
    <w:p>
      <w:pPr>
        <w:jc w:val="both"/>
        <w:ind w:firstLine="395"/>
        <w:spacing w:after="0" w:line="315" w:lineRule="auto"/>
        <w:rPr>
          <w:sz w:val="20"/>
          <w:szCs w:val="20"/>
          <w:color w:val="auto"/>
        </w:rPr>
      </w:pPr>
      <w:r>
        <w:rPr>
          <w:rFonts w:ascii="Times New Roman" w:cs="Times New Roman" w:eastAsia="Times New Roman" w:hAnsi="Times New Roman"/>
          <w:sz w:val="16"/>
          <w:szCs w:val="16"/>
          <w:color w:val="auto"/>
        </w:rPr>
        <w:t>We expect to use cash from operating activities to maintain and expand our business by making investments, primarily related to building new digital capabilities, including AI and purchase telecommunications equipment and computer hardware and software in connection with managing client operations.</w:t>
      </w:r>
    </w:p>
    <w:p>
      <w:pPr>
        <w:spacing w:after="0" w:line="149"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We incurred $41.7 million of capital expenditures during the nine months ended September 30, 2025. We expect to incur total capital expenditures of between $50.0 million to $55.0 million in fiscal 2025, primarily to meet our growth requirements, including additions to our facilities and infrastructure, as well as investments in technology applications, product development, and other digital technologies.</w:t>
      </w:r>
    </w:p>
    <w:p>
      <w:pPr>
        <w:spacing w:after="0" w:line="201"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In connection with any tax assessment orders that have been issued, or may be issued against us or our subsidiaries, we may be required to deposit additional amounts with the relevant authorities with respect to such assessment orders. See Note 25 - Commitments and Contingencies to our unaudited consolidated financial statements under Part I, Item 1, “Financial Statements” for further details.</w:t>
      </w:r>
    </w:p>
    <w:p>
      <w:pPr>
        <w:spacing w:after="0" w:line="187" w:lineRule="exact"/>
        <w:rPr>
          <w:sz w:val="20"/>
          <w:szCs w:val="20"/>
          <w:color w:val="auto"/>
        </w:rPr>
      </w:pPr>
    </w:p>
    <w:p>
      <w:pPr>
        <w:jc w:val="both"/>
        <w:ind w:firstLine="395"/>
        <w:spacing w:after="0" w:line="234" w:lineRule="auto"/>
        <w:rPr>
          <w:sz w:val="20"/>
          <w:szCs w:val="20"/>
          <w:color w:val="auto"/>
        </w:rPr>
      </w:pPr>
      <w:r>
        <w:rPr>
          <w:rFonts w:ascii="Times New Roman" w:cs="Times New Roman" w:eastAsia="Times New Roman" w:hAnsi="Times New Roman"/>
          <w:sz w:val="18"/>
          <w:szCs w:val="18"/>
          <w:color w:val="auto"/>
        </w:rPr>
        <w:t>We believe that our existing cash, cash equivalents and short-term investments and sources of liquidity will be sufficient to satisfy our cash requirements over the next 12 months. Our future cash requirements will depend on many factors, including our rate of revenue growth, our investments in strategic initiatives like acquisition of complementary businesses, capital expenditures and continued stock repurchases, including accelerated stock repurchase under our board-authorized stock repurchase program, which may require the use of significant cash resources and/or additional financing. We anticipate that we will continue to rely upon cash from operating activities to finance most of our above-mentioned requirements, although if we have significant growth through acquisitions, we may need to obtain additional financing.</w:t>
      </w:r>
    </w:p>
    <w:p>
      <w:pPr>
        <w:spacing w:after="0" w:line="223" w:lineRule="exact"/>
        <w:rPr>
          <w:sz w:val="20"/>
          <w:szCs w:val="20"/>
          <w:color w:val="auto"/>
        </w:rPr>
      </w:pPr>
    </w:p>
    <w:p>
      <w:pPr>
        <w:jc w:val="both"/>
        <w:ind w:firstLine="395"/>
        <w:spacing w:after="0" w:line="239" w:lineRule="auto"/>
        <w:rPr>
          <w:sz w:val="20"/>
          <w:szCs w:val="20"/>
          <w:color w:val="auto"/>
        </w:rPr>
      </w:pPr>
      <w:r>
        <w:rPr>
          <w:rFonts w:ascii="Times New Roman" w:cs="Times New Roman" w:eastAsia="Times New Roman" w:hAnsi="Times New Roman"/>
          <w:sz w:val="18"/>
          <w:szCs w:val="18"/>
          <w:color w:val="auto"/>
        </w:rPr>
        <w:t>In the ordinary course of business, we enter into contracts and commitments that obligate us to make payments in the future. These obligations include borrowings, including interest obligations, purchase commitments, operating and finance lease commitments, employee benefit payments under gratuity plans, payments for contingent consideration and uncertain tax positions. See Note 16 - Fair Value Measurements - Fair Value of Contingent Consideration, Note 18 - Borrowings, Note 20 - Employee Benefit Plans, Note 21 - Leases, Note 22 - Income Taxes and Note 25 - Commitments and Contingencies to our unaudited consolidated financial statements under Part I, Item 1, “Financial Statements” for further information on material cash requirements from known contractual and other obligations.</w:t>
      </w:r>
    </w:p>
    <w:p>
      <w:pPr>
        <w:spacing w:after="0" w:line="211" w:lineRule="exact"/>
        <w:rPr>
          <w:sz w:val="20"/>
          <w:szCs w:val="20"/>
          <w:color w:val="auto"/>
        </w:rPr>
      </w:pPr>
    </w:p>
    <w:p>
      <w:pPr>
        <w:jc w:val="both"/>
        <w:ind w:firstLine="395"/>
        <w:spacing w:after="0" w:line="242" w:lineRule="auto"/>
        <w:rPr>
          <w:sz w:val="20"/>
          <w:szCs w:val="20"/>
          <w:color w:val="auto"/>
        </w:rPr>
      </w:pPr>
      <w:r>
        <w:rPr>
          <w:rFonts w:ascii="Times New Roman" w:cs="Times New Roman" w:eastAsia="Times New Roman" w:hAnsi="Times New Roman"/>
          <w:sz w:val="18"/>
          <w:szCs w:val="18"/>
          <w:color w:val="auto"/>
        </w:rPr>
        <w:t>In the ordinary course of business, we provide standby letters of credit to third parties primarily for facility leases. As of September 30, 2025 and December 31, 2024, we had outstanding letters of credit of $0.7 million and $0.8 million respectively, that were not recognized in our consolidated balance sheets. These are unlikely to have, a current or future material effect on our financial condition, revenues or expenses, results of operations, liquidity, capital expenditures or capital resources. We had no other off-balance sheet arrangements or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Arrangements</w:t>
      </w:r>
    </w:p>
    <w:p>
      <w:pPr>
        <w:spacing w:after="0" w:line="2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debt position:</w:t>
      </w:r>
    </w:p>
    <w:p>
      <w:pPr>
        <w:spacing w:after="0" w:line="256"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2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9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5"/>
          </w:tcPr>
          <w:p>
            <w:pPr>
              <w:ind w:left="11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center"/>
              <w:ind w:right="200"/>
              <w:spacing w:after="0" w:line="152" w:lineRule="exact"/>
              <w:rPr>
                <w:sz w:val="20"/>
                <w:szCs w:val="20"/>
                <w:color w:val="auto"/>
              </w:rPr>
            </w:pPr>
            <w:r>
              <w:rPr>
                <w:rFonts w:ascii="Times New Roman" w:cs="Times New Roman" w:eastAsia="Times New Roman" w:hAnsi="Times New Roman"/>
                <w:sz w:val="16"/>
                <w:szCs w:val="16"/>
                <w:b w:val="1"/>
                <w:bCs w:val="1"/>
                <w:color w:val="auto"/>
                <w:w w:val="97"/>
              </w:rPr>
              <w:t>Revolving credit</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center"/>
              <w:ind w:right="240"/>
              <w:spacing w:after="0" w:line="152" w:lineRule="exact"/>
              <w:rPr>
                <w:sz w:val="20"/>
                <w:szCs w:val="20"/>
                <w:color w:val="auto"/>
              </w:rPr>
            </w:pPr>
            <w:r>
              <w:rPr>
                <w:rFonts w:ascii="Times New Roman" w:cs="Times New Roman" w:eastAsia="Times New Roman" w:hAnsi="Times New Roman"/>
                <w:sz w:val="16"/>
                <w:szCs w:val="16"/>
                <w:b w:val="1"/>
                <w:bCs w:val="1"/>
                <w:color w:val="auto"/>
                <w:w w:val="94"/>
              </w:rPr>
              <w:t>Term loan</w:t>
            </w: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shd w:val="clear" w:color="auto" w:fill="CCEEFF"/>
          </w:tcPr>
          <w:p>
            <w:pPr>
              <w:spacing w:after="0"/>
              <w:rPr>
                <w:sz w:val="13"/>
                <w:szCs w:val="13"/>
                <w:color w:val="auto"/>
              </w:rPr>
            </w:pPr>
          </w:p>
        </w:tc>
        <w:tc>
          <w:tcPr>
            <w:tcW w:w="1380" w:type="dxa"/>
            <w:vAlign w:val="bottom"/>
            <w:gridSpan w:val="3"/>
            <w:shd w:val="clear" w:color="auto" w:fill="CCEEFF"/>
          </w:tcPr>
          <w:p>
            <w:pPr>
              <w:jc w:val="center"/>
              <w:ind w:right="100"/>
              <w:spacing w:after="0" w:line="152" w:lineRule="exact"/>
              <w:rPr>
                <w:sz w:val="20"/>
                <w:szCs w:val="20"/>
                <w:color w:val="auto"/>
              </w:rPr>
            </w:pPr>
            <w:r>
              <w:rPr>
                <w:rFonts w:ascii="Times New Roman" w:cs="Times New Roman" w:eastAsia="Times New Roman" w:hAnsi="Times New Roman"/>
                <w:sz w:val="16"/>
                <w:szCs w:val="16"/>
                <w:b w:val="1"/>
                <w:bCs w:val="1"/>
                <w:color w:val="auto"/>
                <w:w w:val="99"/>
              </w:rPr>
              <w:t>Revolving credit</w:t>
            </w:r>
          </w:p>
        </w:tc>
        <w:tc>
          <w:tcPr>
            <w:tcW w:w="5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31"/>
        </w:trPr>
        <w:tc>
          <w:tcPr>
            <w:tcW w:w="2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facility</w:t>
            </w: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22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7"/>
              </w:rPr>
              <w:t>facility</w:t>
            </w:r>
          </w:p>
        </w:tc>
        <w:tc>
          <w:tcPr>
            <w:tcW w:w="136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Term loan facility</w:t>
            </w:r>
          </w:p>
        </w:tc>
        <w:tc>
          <w:tcPr>
            <w:tcW w:w="280" w:type="dxa"/>
            <w:vAlign w:val="bottom"/>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360" w:type="dxa"/>
            <w:vAlign w:val="bottom"/>
            <w:gridSpan w:val="3"/>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Current portion of long-term borrowings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34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4"/>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51"/>
        </w:trPr>
        <w:tc>
          <w:tcPr>
            <w:tcW w:w="290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Total current portion of long-term</w:t>
            </w: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2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tcPr>
          <w:p>
            <w:pPr>
              <w:spacing w:after="0"/>
              <w:rPr>
                <w:sz w:val="23"/>
                <w:szCs w:val="23"/>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5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0" w:type="dxa"/>
            <w:vAlign w:val="bottom"/>
          </w:tcPr>
          <w:p>
            <w:pPr>
              <w:spacing w:after="0"/>
              <w:rPr>
                <w:sz w:val="1"/>
                <w:szCs w:val="1"/>
                <w:color w:val="auto"/>
              </w:rPr>
            </w:pPr>
          </w:p>
        </w:tc>
      </w:tr>
      <w:tr>
        <w:trPr>
          <w:trHeight w:val="25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borrowings</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0" w:type="dxa"/>
            <w:vAlign w:val="bottom"/>
          </w:tcPr>
          <w:p>
            <w:pPr>
              <w:spacing w:after="0"/>
              <w:rPr>
                <w:sz w:val="1"/>
                <w:szCs w:val="1"/>
                <w:color w:val="auto"/>
              </w:rPr>
            </w:pPr>
          </w:p>
        </w:tc>
      </w:tr>
      <w:tr>
        <w:trPr>
          <w:trHeight w:val="242"/>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borrowings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As of September 30, 2025 and December 31, 2024, we were in compliance with the financial covenants under our credit agreement with certain lenders and Citibank N.A. as administrative agent. See Note 18 – Borrowings to our unaudited consolidated financial statements.</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1"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For a description of recent accounting pronouncements, see Note 2 - Summary of Significant Accounting Policies - Recent Accounting Pronouncements to our unaudited consolidated financial statements under Part I, Item 1, “Financial Statements.”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29" w:lineRule="exact"/>
        <w:rPr>
          <w:sz w:val="20"/>
          <w:szCs w:val="20"/>
          <w:color w:val="auto"/>
        </w:rPr>
      </w:pPr>
    </w:p>
    <w:p>
      <w:pPr>
        <w:jc w:val="both"/>
        <w:ind w:firstLine="434"/>
        <w:spacing w:after="0" w:line="253" w:lineRule="auto"/>
        <w:rPr>
          <w:sz w:val="20"/>
          <w:szCs w:val="20"/>
          <w:color w:val="auto"/>
        </w:rPr>
      </w:pPr>
      <w:r>
        <w:rPr>
          <w:rFonts w:ascii="Times New Roman" w:cs="Times New Roman" w:eastAsia="Times New Roman" w:hAnsi="Times New Roman"/>
          <w:sz w:val="18"/>
          <w:szCs w:val="18"/>
          <w:color w:val="auto"/>
        </w:rPr>
        <w:t>There have been no material changes in our quantitative and qualitative disclosures about market risk from those disclosed in Part II, Item 7A, Quantitative and Qualitative Disclosures About Market Risk, in our Annual Report on Form 10-K for the fiscal year ended December 31, 2024.</w:t>
      </w:r>
    </w:p>
    <w:p>
      <w:pPr>
        <w:spacing w:after="0" w:line="200" w:lineRule="exact"/>
        <w:rPr>
          <w:sz w:val="20"/>
          <w:szCs w:val="20"/>
          <w:color w:val="auto"/>
        </w:rPr>
      </w:pPr>
    </w:p>
    <w:p>
      <w:pPr>
        <w:spacing w:after="0" w:line="24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350"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our Chief Executive Officer (“CEO”) and our Chief Financial Officer (“CFO”), to allow timely decisions regarding required disclosure. In connection with the preparation of this Quarterly Report on Form 10-Q, our management carried out an evaluation, under the supervision and with the participation of the CEO and CFO, of the effectiveness and operation of our disclosure controls and procedures as of September 30, 2025. Based upon that evaluation, our CEO and CFO have concluded that the Company’s disclosure controls and procedures, as of September 30, 2025, were effective.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44" w:lineRule="exact"/>
        <w:rPr>
          <w:sz w:val="20"/>
          <w:szCs w:val="20"/>
          <w:color w:val="auto"/>
        </w:rPr>
      </w:pPr>
    </w:p>
    <w:p>
      <w:pPr>
        <w:jc w:val="both"/>
        <w:ind w:firstLine="395"/>
        <w:spacing w:after="0" w:line="315" w:lineRule="auto"/>
        <w:rPr>
          <w:sz w:val="20"/>
          <w:szCs w:val="20"/>
          <w:color w:val="auto"/>
        </w:rPr>
      </w:pPr>
      <w:r>
        <w:rPr>
          <w:rFonts w:ascii="Times New Roman" w:cs="Times New Roman" w:eastAsia="Times New Roman" w:hAnsi="Times New Roman"/>
          <w:sz w:val="16"/>
          <w:szCs w:val="16"/>
          <w:color w:val="auto"/>
        </w:rPr>
        <w:t>During the three months ended September 30, 2025,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39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3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42" w:lineRule="exact"/>
        <w:rPr>
          <w:sz w:val="20"/>
          <w:szCs w:val="20"/>
          <w:color w:val="auto"/>
        </w:rPr>
      </w:pPr>
    </w:p>
    <w:p>
      <w:pPr>
        <w:jc w:val="both"/>
        <w:ind w:firstLine="395"/>
        <w:spacing w:after="0" w:line="300" w:lineRule="auto"/>
        <w:rPr>
          <w:sz w:val="20"/>
          <w:szCs w:val="20"/>
          <w:color w:val="auto"/>
        </w:rPr>
      </w:pPr>
      <w:r>
        <w:rPr>
          <w:rFonts w:ascii="Times New Roman" w:cs="Times New Roman" w:eastAsia="Times New Roman" w:hAnsi="Times New Roman"/>
          <w:sz w:val="16"/>
          <w:szCs w:val="16"/>
          <w:color w:val="auto"/>
        </w:rPr>
        <w:t>In the course of our normal business activities, various lawsuits, claims and proceedings may be instituted or asserted against us. Although there can be no assurance, we believe that the disposition of matters currently instituted or asserted will not have a material adverse effect on our consolidated financial</w:t>
      </w:r>
    </w:p>
    <w:p>
      <w:pPr>
        <w:spacing w:after="0" w:line="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position, results of operations or cash flows. See Note 25 - Commitments and Contingencies to our unaudited consolidated financial statements under Part I, Item 1, “Financial Statements” for details regarding our tax proceedings.</w:t>
      </w:r>
    </w:p>
    <w:p>
      <w:pPr>
        <w:spacing w:after="0" w:line="19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42"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color w:val="auto"/>
        </w:rPr>
        <w:t>We have disclosed under the heading “Risk Factors” in our Annual Report on Form 10-K for the fiscal year ended December 31, 2024, a number of risks which may materially affect our business, financial condition or results of operations. You should carefully consider those risk factors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21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During the three months ended September 30, 2025, purchases of common stock were as follows:</w:t>
      </w:r>
    </w:p>
    <w:p>
      <w:pPr>
        <w:sectPr>
          <w:pgSz w:w="11900" w:h="16838" w:orient="portrait"/>
          <w:cols w:equalWidth="0" w:num="1">
            <w:col w:w="11340"/>
          </w:cols>
          <w:pgMar w:left="320" w:top="35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Period</w:t>
      </w:r>
    </w:p>
    <w:p>
      <w:pPr>
        <w:spacing w:after="0" w:line="37" w:lineRule="exact"/>
        <w:rPr>
          <w:sz w:val="20"/>
          <w:szCs w:val="20"/>
          <w:color w:val="auto"/>
        </w:rPr>
      </w:pPr>
    </w:p>
    <w:p>
      <w:pPr>
        <w:ind w:left="460"/>
        <w:spacing w:after="0" w:line="231" w:lineRule="auto"/>
        <w:rPr>
          <w:sz w:val="20"/>
          <w:szCs w:val="20"/>
          <w:color w:val="auto"/>
        </w:rPr>
      </w:pPr>
      <w:r>
        <w:rPr>
          <w:rFonts w:ascii="Times New Roman" w:cs="Times New Roman" w:eastAsia="Times New Roman" w:hAnsi="Times New Roman"/>
          <w:sz w:val="18"/>
          <w:szCs w:val="18"/>
          <w:color w:val="auto"/>
        </w:rPr>
        <w:t>July 1, 2025 through July 31, 2025</w:t>
      </w:r>
    </w:p>
    <w:p>
      <w:pPr>
        <w:spacing w:after="0" w:line="9" w:lineRule="exact"/>
        <w:rPr>
          <w:sz w:val="20"/>
          <w:szCs w:val="20"/>
          <w:color w:val="auto"/>
        </w:rPr>
      </w:pPr>
    </w:p>
    <w:p>
      <w:pPr>
        <w:ind w:left="460" w:right="380"/>
        <w:spacing w:after="0" w:line="266" w:lineRule="auto"/>
        <w:rPr>
          <w:sz w:val="20"/>
          <w:szCs w:val="20"/>
          <w:color w:val="auto"/>
        </w:rPr>
      </w:pPr>
      <w:r>
        <w:rPr>
          <w:rFonts w:ascii="Times New Roman" w:cs="Times New Roman" w:eastAsia="Times New Roman" w:hAnsi="Times New Roman"/>
          <w:sz w:val="16"/>
          <w:szCs w:val="16"/>
          <w:color w:val="auto"/>
        </w:rPr>
        <w:t>August 1, 2025 through August 31, 2025</w:t>
      </w:r>
    </w:p>
    <w:p>
      <w:pPr>
        <w:ind w:left="460" w:right="140"/>
        <w:spacing w:after="0" w:line="280" w:lineRule="auto"/>
        <w:rPr>
          <w:sz w:val="20"/>
          <w:szCs w:val="20"/>
          <w:color w:val="auto"/>
        </w:rPr>
      </w:pPr>
      <w:r>
        <w:rPr>
          <w:rFonts w:ascii="Times New Roman" w:cs="Times New Roman" w:eastAsia="Times New Roman" w:hAnsi="Times New Roman"/>
          <w:sz w:val="16"/>
          <w:szCs w:val="16"/>
          <w:color w:val="auto"/>
        </w:rPr>
        <w:t>September 1, 2025 through September 30, 2025</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92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Shares Purchased</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920" w:type="dxa"/>
            <w:vAlign w:val="bottom"/>
            <w:gridSpan w:val="5"/>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from Employees in connection with</w:t>
            </w:r>
          </w:p>
        </w:tc>
        <w:tc>
          <w:tcPr>
            <w:tcW w:w="278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Shares Purchased as Part of Publicly</w:t>
            </w: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920" w:type="dxa"/>
            <w:vAlign w:val="bottom"/>
            <w:gridSpan w:val="5"/>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8"/>
              </w:rPr>
              <w:t>satisfaction of Withholding Tax</w:t>
            </w:r>
          </w:p>
        </w:tc>
        <w:tc>
          <w:tcPr>
            <w:tcW w:w="2780" w:type="dxa"/>
            <w:vAlign w:val="bottom"/>
            <w:gridSpan w:val="5"/>
            <w:vMerge w:val="continue"/>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Approximate Dollar</w:t>
            </w:r>
          </w:p>
        </w:tc>
        <w:tc>
          <w:tcPr>
            <w:tcW w:w="0" w:type="dxa"/>
            <w:vAlign w:val="bottom"/>
          </w:tcPr>
          <w:p>
            <w:pPr>
              <w:spacing w:after="0"/>
              <w:rPr>
                <w:sz w:val="1"/>
                <w:szCs w:val="1"/>
                <w:color w:val="auto"/>
              </w:rPr>
            </w:pPr>
          </w:p>
        </w:tc>
      </w:tr>
      <w:tr>
        <w:trPr>
          <w:trHeight w:val="92"/>
        </w:trPr>
        <w:tc>
          <w:tcPr>
            <w:tcW w:w="2920" w:type="dxa"/>
            <w:vAlign w:val="bottom"/>
            <w:gridSpan w:val="5"/>
            <w:vMerge w:val="restart"/>
          </w:tcPr>
          <w:p>
            <w:pPr>
              <w:ind w:left="1020"/>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278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Announced Programs</w:t>
            </w: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920" w:type="dxa"/>
            <w:vAlign w:val="bottom"/>
            <w:gridSpan w:val="5"/>
            <w:vMerge w:val="continue"/>
          </w:tcPr>
          <w:p>
            <w:pPr>
              <w:spacing w:after="0"/>
              <w:rPr>
                <w:sz w:val="10"/>
                <w:szCs w:val="10"/>
                <w:color w:val="auto"/>
              </w:rPr>
            </w:pPr>
          </w:p>
        </w:tc>
        <w:tc>
          <w:tcPr>
            <w:tcW w:w="2780" w:type="dxa"/>
            <w:vAlign w:val="bottom"/>
            <w:gridSpan w:val="5"/>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vMerge w:val="restart"/>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6"/>
              </w:rPr>
              <w:t>Value of Shares That</w:t>
            </w:r>
          </w:p>
        </w:tc>
        <w:tc>
          <w:tcPr>
            <w:tcW w:w="0" w:type="dxa"/>
            <w:vAlign w:val="bottom"/>
          </w:tcPr>
          <w:p>
            <w:pPr>
              <w:spacing w:after="0"/>
              <w:rPr>
                <w:sz w:val="1"/>
                <w:szCs w:val="1"/>
                <w:color w:val="auto"/>
              </w:rPr>
            </w:pPr>
          </w:p>
        </w:tc>
      </w:tr>
      <w:tr>
        <w:trPr>
          <w:trHeight w:val="21"/>
        </w:trPr>
        <w:tc>
          <w:tcPr>
            <w:tcW w:w="12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vMerge w:val="restart"/>
          </w:tcPr>
          <w:p>
            <w:pPr>
              <w:jc w:val="center"/>
              <w:ind w:right="80"/>
              <w:spacing w:after="0" w:line="179" w:lineRule="exact"/>
              <w:rPr>
                <w:sz w:val="20"/>
                <w:szCs w:val="20"/>
                <w:color w:val="auto"/>
              </w:rPr>
            </w:pPr>
            <w:r>
              <w:rPr>
                <w:rFonts w:ascii="Times New Roman" w:cs="Times New Roman" w:eastAsia="Times New Roman" w:hAnsi="Times New Roman"/>
                <w:sz w:val="16"/>
                <w:szCs w:val="16"/>
                <w:b w:val="1"/>
                <w:bCs w:val="1"/>
                <w:color w:val="auto"/>
                <w:w w:val="97"/>
              </w:rPr>
              <w:t>Total Number of</w:t>
            </w:r>
          </w:p>
        </w:tc>
        <w:tc>
          <w:tcPr>
            <w:tcW w:w="120" w:type="dxa"/>
            <w:vAlign w:val="bottom"/>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4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60" w:type="dxa"/>
            <w:vAlign w:val="bottom"/>
          </w:tcPr>
          <w:p>
            <w:pPr>
              <w:spacing w:after="0"/>
              <w:rPr>
                <w:sz w:val="13"/>
                <w:szCs w:val="13"/>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3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0" w:type="dxa"/>
            <w:vAlign w:val="bottom"/>
          </w:tcPr>
          <w:p>
            <w:pPr>
              <w:spacing w:after="0"/>
              <w:rPr>
                <w:sz w:val="13"/>
                <w:szCs w:val="13"/>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280" w:type="dxa"/>
            <w:vAlign w:val="bottom"/>
            <w:gridSpan w:val="2"/>
            <w:vMerge w:val="continue"/>
          </w:tcPr>
          <w:p>
            <w:pPr>
              <w:spacing w:after="0"/>
              <w:rPr>
                <w:sz w:val="13"/>
                <w:szCs w:val="13"/>
                <w:color w:val="auto"/>
              </w:rPr>
            </w:pPr>
          </w:p>
        </w:tc>
        <w:tc>
          <w:tcPr>
            <w:tcW w:w="160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6"/>
              </w:rPr>
              <w:t>May Yet Be Purchased</w:t>
            </w:r>
          </w:p>
        </w:tc>
        <w:tc>
          <w:tcPr>
            <w:tcW w:w="0" w:type="dxa"/>
            <w:vAlign w:val="bottom"/>
          </w:tcPr>
          <w:p>
            <w:pPr>
              <w:spacing w:after="0"/>
              <w:rPr>
                <w:sz w:val="1"/>
                <w:szCs w:val="1"/>
                <w:color w:val="auto"/>
              </w:rPr>
            </w:pPr>
          </w:p>
        </w:tc>
      </w:tr>
      <w:tr>
        <w:trPr>
          <w:trHeight w:val="158"/>
        </w:trPr>
        <w:tc>
          <w:tcPr>
            <w:tcW w:w="14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28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5"/>
              </w:rPr>
              <w:t>Shares</w:t>
            </w:r>
          </w:p>
        </w:tc>
        <w:tc>
          <w:tcPr>
            <w:tcW w:w="120" w:type="dxa"/>
            <w:vAlign w:val="bottom"/>
          </w:tcPr>
          <w:p>
            <w:pPr>
              <w:spacing w:after="0"/>
              <w:rPr>
                <w:sz w:val="13"/>
                <w:szCs w:val="13"/>
                <w:color w:val="auto"/>
              </w:rPr>
            </w:pPr>
          </w:p>
        </w:tc>
        <w:tc>
          <w:tcPr>
            <w:tcW w:w="14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Under the Plans or</w:t>
            </w:r>
          </w:p>
        </w:tc>
        <w:tc>
          <w:tcPr>
            <w:tcW w:w="0" w:type="dxa"/>
            <w:vAlign w:val="bottom"/>
          </w:tcPr>
          <w:p>
            <w:pPr>
              <w:spacing w:after="0"/>
              <w:rPr>
                <w:sz w:val="1"/>
                <w:szCs w:val="1"/>
                <w:color w:val="auto"/>
              </w:rPr>
            </w:pPr>
          </w:p>
        </w:tc>
      </w:tr>
      <w:tr>
        <w:trPr>
          <w:trHeight w:val="210"/>
        </w:trPr>
        <w:tc>
          <w:tcPr>
            <w:tcW w:w="1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Shares Purchased</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Shares Purchased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Programs</w:t>
            </w:r>
          </w:p>
        </w:tc>
        <w:tc>
          <w:tcPr>
            <w:tcW w:w="0" w:type="dxa"/>
            <w:vAlign w:val="bottom"/>
          </w:tcPr>
          <w:p>
            <w:pPr>
              <w:spacing w:after="0"/>
              <w:rPr>
                <w:sz w:val="1"/>
                <w:szCs w:val="1"/>
                <w:color w:val="auto"/>
              </w:rPr>
            </w:pPr>
          </w:p>
        </w:tc>
      </w:tr>
      <w:tr>
        <w:trPr>
          <w:trHeight w:val="401"/>
        </w:trPr>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517,000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517,000</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250,636,306</w:t>
            </w:r>
          </w:p>
        </w:tc>
        <w:tc>
          <w:tcPr>
            <w:tcW w:w="0" w:type="dxa"/>
            <w:vAlign w:val="bottom"/>
          </w:tcPr>
          <w:p>
            <w:pPr>
              <w:spacing w:after="0"/>
              <w:rPr>
                <w:sz w:val="1"/>
                <w:szCs w:val="1"/>
                <w:color w:val="auto"/>
              </w:rPr>
            </w:pPr>
          </w:p>
        </w:tc>
      </w:tr>
      <w:tr>
        <w:trPr>
          <w:trHeight w:val="408"/>
        </w:trPr>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2,345,713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2,345,713</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123,769,283</w:t>
            </w:r>
          </w:p>
        </w:tc>
        <w:tc>
          <w:tcPr>
            <w:tcW w:w="0" w:type="dxa"/>
            <w:vAlign w:val="bottom"/>
          </w:tcPr>
          <w:p>
            <w:pPr>
              <w:spacing w:after="0"/>
              <w:rPr>
                <w:sz w:val="1"/>
                <w:szCs w:val="1"/>
                <w:color w:val="auto"/>
              </w:rPr>
            </w:pPr>
          </w:p>
        </w:tc>
      </w:tr>
      <w:tr>
        <w:trPr>
          <w:trHeight w:val="408"/>
        </w:trPr>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211,363</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114,628,029</w:t>
            </w:r>
          </w:p>
        </w:tc>
        <w:tc>
          <w:tcPr>
            <w:tcW w:w="0" w:type="dxa"/>
            <w:vAlign w:val="bottom"/>
          </w:tcPr>
          <w:p>
            <w:pPr>
              <w:spacing w:after="0"/>
              <w:rPr>
                <w:sz w:val="1"/>
                <w:szCs w:val="1"/>
                <w:color w:val="auto"/>
              </w:rPr>
            </w:pPr>
          </w:p>
        </w:tc>
      </w:tr>
      <w:tr>
        <w:trPr>
          <w:trHeight w:val="217"/>
        </w:trPr>
        <w:tc>
          <w:tcPr>
            <w:tcW w:w="128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3,074,076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3,074,076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-1472565</wp:posOffset>
            </wp:positionH>
            <wp:positionV relativeFrom="paragraph">
              <wp:posOffset>-441960</wp:posOffset>
            </wp:positionV>
            <wp:extent cx="6921500" cy="2590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21500" cy="259080"/>
                    </a:xfrm>
                    <a:prstGeom prst="rect">
                      <a:avLst/>
                    </a:prstGeom>
                    <a:noFill/>
                  </pic:spPr>
                </pic:pic>
              </a:graphicData>
            </a:graphic>
          </wp:anchor>
        </w:drawing>
        <w:drawing>
          <wp:anchor simplePos="0" relativeHeight="251657728" behindDoc="1" locked="0" layoutInCell="0" allowOverlap="1">
            <wp:simplePos x="0" y="0"/>
            <wp:positionH relativeFrom="column">
              <wp:posOffset>-1472565</wp:posOffset>
            </wp:positionH>
            <wp:positionV relativeFrom="paragraph">
              <wp:posOffset>-968375</wp:posOffset>
            </wp:positionV>
            <wp:extent cx="6921500" cy="267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21500" cy="2673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0" w:space="260"/>
            <w:col w:w="8580"/>
          </w:cols>
          <w:pgMar w:left="320" w:top="356" w:right="239" w:bottom="1440" w:gutter="0" w:footer="0" w:header="0"/>
          <w:type w:val="continuous"/>
        </w:sectPr>
      </w:pPr>
    </w:p>
    <w:p>
      <w:pPr>
        <w:spacing w:after="0" w:line="124" w:lineRule="exact"/>
        <w:rPr>
          <w:sz w:val="20"/>
          <w:szCs w:val="20"/>
          <w:color w:val="auto"/>
        </w:rPr>
      </w:pPr>
    </w:p>
    <w:p>
      <w:pPr>
        <w:jc w:val="both"/>
        <w:ind w:right="100" w:firstLine="395"/>
        <w:spacing w:after="0" w:line="253" w:lineRule="auto"/>
        <w:rPr>
          <w:sz w:val="20"/>
          <w:szCs w:val="20"/>
          <w:color w:val="auto"/>
        </w:rPr>
      </w:pPr>
      <w:r>
        <w:rPr>
          <w:rFonts w:ascii="Times New Roman" w:cs="Times New Roman" w:eastAsia="Times New Roman" w:hAnsi="Times New Roman"/>
          <w:sz w:val="18"/>
          <w:szCs w:val="18"/>
          <w:color w:val="auto"/>
        </w:rPr>
        <w:t>On February 26, 2024, the Company’s board of directors authorized a $500 million (excluding excise tax) common stock repurchase program beginning March 1, 2024 (the “2024 Repurchase Program”).</w:t>
      </w:r>
    </w:p>
    <w:p>
      <w:pPr>
        <w:spacing w:after="0" w:line="208" w:lineRule="exact"/>
        <w:rPr>
          <w:sz w:val="20"/>
          <w:szCs w:val="20"/>
          <w:color w:val="auto"/>
        </w:rPr>
      </w:pPr>
    </w:p>
    <w:p>
      <w:pPr>
        <w:jc w:val="both"/>
        <w:ind w:right="100" w:firstLine="395"/>
        <w:spacing w:after="0" w:line="242" w:lineRule="auto"/>
        <w:rPr>
          <w:sz w:val="20"/>
          <w:szCs w:val="20"/>
          <w:color w:val="auto"/>
        </w:rPr>
      </w:pPr>
      <w:r>
        <w:rPr>
          <w:rFonts w:ascii="Times New Roman" w:cs="Times New Roman" w:eastAsia="Times New Roman" w:hAnsi="Times New Roman"/>
          <w:sz w:val="18"/>
          <w:szCs w:val="18"/>
          <w:color w:val="auto"/>
        </w:rPr>
        <w:t>On July 29, 2025, we entered into the 2025 ASR Agreement with Citibank to repurchase shares of our common stock for an aggregate purchase price of $125 million, as part of our 2024 Repurchase Program. Upon payment of the aggregate purchase price of $125 million, we received an initial delivery of 2,302,556 shares of our common stock at an initial price of $43.43 per share, representing 80% of the aggregate purchase price. See Note 19 – Capital Structure to our unaudited consolidated financial statements under Part I, Item 1, “Financial Statements” for further details.</w:t>
      </w:r>
    </w:p>
    <w:p>
      <w:pPr>
        <w:spacing w:after="0" w:line="205" w:lineRule="exact"/>
        <w:rPr>
          <w:sz w:val="20"/>
          <w:szCs w:val="20"/>
          <w:color w:val="auto"/>
        </w:rPr>
      </w:pPr>
    </w:p>
    <w:p>
      <w:pPr>
        <w:jc w:val="both"/>
        <w:ind w:right="100" w:firstLine="395"/>
        <w:spacing w:after="0" w:line="242" w:lineRule="auto"/>
        <w:rPr>
          <w:sz w:val="20"/>
          <w:szCs w:val="20"/>
          <w:color w:val="auto"/>
        </w:rPr>
      </w:pPr>
      <w:r>
        <w:rPr>
          <w:rFonts w:ascii="Times New Roman" w:cs="Times New Roman" w:eastAsia="Times New Roman" w:hAnsi="Times New Roman"/>
          <w:sz w:val="18"/>
          <w:szCs w:val="18"/>
          <w:color w:val="auto"/>
        </w:rPr>
        <w:t>Under our repurchase program, shares may be purchased by us from time to time from the open market and through private transactions, or otherwise, as determined by our management as market conditions warrant. We have structured open market purchases under our repurchase program to comply with Rule 10b-18 under the Exchange Act. Repurchases may be discontinued at any time by management. Repurchased shares are recorded as treasury shares and are held until our board of directors designates that these shares be retired or used for other purposes.</w:t>
      </w:r>
    </w:p>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3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200" w:lineRule="exact"/>
        <w:rPr>
          <w:sz w:val="20"/>
          <w:szCs w:val="20"/>
          <w:color w:val="auto"/>
        </w:rPr>
      </w:pPr>
    </w:p>
    <w:p>
      <w:pPr>
        <w:spacing w:after="0" w:line="2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44" w:lineRule="exact"/>
        <w:rPr>
          <w:sz w:val="20"/>
          <w:szCs w:val="20"/>
          <w:color w:val="auto"/>
        </w:rPr>
      </w:pPr>
    </w:p>
    <w:p>
      <w:pPr>
        <w:jc w:val="both"/>
        <w:ind w:right="100"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months ended September 30, 2025, no director or officer of the Company adopted or terminated a “Rule 10b5-1 trading arrangement” or “non-Rule 10b5-1 trading arrangement,” as each term is defined in Item 408(a) of Regulation S-K, except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356" w:right="2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55" w:lineRule="exact"/>
        <w:rPr>
          <w:sz w:val="20"/>
          <w:szCs w:val="20"/>
          <w:color w:val="auto"/>
        </w:rPr>
      </w:pPr>
    </w:p>
    <w:tbl>
      <w:tblPr>
        <w:tblLayout w:type="fixed"/>
        <w:tblInd w:w="640" w:type="dxa"/>
        <w:tblCellMar>
          <w:top w:w="0" w:type="dxa"/>
          <w:left w:w="0" w:type="dxa"/>
          <w:bottom w:w="0" w:type="dxa"/>
          <w:right w:w="0" w:type="dxa"/>
        </w:tblCellMar>
      </w:tblPr>
      <w:tr>
        <w:trPr>
          <w:trHeight w:val="195"/>
        </w:trPr>
        <w:tc>
          <w:tcPr>
            <w:tcW w:w="2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Aggregate Number of Shares</w:t>
            </w:r>
          </w:p>
        </w:tc>
        <w:tc>
          <w:tcPr>
            <w:tcW w:w="0" w:type="dxa"/>
            <w:vAlign w:val="bottom"/>
          </w:tcPr>
          <w:p>
            <w:pPr>
              <w:spacing w:after="0"/>
              <w:rPr>
                <w:sz w:val="1"/>
                <w:szCs w:val="1"/>
                <w:color w:val="auto"/>
              </w:rPr>
            </w:pPr>
          </w:p>
        </w:tc>
      </w:tr>
      <w:tr>
        <w:trPr>
          <w:trHeight w:val="170"/>
        </w:trPr>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6"/>
              </w:rPr>
              <w:t>Character of Trading</w:t>
            </w: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jc w:val="center"/>
              <w:spacing w:after="0" w:line="171" w:lineRule="exact"/>
              <w:rPr>
                <w:sz w:val="20"/>
                <w:szCs w:val="20"/>
                <w:color w:val="auto"/>
              </w:rPr>
            </w:pPr>
            <w:r>
              <w:rPr>
                <w:rFonts w:ascii="Times New Roman" w:cs="Times New Roman" w:eastAsia="Times New Roman" w:hAnsi="Times New Roman"/>
                <w:sz w:val="17"/>
                <w:szCs w:val="17"/>
                <w:b w:val="1"/>
                <w:bCs w:val="1"/>
                <w:color w:val="auto"/>
                <w:w w:val="97"/>
              </w:rPr>
              <w:t>of Common Stock to be Sold</w:t>
            </w:r>
          </w:p>
        </w:tc>
        <w:tc>
          <w:tcPr>
            <w:tcW w:w="0" w:type="dxa"/>
            <w:vAlign w:val="bottom"/>
          </w:tcPr>
          <w:p>
            <w:pPr>
              <w:spacing w:after="0"/>
              <w:rPr>
                <w:sz w:val="1"/>
                <w:szCs w:val="1"/>
                <w:color w:val="auto"/>
              </w:rPr>
            </w:pPr>
          </w:p>
        </w:tc>
      </w:tr>
      <w:tr>
        <w:trPr>
          <w:trHeight w:val="171"/>
        </w:trPr>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Name and Title</w:t>
            </w:r>
          </w:p>
        </w:tc>
        <w:tc>
          <w:tcPr>
            <w:tcW w:w="80" w:type="dxa"/>
            <w:vAlign w:val="bottom"/>
            <w:vMerge w:val="restart"/>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680" w:type="dxa"/>
            <w:vAlign w:val="bottom"/>
            <w:vMerge w:val="restart"/>
          </w:tcPr>
          <w:p>
            <w:pPr>
              <w:ind w:left="340"/>
              <w:spacing w:after="0"/>
              <w:rPr>
                <w:sz w:val="20"/>
                <w:szCs w:val="20"/>
                <w:color w:val="auto"/>
              </w:rPr>
            </w:pPr>
            <w:r>
              <w:rPr>
                <w:rFonts w:ascii="Times New Roman" w:cs="Times New Roman" w:eastAsia="Times New Roman" w:hAnsi="Times New Roman"/>
                <w:sz w:val="17"/>
                <w:szCs w:val="17"/>
                <w:b w:val="1"/>
                <w:bCs w:val="1"/>
                <w:color w:val="auto"/>
              </w:rPr>
              <w:t>Date Adopted</w:t>
            </w:r>
          </w:p>
        </w:tc>
        <w:tc>
          <w:tcPr>
            <w:tcW w:w="80" w:type="dxa"/>
            <w:vAlign w:val="bottom"/>
            <w:vMerge w:val="restart"/>
          </w:tcPr>
          <w:p>
            <w:pPr>
              <w:spacing w:after="0"/>
              <w:rPr>
                <w:sz w:val="14"/>
                <w:szCs w:val="14"/>
                <w:color w:val="auto"/>
              </w:rPr>
            </w:pPr>
          </w:p>
        </w:tc>
        <w:tc>
          <w:tcPr>
            <w:tcW w:w="17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Duration </w:t>
            </w:r>
            <w:r>
              <w:rPr>
                <w:rFonts w:ascii="Times New Roman" w:cs="Times New Roman" w:eastAsia="Times New Roman" w:hAnsi="Times New Roman"/>
                <w:sz w:val="21"/>
                <w:szCs w:val="21"/>
                <w:b w:val="1"/>
                <w:bCs w:val="1"/>
                <w:color w:val="auto"/>
                <w:vertAlign w:val="superscript"/>
              </w:rPr>
              <w:t>(2)</w:t>
            </w:r>
          </w:p>
        </w:tc>
        <w:tc>
          <w:tcPr>
            <w:tcW w:w="100" w:type="dxa"/>
            <w:vAlign w:val="bottom"/>
            <w:vMerge w:val="restart"/>
          </w:tcPr>
          <w:p>
            <w:pPr>
              <w:spacing w:after="0"/>
              <w:rPr>
                <w:sz w:val="14"/>
                <w:szCs w:val="14"/>
                <w:color w:val="auto"/>
              </w:rPr>
            </w:pPr>
          </w:p>
        </w:tc>
        <w:tc>
          <w:tcPr>
            <w:tcW w:w="210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b w:val="1"/>
                <w:bCs w:val="1"/>
                <w:color w:val="auto"/>
                <w:w w:val="97"/>
              </w:rPr>
              <w:t>Pursuant to Trading</w:t>
            </w:r>
          </w:p>
        </w:tc>
        <w:tc>
          <w:tcPr>
            <w:tcW w:w="0" w:type="dxa"/>
            <w:vAlign w:val="bottom"/>
          </w:tcPr>
          <w:p>
            <w:pPr>
              <w:spacing w:after="0"/>
              <w:rPr>
                <w:sz w:val="1"/>
                <w:szCs w:val="1"/>
                <w:color w:val="auto"/>
              </w:rPr>
            </w:pPr>
          </w:p>
        </w:tc>
      </w:tr>
      <w:tr>
        <w:trPr>
          <w:trHeight w:val="224"/>
        </w:trPr>
        <w:tc>
          <w:tcPr>
            <w:tcW w:w="23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940" w:type="dxa"/>
            <w:vAlign w:val="bottom"/>
            <w:tcBorders>
              <w:bottom w:val="single" w:sz="8" w:color="auto"/>
            </w:tcBorders>
          </w:tcPr>
          <w:p>
            <w:pPr>
              <w:jc w:val="center"/>
              <w:spacing w:after="0" w:line="224" w:lineRule="exact"/>
              <w:rPr>
                <w:sz w:val="20"/>
                <w:szCs w:val="20"/>
                <w:color w:val="auto"/>
              </w:rPr>
            </w:pPr>
            <w:r>
              <w:rPr>
                <w:rFonts w:ascii="Times New Roman" w:cs="Times New Roman" w:eastAsia="Times New Roman" w:hAnsi="Times New Roman"/>
                <w:sz w:val="17"/>
                <w:szCs w:val="17"/>
                <w:b w:val="1"/>
                <w:bCs w:val="1"/>
                <w:color w:val="auto"/>
                <w:w w:val="95"/>
              </w:rPr>
              <w:t xml:space="preserve">Arrangement </w:t>
            </w:r>
            <w:r>
              <w:rPr>
                <w:rFonts w:ascii="Times New Roman" w:cs="Times New Roman" w:eastAsia="Times New Roman" w:hAnsi="Times New Roman"/>
                <w:sz w:val="21"/>
                <w:szCs w:val="21"/>
                <w:b w:val="1"/>
                <w:bCs w:val="1"/>
                <w:color w:val="auto"/>
                <w:w w:val="95"/>
                <w:vertAlign w:val="superscript"/>
              </w:rPr>
              <w:t>(1)</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Arrangement</w:t>
            </w:r>
          </w:p>
        </w:tc>
        <w:tc>
          <w:tcPr>
            <w:tcW w:w="0" w:type="dxa"/>
            <w:vAlign w:val="bottom"/>
          </w:tcPr>
          <w:p>
            <w:pPr>
              <w:spacing w:after="0"/>
              <w:rPr>
                <w:sz w:val="1"/>
                <w:szCs w:val="1"/>
                <w:color w:val="auto"/>
              </w:rPr>
            </w:pPr>
          </w:p>
        </w:tc>
      </w:tr>
      <w:tr>
        <w:trPr>
          <w:trHeight w:val="156"/>
        </w:trPr>
        <w:tc>
          <w:tcPr>
            <w:tcW w:w="23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7"/>
                <w:szCs w:val="17"/>
                <w:color w:val="auto"/>
              </w:rPr>
              <w:t>Ajay Ayyappan,</w:t>
            </w:r>
          </w:p>
        </w:tc>
        <w:tc>
          <w:tcPr>
            <w:tcW w:w="80" w:type="dxa"/>
            <w:vAlign w:val="bottom"/>
            <w:shd w:val="clear" w:color="auto" w:fill="CCEEFF"/>
          </w:tcPr>
          <w:p>
            <w:pPr>
              <w:spacing w:after="0"/>
              <w:rPr>
                <w:sz w:val="13"/>
                <w:szCs w:val="13"/>
                <w:color w:val="auto"/>
              </w:rPr>
            </w:pPr>
          </w:p>
        </w:tc>
        <w:tc>
          <w:tcPr>
            <w:tcW w:w="20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Rule 10b5-1</w:t>
            </w:r>
          </w:p>
        </w:tc>
        <w:tc>
          <w:tcPr>
            <w:tcW w:w="1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44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Executive Vice President, General</w:t>
            </w:r>
          </w:p>
        </w:tc>
        <w:tc>
          <w:tcPr>
            <w:tcW w:w="2040" w:type="dxa"/>
            <w:vAlign w:val="bottom"/>
            <w:gridSpan w:val="2"/>
            <w:vMerge w:val="continue"/>
            <w:shd w:val="clear" w:color="auto" w:fill="CCEEFF"/>
          </w:tcPr>
          <w:p>
            <w:pPr>
              <w:spacing w:after="0"/>
              <w:rPr>
                <w:sz w:val="14"/>
                <w:szCs w:val="14"/>
                <w:color w:val="auto"/>
              </w:rPr>
            </w:pPr>
          </w:p>
        </w:tc>
        <w:tc>
          <w:tcPr>
            <w:tcW w:w="17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August 11, 2025</w:t>
            </w:r>
          </w:p>
        </w:tc>
        <w:tc>
          <w:tcPr>
            <w:tcW w:w="180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March 6, 2026</w:t>
            </w:r>
          </w:p>
        </w:tc>
        <w:tc>
          <w:tcPr>
            <w:tcW w:w="2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24,494</w:t>
            </w:r>
          </w:p>
        </w:tc>
        <w:tc>
          <w:tcPr>
            <w:tcW w:w="0" w:type="dxa"/>
            <w:vAlign w:val="bottom"/>
          </w:tcPr>
          <w:p>
            <w:pPr>
              <w:spacing w:after="0"/>
              <w:rPr>
                <w:sz w:val="1"/>
                <w:szCs w:val="1"/>
                <w:color w:val="auto"/>
              </w:rPr>
            </w:pPr>
          </w:p>
        </w:tc>
      </w:tr>
      <w:tr>
        <w:trPr>
          <w:trHeight w:val="224"/>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Counsel &amp; Corporate Secretary</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Trading Arrangement</w:t>
            </w:r>
          </w:p>
        </w:tc>
        <w:tc>
          <w:tcPr>
            <w:tcW w:w="1760" w:type="dxa"/>
            <w:vAlign w:val="bottom"/>
            <w:gridSpan w:val="2"/>
            <w:vMerge w:val="continue"/>
            <w:shd w:val="clear" w:color="auto" w:fill="CCEEFF"/>
          </w:tcPr>
          <w:p>
            <w:pPr>
              <w:spacing w:after="0"/>
              <w:rPr>
                <w:sz w:val="19"/>
                <w:szCs w:val="19"/>
                <w:color w:val="auto"/>
              </w:rPr>
            </w:pPr>
          </w:p>
        </w:tc>
        <w:tc>
          <w:tcPr>
            <w:tcW w:w="1800" w:type="dxa"/>
            <w:vAlign w:val="bottom"/>
            <w:gridSpan w:val="2"/>
            <w:vMerge w:val="continue"/>
            <w:shd w:val="clear" w:color="auto" w:fill="CCEEFF"/>
          </w:tcPr>
          <w:p>
            <w:pPr>
              <w:spacing w:after="0"/>
              <w:rPr>
                <w:sz w:val="19"/>
                <w:szCs w:val="19"/>
                <w:color w:val="auto"/>
              </w:rPr>
            </w:pPr>
          </w:p>
        </w:tc>
        <w:tc>
          <w:tcPr>
            <w:tcW w:w="2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firstLine="637"/>
        <w:spacing w:after="0" w:line="268" w:lineRule="auto"/>
        <w:tabs>
          <w:tab w:leader="none" w:pos="88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indicated by footnote, each trading arrangement marked as a “Rule 10b5-1 Trading Arrangement” is intended to satisfy the affirmative defense of Rule 10b5-1(c), as amended (the “Rule”).</w:t>
      </w:r>
    </w:p>
    <w:p>
      <w:pPr>
        <w:spacing w:after="0" w:line="195" w:lineRule="exact"/>
        <w:rPr>
          <w:rFonts w:ascii="Times New Roman" w:cs="Times New Roman" w:eastAsia="Times New Roman" w:hAnsi="Times New Roman"/>
          <w:sz w:val="18"/>
          <w:szCs w:val="18"/>
          <w:color w:val="auto"/>
        </w:rPr>
      </w:pPr>
    </w:p>
    <w:p>
      <w:pPr>
        <w:jc w:val="both"/>
        <w:ind w:firstLine="637"/>
        <w:spacing w:after="0" w:line="256" w:lineRule="auto"/>
        <w:tabs>
          <w:tab w:leader="none" w:pos="88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indicated by footnote, each trading arrangement permits transactions through and including the earlier to occur of (a) the completion of all sales or (b) the date listed in the table. Each trading arrangement marked as a “Rule 10b5-1 Trading Arrangement” only permits transactions upon expiration of the applicable mandatory cooling-off period under the Rule.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following exhibits are being filed as part of this report or incorporated by reference as indicated therein: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10220" w:type="dxa"/>
            <w:vAlign w:val="bottom"/>
            <w:gridSpan w:val="12"/>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Fourth Amended and Restated Certificate of Incorporation of the Company, as in effect as of the date hereof (incorporated by reference to</w:t>
              </w:r>
            </w:hyperlink>
          </w:p>
        </w:tc>
      </w:tr>
      <w:tr>
        <w:trPr>
          <w:trHeight w:val="151"/>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20" w:type="dxa"/>
            <w:vAlign w:val="bottom"/>
            <w:tcBorders>
              <w:top w:val="single" w:sz="8" w:color="0000FF"/>
              <w:bottom w:val="single" w:sz="8" w:color="0000FF"/>
            </w:tcBorders>
            <w:gridSpan w:val="5"/>
          </w:tcPr>
          <w:p>
            <w:pPr>
              <w:spacing w:after="0" w:line="152" w:lineRule="exact"/>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Exhibit 3.1 of the Company’s Current Report on Form 8-K (File No. 1-33089) filed on June 25, 2024).</w:t>
              </w:r>
            </w:hyperlink>
          </w:p>
        </w:tc>
        <w:tc>
          <w:tcPr>
            <w:tcW w:w="298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r>
      <w:tr>
        <w:trPr>
          <w:trHeight w:val="30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220" w:type="dxa"/>
            <w:vAlign w:val="bottom"/>
            <w:gridSpan w:val="12"/>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Sixth Amended and Restated By-laws of the Company, as in effect as of the date hereof (incorporated by reference to Exhibit 3.2 of the</w:t>
              </w:r>
            </w:hyperlink>
          </w:p>
        </w:tc>
      </w:tr>
      <w:tr>
        <w:trPr>
          <w:trHeight w:val="151"/>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00" w:type="dxa"/>
            <w:vAlign w:val="bottom"/>
            <w:tcBorders>
              <w:top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Company’s Current Report on Form 8-K (File No. 1-33089) filed on June 21,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3"/>
                <w:szCs w:val="23"/>
                <w:color w:val="auto"/>
              </w:rPr>
            </w:pPr>
          </w:p>
        </w:tc>
        <w:tc>
          <w:tcPr>
            <w:tcW w:w="102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of ExlService Holdings, pursuant to Rule 13a-14(a) of the Exchange Act, as adopted pursuant to</w:t>
            </w:r>
          </w:p>
        </w:tc>
      </w:tr>
      <w:tr>
        <w:trPr>
          <w:trHeight w:val="151"/>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0" w:type="dxa"/>
            <w:vAlign w:val="bottom"/>
            <w:tcBorders>
              <w:top w:val="single" w:sz="8" w:color="0000FF"/>
              <w:bottom w:val="single" w:sz="8" w:color="0000FF"/>
            </w:tcBorders>
            <w:gridSpan w:val="2"/>
          </w:tcPr>
          <w:p>
            <w:pPr>
              <w:spacing w:after="0" w:line="152"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c>
          <w:tcPr>
            <w:tcW w:w="67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3"/>
                <w:szCs w:val="23"/>
                <w:color w:val="auto"/>
              </w:rPr>
            </w:pPr>
          </w:p>
        </w:tc>
        <w:tc>
          <w:tcPr>
            <w:tcW w:w="102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of ExlService Holdings, pursuant to Rule 13a-14(a) of the Exchange Act, as adopted pursuant to</w:t>
            </w:r>
          </w:p>
        </w:tc>
      </w:tr>
      <w:tr>
        <w:trPr>
          <w:trHeight w:val="151"/>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0" w:type="dxa"/>
            <w:vAlign w:val="bottom"/>
            <w:tcBorders>
              <w:top w:val="single" w:sz="8" w:color="0000FF"/>
              <w:bottom w:val="single" w:sz="8" w:color="0000FF"/>
            </w:tcBorders>
            <w:gridSpan w:val="2"/>
          </w:tcPr>
          <w:p>
            <w:pPr>
              <w:spacing w:after="0" w:line="152"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c>
          <w:tcPr>
            <w:tcW w:w="678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3"/>
                <w:szCs w:val="23"/>
                <w:color w:val="auto"/>
              </w:rPr>
            </w:pPr>
          </w:p>
        </w:tc>
        <w:tc>
          <w:tcPr>
            <w:tcW w:w="102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Rule 13a-14(b) of the Exchange Act and 18 U.S.C. Section 1350, as adopted pursuant</w:t>
            </w:r>
          </w:p>
        </w:tc>
      </w:tr>
      <w:tr>
        <w:trPr>
          <w:trHeight w:val="151"/>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40" w:type="dxa"/>
            <w:vAlign w:val="bottom"/>
            <w:tcBorders>
              <w:top w:val="single" w:sz="8" w:color="0000FF"/>
            </w:tcBorders>
            <w:gridSpan w:val="8"/>
          </w:tcPr>
          <w:p>
            <w:pPr>
              <w:spacing w:after="0" w:line="152" w:lineRule="exact"/>
              <w:rPr>
                <w:sz w:val="20"/>
                <w:szCs w:val="20"/>
                <w:color w:val="auto"/>
              </w:rPr>
            </w:pPr>
            <w:r>
              <w:rPr>
                <w:rFonts w:ascii="Times New Roman" w:cs="Times New Roman" w:eastAsia="Times New Roman" w:hAnsi="Times New Roman"/>
                <w:sz w:val="16"/>
                <w:szCs w:val="16"/>
                <w:color w:val="0000FF"/>
              </w:rPr>
              <w:t>to Section 906 of the Sarbanes-Oxley Act of 2002.</w:t>
            </w:r>
            <w:r>
              <w:rPr>
                <w:rFonts w:ascii="Times New Roman" w:cs="Times New Roman" w:eastAsia="Times New Roman" w:hAnsi="Times New Roman"/>
                <w:sz w:val="16"/>
                <w:szCs w:val="16"/>
                <w:color w:val="000000"/>
              </w:rPr>
              <w:t>*</w:t>
            </w: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60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3"/>
                <w:szCs w:val="23"/>
                <w:color w:val="auto"/>
              </w:rPr>
            </w:pPr>
          </w:p>
        </w:tc>
        <w:tc>
          <w:tcPr>
            <w:tcW w:w="102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Certification of the Chief Financial Officer pursuant to Rule 13a-14(b) of the Exchange Act and 18 U.S.C. Section 1350, as adopted pursuant to</w:t>
            </w:r>
          </w:p>
        </w:tc>
      </w:tr>
      <w:tr>
        <w:trPr>
          <w:trHeight w:val="151"/>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60" w:type="dxa"/>
            <w:vAlign w:val="bottom"/>
            <w:tcBorders>
              <w:top w:val="single" w:sz="8" w:color="0000FF"/>
            </w:tcBorders>
            <w:gridSpan w:val="9"/>
          </w:tcPr>
          <w:p>
            <w:pPr>
              <w:spacing w:after="0" w:line="152" w:lineRule="exact"/>
              <w:rPr>
                <w:sz w:val="20"/>
                <w:szCs w:val="20"/>
                <w:color w:val="auto"/>
              </w:rPr>
            </w:pPr>
            <w:r>
              <w:rPr>
                <w:rFonts w:ascii="Times New Roman" w:cs="Times New Roman" w:eastAsia="Times New Roman" w:hAnsi="Times New Roman"/>
                <w:sz w:val="16"/>
                <w:szCs w:val="16"/>
                <w:color w:val="0000FF"/>
              </w:rPr>
              <w:t>Section 906 of the Sarbanes-Oxley Act of 2002.</w:t>
            </w:r>
            <w:r>
              <w:rPr>
                <w:rFonts w:ascii="Times New Roman" w:cs="Times New Roman" w:eastAsia="Times New Roman" w:hAnsi="Times New Roman"/>
                <w:sz w:val="16"/>
                <w:szCs w:val="16"/>
                <w:color w:val="000000"/>
              </w:rPr>
              <w:t>*</w:t>
            </w:r>
          </w:p>
        </w:tc>
        <w:tc>
          <w:tcPr>
            <w:tcW w:w="60" w:type="dxa"/>
            <w:vAlign w:val="bottom"/>
            <w:gridSpan w:val="3"/>
          </w:tcPr>
          <w:p>
            <w:pPr>
              <w:spacing w:after="0"/>
              <w:rPr>
                <w:sz w:val="13"/>
                <w:szCs w:val="13"/>
                <w:color w:val="auto"/>
              </w:rPr>
            </w:pPr>
          </w:p>
        </w:tc>
      </w:tr>
      <w:tr>
        <w:trPr>
          <w:trHeight w:val="308"/>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33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840" w:type="dxa"/>
            <w:vAlign w:val="bottom"/>
            <w:gridSpan w:val="11"/>
          </w:tcPr>
          <w:p>
            <w:pPr>
              <w:spacing w:after="0"/>
              <w:rPr>
                <w:sz w:val="24"/>
                <w:szCs w:val="24"/>
                <w:color w:val="auto"/>
              </w:rPr>
            </w:pPr>
          </w:p>
        </w:tc>
      </w:tr>
      <w:tr>
        <w:trPr>
          <w:trHeight w:val="27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102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7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102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7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102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7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102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7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24"/>
                <w:szCs w:val="24"/>
                <w:color w:val="auto"/>
              </w:rPr>
            </w:pPr>
          </w:p>
        </w:tc>
        <w:tc>
          <w:tcPr>
            <w:tcW w:w="102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w:t>
            </w:r>
          </w:p>
        </w:tc>
      </w:tr>
      <w:tr>
        <w:trPr>
          <w:trHeight w:val="27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2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53"/>
        </w:trPr>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8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bl>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exhibit will not be deemed “filed” for purposes of Section 18 of the Exchange Act, or otherwise subject to the liability of that section. Such exhibit will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760"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2025</w:t>
            </w:r>
          </w:p>
        </w:tc>
        <w:tc>
          <w:tcPr>
            <w:tcW w:w="792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500"/>
        </w:trPr>
        <w:tc>
          <w:tcPr>
            <w:tcW w:w="3280" w:type="dxa"/>
            <w:vAlign w:val="bottom"/>
          </w:tcPr>
          <w:p>
            <w:pPr>
              <w:spacing w:after="0"/>
              <w:rPr>
                <w:sz w:val="24"/>
                <w:szCs w:val="24"/>
                <w:color w:val="auto"/>
              </w:rPr>
            </w:pPr>
          </w:p>
        </w:tc>
        <w:tc>
          <w:tcPr>
            <w:tcW w:w="22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MAURIZIO NICOLELLI</w:t>
            </w:r>
          </w:p>
        </w:tc>
      </w:tr>
      <w:tr>
        <w:trPr>
          <w:trHeight w:val="125"/>
        </w:trPr>
        <w:tc>
          <w:tcPr>
            <w:tcW w:w="32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5680" w:type="dxa"/>
            <w:vAlign w:val="bottom"/>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MAURIZIO NICOLELLI</w:t>
            </w:r>
          </w:p>
        </w:tc>
      </w:tr>
      <w:tr>
        <w:trPr>
          <w:trHeight w:val="151"/>
        </w:trPr>
        <w:tc>
          <w:tcPr>
            <w:tcW w:w="32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568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Chief Financial Officer</w:t>
            </w:r>
          </w:p>
        </w:tc>
      </w:tr>
    </w:tbl>
    <w:p>
      <w:pPr>
        <w:ind w:left="5540"/>
        <w:spacing w:after="0"/>
        <w:rPr>
          <w:sz w:val="20"/>
          <w:szCs w:val="20"/>
          <w:color w:val="auto"/>
        </w:rPr>
      </w:pPr>
      <w:r>
        <w:rPr>
          <w:rFonts w:ascii="Times New Roman" w:cs="Times New Roman" w:eastAsia="Times New Roman" w:hAnsi="Times New Roman"/>
          <w:sz w:val="14"/>
          <w:szCs w:val="14"/>
          <w:b w:val="1"/>
          <w:bCs w:val="1"/>
          <w:color w:val="auto"/>
        </w:rPr>
        <w:t>(Duly Authorized Signatory, 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20"/>
          </w:cols>
          <w:pgMar w:left="320" w:top="356" w:right="35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Rohit Kapoor, certify that:</w:t>
      </w:r>
    </w:p>
    <w:p>
      <w:pPr>
        <w:spacing w:after="0" w:line="214" w:lineRule="exact"/>
        <w:rPr>
          <w:sz w:val="20"/>
          <w:szCs w:val="20"/>
          <w:color w:val="auto"/>
        </w:rPr>
      </w:pPr>
    </w:p>
    <w:p>
      <w:pPr>
        <w:ind w:left="400" w:hanging="395"/>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ExlService Holdings, Inc.;</w:t>
      </w:r>
    </w:p>
    <w:p>
      <w:pPr>
        <w:spacing w:after="0" w:line="214" w:lineRule="exact"/>
        <w:rPr>
          <w:rFonts w:ascii="Times New Roman" w:cs="Times New Roman" w:eastAsia="Times New Roman" w:hAnsi="Times New Roman"/>
          <w:sz w:val="18"/>
          <w:szCs w:val="18"/>
          <w:color w:val="auto"/>
        </w:rPr>
      </w:pPr>
    </w:p>
    <w:p>
      <w:pPr>
        <w:ind w:left="400" w:hanging="395"/>
        <w:spacing w:after="0" w:line="332" w:lineRule="auto"/>
        <w:tabs>
          <w:tab w:leader="none" w:pos="4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6"/>
          <w:szCs w:val="16"/>
          <w:color w:val="auto"/>
        </w:rPr>
      </w:pPr>
    </w:p>
    <w:p>
      <w:pPr>
        <w:ind w:left="400" w:hanging="395"/>
        <w:spacing w:after="0" w:line="268" w:lineRule="auto"/>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Times New Roman" w:cs="Times New Roman" w:eastAsia="Times New Roman" w:hAnsi="Times New Roman"/>
          <w:sz w:val="18"/>
          <w:szCs w:val="18"/>
          <w:color w:val="auto"/>
        </w:rPr>
      </w:pPr>
    </w:p>
    <w:p>
      <w:pPr>
        <w:jc w:val="both"/>
        <w:ind w:left="400" w:hanging="395"/>
        <w:spacing w:after="0" w:line="256" w:lineRule="auto"/>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Times New Roman" w:cs="Times New Roman" w:eastAsia="Times New Roman" w:hAnsi="Times New Roman"/>
          <w:sz w:val="18"/>
          <w:szCs w:val="18"/>
          <w:color w:val="auto"/>
        </w:rPr>
      </w:pPr>
    </w:p>
    <w:p>
      <w:pPr>
        <w:jc w:val="both"/>
        <w:ind w:left="720" w:hanging="320"/>
        <w:spacing w:after="0" w:line="256" w:lineRule="auto"/>
        <w:tabs>
          <w:tab w:leader="none" w:pos="71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720" w:hanging="320"/>
        <w:spacing w:after="0" w:line="256" w:lineRule="auto"/>
        <w:tabs>
          <w:tab w:leader="none" w:pos="7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720" w:hanging="320"/>
        <w:spacing w:after="0" w:line="268" w:lineRule="auto"/>
        <w:tabs>
          <w:tab w:leader="none" w:pos="71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Times New Roman" w:cs="Times New Roman" w:eastAsia="Times New Roman" w:hAnsi="Times New Roman"/>
          <w:sz w:val="18"/>
          <w:szCs w:val="18"/>
          <w:color w:val="auto"/>
        </w:rPr>
      </w:pPr>
    </w:p>
    <w:p>
      <w:pPr>
        <w:jc w:val="both"/>
        <w:ind w:left="720" w:hanging="320"/>
        <w:spacing w:after="0" w:line="256" w:lineRule="auto"/>
        <w:tabs>
          <w:tab w:leader="none" w:pos="7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400" w:hanging="395"/>
        <w:spacing w:after="0" w:line="268" w:lineRule="auto"/>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Times New Roman" w:cs="Times New Roman" w:eastAsia="Times New Roman" w:hAnsi="Times New Roman"/>
          <w:sz w:val="18"/>
          <w:szCs w:val="18"/>
          <w:color w:val="auto"/>
        </w:rPr>
      </w:pPr>
    </w:p>
    <w:p>
      <w:pPr>
        <w:ind w:left="720" w:hanging="320"/>
        <w:spacing w:after="0" w:line="268" w:lineRule="auto"/>
        <w:tabs>
          <w:tab w:leader="none" w:pos="71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Times New Roman" w:cs="Times New Roman" w:eastAsia="Times New Roman" w:hAnsi="Times New Roman"/>
          <w:sz w:val="18"/>
          <w:szCs w:val="18"/>
          <w:color w:val="auto"/>
        </w:rPr>
      </w:pPr>
    </w:p>
    <w:p>
      <w:pPr>
        <w:ind w:left="720" w:hanging="320"/>
        <w:spacing w:after="0" w:line="268" w:lineRule="auto"/>
        <w:tabs>
          <w:tab w:leader="none" w:pos="7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2025</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Rohit Kapoor</w:t>
            </w:r>
          </w:p>
        </w:tc>
      </w:tr>
      <w:tr>
        <w:trPr>
          <w:trHeight w:val="212"/>
        </w:trPr>
        <w:tc>
          <w:tcPr>
            <w:tcW w:w="610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Rohit Kapoor</w:t>
            </w:r>
          </w:p>
        </w:tc>
      </w:tr>
      <w:tr>
        <w:trPr>
          <w:trHeight w:val="228"/>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ectPr>
          <w:pgSz w:w="11900" w:h="16838" w:orient="portrait"/>
          <w:cols w:equalWidth="0" w:num="1">
            <w:col w:w="11240"/>
          </w:cols>
          <w:pgMar w:left="320" w:top="869"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Maurizio Nicolelli, certify that:</w:t>
      </w:r>
    </w:p>
    <w:p>
      <w:pPr>
        <w:spacing w:after="0" w:line="346" w:lineRule="exact"/>
        <w:rPr>
          <w:sz w:val="20"/>
          <w:szCs w:val="20"/>
          <w:color w:val="auto"/>
        </w:rPr>
      </w:pPr>
    </w:p>
    <w:p>
      <w:pPr>
        <w:ind w:left="400" w:hanging="395"/>
        <w:spacing w:after="0"/>
        <w:tabs>
          <w:tab w:leader="none" w:pos="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ExlService Holdings, Inc.;</w:t>
      </w:r>
    </w:p>
    <w:p>
      <w:pPr>
        <w:spacing w:after="0" w:line="214" w:lineRule="exact"/>
        <w:rPr>
          <w:rFonts w:ascii="Times New Roman" w:cs="Times New Roman" w:eastAsia="Times New Roman" w:hAnsi="Times New Roman"/>
          <w:sz w:val="18"/>
          <w:szCs w:val="18"/>
          <w:color w:val="auto"/>
        </w:rPr>
      </w:pPr>
    </w:p>
    <w:p>
      <w:pPr>
        <w:ind w:left="400" w:hanging="395"/>
        <w:spacing w:after="0" w:line="332" w:lineRule="auto"/>
        <w:tabs>
          <w:tab w:leader="none" w:pos="4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6"/>
          <w:szCs w:val="16"/>
          <w:color w:val="auto"/>
        </w:rPr>
      </w:pPr>
    </w:p>
    <w:p>
      <w:pPr>
        <w:ind w:left="400" w:hanging="395"/>
        <w:spacing w:after="0" w:line="268" w:lineRule="auto"/>
        <w:tabs>
          <w:tab w:leader="none" w:pos="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Times New Roman" w:cs="Times New Roman" w:eastAsia="Times New Roman" w:hAnsi="Times New Roman"/>
          <w:sz w:val="18"/>
          <w:szCs w:val="18"/>
          <w:color w:val="auto"/>
        </w:rPr>
      </w:pPr>
    </w:p>
    <w:p>
      <w:pPr>
        <w:jc w:val="both"/>
        <w:ind w:left="400" w:hanging="395"/>
        <w:spacing w:after="0" w:line="256" w:lineRule="auto"/>
        <w:tabs>
          <w:tab w:leader="none" w:pos="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Times New Roman" w:cs="Times New Roman" w:eastAsia="Times New Roman" w:hAnsi="Times New Roman"/>
          <w:sz w:val="18"/>
          <w:szCs w:val="18"/>
          <w:color w:val="auto"/>
        </w:rPr>
      </w:pPr>
    </w:p>
    <w:p>
      <w:pPr>
        <w:jc w:val="both"/>
        <w:ind w:left="720" w:hanging="320"/>
        <w:spacing w:after="0" w:line="256" w:lineRule="auto"/>
        <w:tabs>
          <w:tab w:leader="none" w:pos="71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720" w:hanging="320"/>
        <w:spacing w:after="0" w:line="256" w:lineRule="auto"/>
        <w:tabs>
          <w:tab w:leader="none" w:pos="7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720" w:hanging="320"/>
        <w:spacing w:after="0" w:line="268" w:lineRule="auto"/>
        <w:tabs>
          <w:tab w:leader="none" w:pos="71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Times New Roman" w:cs="Times New Roman" w:eastAsia="Times New Roman" w:hAnsi="Times New Roman"/>
          <w:sz w:val="18"/>
          <w:szCs w:val="18"/>
          <w:color w:val="auto"/>
        </w:rPr>
      </w:pPr>
    </w:p>
    <w:p>
      <w:pPr>
        <w:jc w:val="both"/>
        <w:ind w:left="720" w:hanging="320"/>
        <w:spacing w:after="0" w:line="256" w:lineRule="auto"/>
        <w:tabs>
          <w:tab w:leader="none" w:pos="7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400" w:hanging="395"/>
        <w:spacing w:after="0" w:line="268" w:lineRule="auto"/>
        <w:tabs>
          <w:tab w:leader="none" w:pos="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Times New Roman" w:cs="Times New Roman" w:eastAsia="Times New Roman" w:hAnsi="Times New Roman"/>
          <w:sz w:val="18"/>
          <w:szCs w:val="18"/>
          <w:color w:val="auto"/>
        </w:rPr>
      </w:pPr>
    </w:p>
    <w:p>
      <w:pPr>
        <w:ind w:left="720" w:hanging="320"/>
        <w:spacing w:after="0" w:line="268" w:lineRule="auto"/>
        <w:tabs>
          <w:tab w:leader="none" w:pos="71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Times New Roman" w:cs="Times New Roman" w:eastAsia="Times New Roman" w:hAnsi="Times New Roman"/>
          <w:sz w:val="18"/>
          <w:szCs w:val="18"/>
          <w:color w:val="auto"/>
        </w:rPr>
      </w:pPr>
    </w:p>
    <w:p>
      <w:pPr>
        <w:ind w:left="720" w:hanging="320"/>
        <w:spacing w:after="0" w:line="268" w:lineRule="auto"/>
        <w:tabs>
          <w:tab w:leader="none" w:pos="7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2025</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Maurizio Nicolelli</w:t>
            </w:r>
          </w:p>
        </w:tc>
      </w:tr>
      <w:tr>
        <w:trPr>
          <w:trHeight w:val="212"/>
        </w:trPr>
        <w:tc>
          <w:tcPr>
            <w:tcW w:w="58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Maurizio Nicolelli</w:t>
            </w:r>
          </w:p>
        </w:tc>
      </w:tr>
      <w:tr>
        <w:trPr>
          <w:trHeight w:val="228"/>
        </w:trPr>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69"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of ExlService Holdings, Inc. (the “Company”) on Form 10-Q for the period ended September 30, 2025 as filed with the Securities and Exchange Commission on the date hereof (the “Report”), I, Rohit Kapoor, Chairman and Chief Executive Officer of the Company, certify, pursuant to 18 U.S.C. Section 1350, as adopted pursuant to Section 906 of the Sarbanes-Oxley Act of 2002, that:</w:t>
      </w:r>
    </w:p>
    <w:p>
      <w:pPr>
        <w:spacing w:after="0" w:line="219" w:lineRule="exact"/>
        <w:rPr>
          <w:sz w:val="20"/>
          <w:szCs w:val="20"/>
          <w:color w:val="auto"/>
        </w:rPr>
      </w:pPr>
    </w:p>
    <w:p>
      <w:pPr>
        <w:ind w:left="320" w:hanging="315"/>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62750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Rohit Kapoor</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28, 2025</w:t>
      </w:r>
    </w:p>
    <w:p>
      <w:pPr>
        <w:sectPr>
          <w:pgSz w:w="11900" w:h="16838" w:orient="portrait"/>
          <w:cols w:equalWidth="0" w:num="1">
            <w:col w:w="11240"/>
          </w:cols>
          <w:pgMar w:left="320" w:top="869"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of ExlService Holdings, Inc. (the “Company”) on Form 10-Q for the period ended September 30, 2025 as filed with the Securities and Exchange Commission on the date hereof (the “Report”), I, Maurizio Nicolelli, Chief Financial Officer of the Company, certify, pursuant to 18 U.S.C. Section 1350, as adopted pursuant to Section 906 of the Sarbanes-Oxley Act of 2002, that:</w:t>
      </w:r>
    </w:p>
    <w:p>
      <w:pPr>
        <w:spacing w:after="0" w:line="180" w:lineRule="exact"/>
        <w:rPr>
          <w:sz w:val="20"/>
          <w:szCs w:val="20"/>
          <w:color w:val="auto"/>
        </w:rPr>
      </w:pPr>
    </w:p>
    <w:p>
      <w:pPr>
        <w:ind w:left="320" w:hanging="315"/>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48882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488823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Maurizio Nicolelli</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28, 2025</w:t>
      </w:r>
    </w:p>
    <w:sectPr>
      <w:pgSz w:w="11900" w:h="16838" w:orient="portrait"/>
      <w:cols w:equalWidth="0" w:num="1">
        <w:col w:w="11240"/>
      </w:cols>
      <w:pgMar w:left="320" w:top="8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decimal"/>
      <w:start w:val="2"/>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lvl w:ilvl="1">
      <w:lvlJc w:val="left"/>
      <w:lvlText w:val="(%2)"/>
      <w:numFmt w:val="decimal"/>
      <w:start w:val="1"/>
    </w:lvl>
  </w:abstractNum>
  <w:abstractNum w:abstractNumId="12">
    <w:nsid w:val="721DA317"/>
    <w:multiLevelType w:val="hybridMultilevel"/>
    <w:lvl w:ilvl="0">
      <w:lvlJc w:val="left"/>
      <w:lvlText w:val="%1."/>
      <w:numFmt w:val="decimal"/>
      <w:start w:val="7"/>
    </w:lvl>
    <w:lvl w:ilvl="1">
      <w:lvlJc w:val="left"/>
      <w:lvlText w:val="%2"/>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lvl w:ilvl="1">
      <w:lvlJc w:val="left"/>
      <w:lvlText w:val="(%2)"/>
      <w:numFmt w:val="decimal"/>
      <w:start w:val="1"/>
    </w:lvl>
  </w:abstractNum>
  <w:abstractNum w:abstractNumId="15">
    <w:nsid w:val="6763845E"/>
    <w:multiLevelType w:val="hybridMultilevel"/>
    <w:lvl w:ilvl="0">
      <w:lvlJc w:val="left"/>
      <w:lvlText w:val="%1."/>
      <w:numFmt w:val="decimal"/>
      <w:start w:val="16"/>
    </w:lvl>
    <w:lvl w:ilvl="1">
      <w:lvlJc w:val="left"/>
      <w:lvlText w:val="%2"/>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lowerLetter"/>
      <w:start w:val="1"/>
    </w:lvl>
  </w:abstractNum>
  <w:abstractNum w:abstractNumId="30">
    <w:nsid w:val="7C3DBD3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86" Type="http://schemas.openxmlformats.org/officeDocument/2006/relationships/hyperlink" Target="https://www.sec.gov/Archives/edgar/data/1297989/000110465924074734/tm2417789d1_ex3-1.htm" TargetMode="External"/><Relationship Id="rId87" Type="http://schemas.openxmlformats.org/officeDocument/2006/relationships/hyperlink" Target="https://www.sec.gov/Archives/edgar/data/1297989/000119312523171321/d52395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2025-10-28T15:27:06Z</dcterms:created>
  <dcterms:modified xsi:type="dcterms:W3CDTF">2025-10-28T15:27:06Z</dcterms:modified>
</cp:coreProperties>
</file>