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4"/>
          <w:szCs w:val="24"/>
          <w:color w:val="auto"/>
        </w:rPr>
      </w:pPr>
    </w:p>
    <w:p>
      <w:pPr>
        <w:spacing w:after="0" w:line="207" w:lineRule="exact"/>
        <w:tabs>
          <w:tab w:leader="none" w:pos="4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80"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00" w:hanging="452"/>
        <w:spacing w:after="0" w:line="308"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-190500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-533400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-1974215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-2660015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-3483610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274"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517525</wp:posOffset>
            </wp:positionV>
            <wp:extent cx="1543685" cy="103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436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4580"/>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0"/>
          <w:szCs w:val="20"/>
          <w:color w:val="auto"/>
        </w:rPr>
      </w:pPr>
    </w:p>
    <w:p>
      <w:pPr>
        <w:ind w:left="5560" w:hanging="462"/>
        <w:spacing w:after="0"/>
        <w:tabs>
          <w:tab w:leader="none" w:pos="5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277-7100</w:t>
      </w:r>
    </w:p>
    <w:p>
      <w:pPr>
        <w:spacing w:after="0" w:line="176" w:lineRule="exact"/>
        <w:rPr>
          <w:rFonts w:ascii="Arial" w:cs="Arial" w:eastAsia="Arial" w:hAnsi="Arial"/>
          <w:sz w:val="18"/>
          <w:szCs w:val="18"/>
          <w:b w:val="1"/>
          <w:bCs w:val="1"/>
          <w:color w:val="auto"/>
        </w:rPr>
      </w:pPr>
    </w:p>
    <w:p>
      <w:pPr>
        <w:ind w:left="4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Stockholders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17,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ind w:right="1060" w:firstLine="648"/>
        <w:spacing w:after="0" w:line="246"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2016 Annual Meeting of Stockholders, which will be held on June 17, 2016 in New York, New York.</w:t>
      </w:r>
    </w:p>
    <w:p>
      <w:pPr>
        <w:spacing w:after="0" w:line="183"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8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Pursuant to rules promulgated by the Securities and Exchange Commission, we are providing access to our proxy materials over the Internet. On or about April 29, 2016, we will mail a Notice of Internet Availability of Proxy Materials (the “Internet Notice”) to each of our stockholders of record and beneficial owners at the close of business on April 21, 2016,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9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126365</wp:posOffset>
            </wp:positionV>
            <wp:extent cx="128651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65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Garen K. Staglin</w:t>
      </w:r>
    </w:p>
    <w:p>
      <w:pPr>
        <w:ind w:left="800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551815</wp:posOffset>
            </wp:positionV>
            <wp:extent cx="1543685" cy="103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436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277-7100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are cordially invited to the 2016 Annual Meeting of Stockholders of ExlService Holdings, Inc., a Delaware corporation (the</w:t>
      </w:r>
    </w:p>
    <w:p>
      <w:pPr>
        <w:spacing w:after="0" w:line="181" w:lineRule="auto"/>
        <w:rPr>
          <w:sz w:val="20"/>
          <w:szCs w:val="20"/>
          <w:color w:val="auto"/>
        </w:rPr>
      </w:pPr>
      <w:r>
        <w:rPr>
          <w:rFonts w:ascii="Arial" w:cs="Arial" w:eastAsia="Arial" w:hAnsi="Arial"/>
          <w:sz w:val="17"/>
          <w:szCs w:val="17"/>
          <w:color w:val="auto"/>
        </w:rPr>
        <w:t>“Company”). The Annual Meeting will be held at the New York offices of the Company, 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w:t>
      </w:r>
    </w:p>
    <w:p>
      <w:pPr>
        <w:spacing w:after="0"/>
        <w:rPr>
          <w:sz w:val="20"/>
          <w:szCs w:val="20"/>
          <w:color w:val="auto"/>
        </w:rPr>
      </w:pPr>
      <w:r>
        <w:rPr>
          <w:rFonts w:ascii="Arial" w:cs="Arial" w:eastAsia="Arial" w:hAnsi="Arial"/>
          <w:sz w:val="18"/>
          <w:szCs w:val="18"/>
          <w:color w:val="auto"/>
        </w:rPr>
        <w:t>10017 on June 17, 2016 at 8:30 AM, Eastern Time, for the purposes of voting on the following matters:</w:t>
      </w:r>
    </w:p>
    <w:p>
      <w:pPr>
        <w:spacing w:after="0" w:line="198"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w:t>
      </w:r>
    </w:p>
    <w:p>
      <w:pPr>
        <w:spacing w:after="0" w:line="198" w:lineRule="exact"/>
        <w:rPr>
          <w:rFonts w:ascii="Arial" w:cs="Arial" w:eastAsia="Arial" w:hAnsi="Arial"/>
          <w:sz w:val="18"/>
          <w:szCs w:val="18"/>
          <w:color w:val="auto"/>
        </w:rPr>
      </w:pPr>
    </w:p>
    <w:p>
      <w:pPr>
        <w:ind w:left="880" w:right="140" w:hanging="440"/>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2016;</w:t>
      </w:r>
    </w:p>
    <w:p>
      <w:pPr>
        <w:spacing w:after="0" w:line="183"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and</w:t>
      </w:r>
    </w:p>
    <w:p>
      <w:pPr>
        <w:spacing w:after="0" w:line="198" w:lineRule="exact"/>
        <w:rPr>
          <w:rFonts w:ascii="Arial" w:cs="Arial" w:eastAsia="Arial" w:hAnsi="Arial"/>
          <w:sz w:val="18"/>
          <w:szCs w:val="18"/>
          <w:color w:val="auto"/>
        </w:rPr>
      </w:pPr>
    </w:p>
    <w:p>
      <w:pPr>
        <w:ind w:left="880" w:right="540" w:hanging="440"/>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183" w:lineRule="exact"/>
        <w:rPr>
          <w:sz w:val="20"/>
          <w:szCs w:val="20"/>
          <w:color w:val="auto"/>
        </w:rPr>
      </w:pPr>
    </w:p>
    <w:p>
      <w:pPr>
        <w:jc w:val="center"/>
        <w:ind w:right="180"/>
        <w:spacing w:after="0" w:line="234" w:lineRule="auto"/>
        <w:rPr>
          <w:sz w:val="20"/>
          <w:szCs w:val="20"/>
          <w:color w:val="auto"/>
        </w:rPr>
      </w:pPr>
      <w:r>
        <w:rPr>
          <w:rFonts w:ascii="Arial" w:cs="Arial" w:eastAsia="Arial" w:hAnsi="Arial"/>
          <w:sz w:val="18"/>
          <w:szCs w:val="18"/>
          <w:color w:val="auto"/>
        </w:rPr>
        <w:t>If you are a stockholder of record at the close of business on April 21, 2016, you are entitled to vote at the Annual Meeting. A list of stockholders as of the record date will be available for examination for any purpose germane to the Annual Meeting, during ordinary business</w:t>
      </w:r>
    </w:p>
    <w:p>
      <w:pPr>
        <w:spacing w:after="0" w:line="2" w:lineRule="exact"/>
        <w:rPr>
          <w:sz w:val="20"/>
          <w:szCs w:val="20"/>
          <w:color w:val="auto"/>
        </w:rPr>
      </w:pPr>
    </w:p>
    <w:p>
      <w:pPr>
        <w:ind w:right="120"/>
        <w:spacing w:after="0" w:line="199" w:lineRule="auto"/>
        <w:rPr>
          <w:sz w:val="20"/>
          <w:szCs w:val="20"/>
          <w:color w:val="auto"/>
        </w:rPr>
      </w:pPr>
      <w:r>
        <w:rPr>
          <w:rFonts w:ascii="Arial" w:cs="Arial" w:eastAsia="Arial" w:hAnsi="Arial"/>
          <w:sz w:val="18"/>
          <w:szCs w:val="18"/>
          <w:color w:val="auto"/>
        </w:rPr>
        <w:t>hours, at the Company’s executive offices at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for a period of 10 days prior to the date of the Annual Meeting and at the Annual Meeting itself.</w:t>
      </w:r>
    </w:p>
    <w:p>
      <w:pPr>
        <w:spacing w:after="0" w:line="190" w:lineRule="exact"/>
        <w:rPr>
          <w:sz w:val="20"/>
          <w:szCs w:val="20"/>
          <w:color w:val="auto"/>
        </w:rPr>
      </w:pPr>
    </w:p>
    <w:p>
      <w:pPr>
        <w:ind w:firstLine="441"/>
        <w:spacing w:after="0" w:line="248" w:lineRule="auto"/>
        <w:rPr>
          <w:sz w:val="20"/>
          <w:szCs w:val="20"/>
          <w:color w:val="auto"/>
        </w:rPr>
      </w:pPr>
      <w:r>
        <w:rPr>
          <w:rFonts w:ascii="Arial" w:cs="Arial" w:eastAsia="Arial" w:hAnsi="Arial"/>
          <w:sz w:val="17"/>
          <w:szCs w:val="17"/>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18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gridSpan w:val="7"/>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6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2016 PROXY STATEMENT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10860" w:type="dxa"/>
            <w:vAlign w:val="bottom"/>
            <w:gridSpan w:val="16"/>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INFORMATION CONCERNING VOTING AND SOLICITATION</w:t>
              </w:r>
            </w:hyperlink>
          </w:p>
        </w:tc>
        <w:tc>
          <w:tcPr>
            <w:tcW w:w="588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OUR BOARD OF DIRECTORS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85"/>
        </w:trPr>
        <w:tc>
          <w:tcPr>
            <w:tcW w:w="250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CORPORATE GOVERNANCE</w:t>
              </w:r>
            </w:hyperlink>
          </w:p>
        </w:tc>
        <w:tc>
          <w:tcPr>
            <w:tcW w:w="8360" w:type="dxa"/>
            <w:vAlign w:val="bottom"/>
            <w:gridSpan w:val="1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85"/>
        </w:trPr>
        <w:tc>
          <w:tcPr>
            <w:tcW w:w="2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OUR EXECUTIVE OFFICERS</w:t>
              </w:r>
            </w:hyperlink>
          </w:p>
        </w:tc>
        <w:tc>
          <w:tcPr>
            <w:tcW w:w="20" w:type="dxa"/>
            <w:vAlign w:val="bottom"/>
            <w:tcBorders>
              <w:top w:val="single" w:sz="8" w:color="0000EE"/>
            </w:tcBorders>
          </w:tcPr>
          <w:p>
            <w:pPr>
              <w:spacing w:after="0"/>
              <w:rPr>
                <w:sz w:val="24"/>
                <w:szCs w:val="24"/>
                <w:color w:val="auto"/>
              </w:rPr>
            </w:pPr>
          </w:p>
        </w:tc>
        <w:tc>
          <w:tcPr>
            <w:tcW w:w="8400" w:type="dxa"/>
            <w:vAlign w:val="bottom"/>
            <w:gridSpan w:val="1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COMPENSATION COMMITTEE REPORT</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STOCK OWNERSHIP OF DIRECTORS, EXECUTIVE OFFICERS AND CERTAIN BENEFICIAL OWNERS</w:t>
              </w:r>
            </w:hyperlink>
          </w:p>
        </w:tc>
        <w:tc>
          <w:tcPr>
            <w:tcW w:w="238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PERSON TRANSACTIONS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5"/>
        </w:trPr>
        <w:tc>
          <w:tcPr>
            <w:tcW w:w="5820" w:type="dxa"/>
            <w:vAlign w:val="bottom"/>
            <w:tcBorders>
              <w:top w:val="single" w:sz="8" w:color="0000EE"/>
            </w:tcBorders>
            <w:gridSpan w:val="1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 OF THE AUDIT COMMITTEE</w:t>
              </w:r>
            </w:hyperlink>
          </w:p>
        </w:tc>
        <w:tc>
          <w:tcPr>
            <w:tcW w:w="50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PROPOSAL 1: ELECTION OF DIRECTORS</w:t>
              </w:r>
            </w:hyperlink>
          </w:p>
        </w:tc>
        <w:tc>
          <w:tcPr>
            <w:tcW w:w="73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98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PROPOSAL 2: RATIFICATION OF THE APPOINTMENT OF INDEPENDENT REGISTERED PUBLIC ACCOUNTING FIRM</w:t>
              </w:r>
            </w:hyperlink>
          </w:p>
        </w:tc>
        <w:tc>
          <w:tcPr>
            <w:tcW w:w="10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PROPOSAL 3: ADVISORY (NON-BINDING) VOTE ON 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5440" w:type="dxa"/>
            <w:vAlign w:val="bottom"/>
            <w:gridSpan w:val="11"/>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STOCKHOLDER PROPOSALS AND DIRECTOR NOMINATIONS FOR THE 2017 ANNUAL MEETING</w:t>
              </w:r>
            </w:hyperlink>
          </w:p>
        </w:tc>
        <w:tc>
          <w:tcPr>
            <w:tcW w:w="266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5"/>
        </w:trPr>
        <w:tc>
          <w:tcPr>
            <w:tcW w:w="1540" w:type="dxa"/>
            <w:vAlign w:val="bottom"/>
            <w:tcBorders>
              <w:bottom w:val="single" w:sz="8" w:color="0000EE"/>
            </w:tcBorders>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MISCELLANEOUS</w:t>
              </w:r>
            </w:hyperlink>
          </w:p>
        </w:tc>
        <w:tc>
          <w:tcPr>
            <w:tcW w:w="932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669"/>
        </w:trPr>
        <w:tc>
          <w:tcPr>
            <w:tcW w:w="154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1F497C"/>
        </w:rPr>
        <w:t>2016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702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Summary</w:t>
      </w:r>
    </w:p>
    <w:p>
      <w:pPr>
        <w:spacing w:after="0" w:line="58"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540" w:type="dxa"/>
            <w:vAlign w:val="bottom"/>
            <w:tcBorders>
              <w:top w:val="single" w:sz="8" w:color="auto"/>
              <w:left w:val="single" w:sz="8" w:color="auto"/>
              <w:bottom w:val="single" w:sz="8" w:color="auto"/>
            </w:tcBorders>
            <w:shd w:val="clear" w:color="auto" w:fill="1F487D"/>
          </w:tcPr>
          <w:p>
            <w:pPr>
              <w:spacing w:after="0"/>
              <w:rPr>
                <w:sz w:val="21"/>
                <w:szCs w:val="21"/>
                <w:color w:val="auto"/>
              </w:rPr>
            </w:pPr>
          </w:p>
        </w:tc>
        <w:tc>
          <w:tcPr>
            <w:tcW w:w="9880" w:type="dxa"/>
            <w:vAlign w:val="bottom"/>
            <w:tcBorders>
              <w:top w:val="single" w:sz="8" w:color="auto"/>
              <w:bottom w:val="single" w:sz="8" w:color="auto"/>
              <w:right w:val="single" w:sz="8" w:color="auto"/>
            </w:tcBorders>
            <w:shd w:val="clear" w:color="auto" w:fill="1F487D"/>
          </w:tcPr>
          <w:p>
            <w:pPr>
              <w:ind w:left="2980"/>
              <w:spacing w:after="0"/>
              <w:rPr>
                <w:sz w:val="20"/>
                <w:szCs w:val="20"/>
                <w:color w:val="auto"/>
              </w:rPr>
            </w:pPr>
            <w:r>
              <w:rPr>
                <w:rFonts w:ascii="Arial" w:cs="Arial" w:eastAsia="Arial" w:hAnsi="Arial"/>
                <w:sz w:val="18"/>
                <w:szCs w:val="18"/>
                <w:b w:val="1"/>
                <w:bCs w:val="1"/>
                <w:color w:val="FFFFFF"/>
              </w:rPr>
              <w:t>Annual Meeting Information</w:t>
            </w:r>
          </w:p>
        </w:tc>
      </w:tr>
      <w:tr>
        <w:trPr>
          <w:trHeight w:val="223"/>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Time and Date: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8:30 AM (Eastern Time), June 17, 2016</w:t>
            </w:r>
          </w:p>
        </w:tc>
      </w:tr>
      <w:tr>
        <w:trPr>
          <w:trHeight w:val="405"/>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Record Date: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April 21, 2016</w:t>
            </w:r>
          </w:p>
        </w:tc>
      </w:tr>
      <w:tr>
        <w:trPr>
          <w:trHeight w:val="391"/>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Place: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ExlService Holdings, Inc.</w:t>
            </w:r>
          </w:p>
        </w:tc>
      </w:tr>
      <w:tr>
        <w:trPr>
          <w:trHeight w:val="203"/>
        </w:trPr>
        <w:tc>
          <w:tcPr>
            <w:tcW w:w="1540" w:type="dxa"/>
            <w:vAlign w:val="bottom"/>
            <w:tcBorders>
              <w:left w:val="single" w:sz="8" w:color="auto"/>
            </w:tcBorders>
          </w:tcPr>
          <w:p>
            <w:pPr>
              <w:spacing w:after="0"/>
              <w:rPr>
                <w:sz w:val="17"/>
                <w:szCs w:val="17"/>
                <w:color w:val="auto"/>
              </w:rPr>
            </w:pPr>
          </w:p>
        </w:tc>
        <w:tc>
          <w:tcPr>
            <w:tcW w:w="98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280 Park Avenue, 38th Floor</w:t>
            </w:r>
          </w:p>
        </w:tc>
      </w:tr>
      <w:tr>
        <w:trPr>
          <w:trHeight w:val="217"/>
        </w:trPr>
        <w:tc>
          <w:tcPr>
            <w:tcW w:w="1540" w:type="dxa"/>
            <w:vAlign w:val="bottom"/>
            <w:tcBorders>
              <w:left w:val="single" w:sz="8" w:color="auto"/>
            </w:tcBorders>
          </w:tcPr>
          <w:p>
            <w:pPr>
              <w:spacing w:after="0"/>
              <w:rPr>
                <w:sz w:val="18"/>
                <w:szCs w:val="18"/>
                <w:color w:val="auto"/>
              </w:rPr>
            </w:pP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New York, New York 10017</w:t>
            </w:r>
          </w:p>
        </w:tc>
      </w:tr>
      <w:tr>
        <w:trPr>
          <w:trHeight w:val="392"/>
        </w:trPr>
        <w:tc>
          <w:tcPr>
            <w:tcW w:w="1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Voting:</w:t>
            </w:r>
          </w:p>
        </w:tc>
        <w:tc>
          <w:tcPr>
            <w:tcW w:w="9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Stockholders as of the record date are entitled to vote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603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03375"/>
                    </a:xfrm>
                    <a:prstGeom prst="rect">
                      <a:avLst/>
                    </a:prstGeom>
                    <a:noFill/>
                  </pic:spPr>
                </pic:pic>
              </a:graphicData>
            </a:graphic>
          </wp:anchor>
        </w:drawing>
      </w: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FFFFFF"/>
        </w:rPr>
        <w:t>Meeting Agenda, Voting Matters and Recommendations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the following proposals:</w:t>
      </w:r>
    </w:p>
    <w:p>
      <w:pPr>
        <w:spacing w:after="0" w:line="234" w:lineRule="exact"/>
        <w:rPr>
          <w:sz w:val="20"/>
          <w:szCs w:val="20"/>
          <w:color w:val="auto"/>
        </w:rPr>
      </w:pPr>
    </w:p>
    <w:p>
      <w:pPr>
        <w:ind w:left="920" w:hanging="52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 (page 77);</w:t>
      </w:r>
    </w:p>
    <w:p>
      <w:pPr>
        <w:spacing w:after="0" w:line="198" w:lineRule="exact"/>
        <w:rPr>
          <w:rFonts w:ascii="Arial" w:cs="Arial" w:eastAsia="Arial" w:hAnsi="Arial"/>
          <w:sz w:val="18"/>
          <w:szCs w:val="18"/>
          <w:color w:val="auto"/>
        </w:rPr>
      </w:pPr>
    </w:p>
    <w:p>
      <w:pPr>
        <w:ind w:left="920" w:right="80" w:hanging="521"/>
        <w:spacing w:after="0" w:line="24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2016 (page 78);</w:t>
      </w:r>
    </w:p>
    <w:p>
      <w:pPr>
        <w:spacing w:after="0" w:line="183" w:lineRule="exact"/>
        <w:rPr>
          <w:rFonts w:ascii="Arial" w:cs="Arial" w:eastAsia="Arial" w:hAnsi="Arial"/>
          <w:sz w:val="18"/>
          <w:szCs w:val="18"/>
          <w:color w:val="auto"/>
        </w:rPr>
      </w:pPr>
    </w:p>
    <w:p>
      <w:pPr>
        <w:ind w:left="920" w:hanging="52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(page 80) (non-binding vote); and</w:t>
      </w:r>
    </w:p>
    <w:p>
      <w:pPr>
        <w:spacing w:after="0" w:line="198" w:lineRule="exact"/>
        <w:rPr>
          <w:rFonts w:ascii="Arial" w:cs="Arial" w:eastAsia="Arial" w:hAnsi="Arial"/>
          <w:sz w:val="18"/>
          <w:szCs w:val="18"/>
          <w:color w:val="auto"/>
        </w:rPr>
      </w:pPr>
    </w:p>
    <w:p>
      <w:pPr>
        <w:ind w:left="920" w:right="480" w:hanging="521"/>
        <w:spacing w:after="0" w:line="24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32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Nominations</w:t>
      </w:r>
      <w:r>
        <w:rPr>
          <w:rFonts w:ascii="Arial" w:cs="Arial" w:eastAsia="Arial" w:hAnsi="Arial"/>
          <w:sz w:val="30"/>
          <w:szCs w:val="30"/>
          <w:b w:val="1"/>
          <w:bCs w:val="1"/>
          <w:color w:val="FFFFFF"/>
          <w:vertAlign w:val="superscript"/>
        </w:rPr>
        <w:t>(1)</w:t>
      </w: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right w:val="single" w:sz="8" w:color="auto"/>
            </w:tcBorders>
            <w:shd w:val="clear" w:color="auto" w:fill="C6D9F1"/>
          </w:tcPr>
          <w:p>
            <w:pPr>
              <w:spacing w:after="0"/>
              <w:rPr>
                <w:sz w:val="13"/>
                <w:szCs w:val="13"/>
                <w:color w:val="auto"/>
              </w:rPr>
            </w:pPr>
          </w:p>
        </w:tc>
        <w:tc>
          <w:tcPr>
            <w:tcW w:w="3860" w:type="dxa"/>
            <w:vAlign w:val="bottom"/>
            <w:tcBorders>
              <w:top w:val="single" w:sz="8" w:color="auto"/>
              <w:right w:val="single" w:sz="8" w:color="auto"/>
            </w:tcBorders>
            <w:shd w:val="clear" w:color="auto" w:fill="C6D9F1"/>
          </w:tcPr>
          <w:p>
            <w:pPr>
              <w:spacing w:after="0"/>
              <w:rPr>
                <w:sz w:val="13"/>
                <w:szCs w:val="13"/>
                <w:color w:val="auto"/>
              </w:rPr>
            </w:pPr>
          </w:p>
        </w:tc>
        <w:tc>
          <w:tcPr>
            <w:tcW w:w="1500" w:type="dxa"/>
            <w:vAlign w:val="bottom"/>
            <w:tcBorders>
              <w:top w:val="single" w:sz="8" w:color="auto"/>
              <w:right w:val="single" w:sz="8" w:color="auto"/>
            </w:tcBorders>
            <w:shd w:val="clear" w:color="auto" w:fill="C6D9F1"/>
          </w:tcPr>
          <w:p>
            <w:pPr>
              <w:spacing w:after="0"/>
              <w:rPr>
                <w:sz w:val="13"/>
                <w:szCs w:val="13"/>
                <w:color w:val="auto"/>
              </w:rPr>
            </w:pPr>
          </w:p>
        </w:tc>
        <w:tc>
          <w:tcPr>
            <w:tcW w:w="1700" w:type="dxa"/>
            <w:vAlign w:val="bottom"/>
            <w:tcBorders>
              <w:top w:val="single" w:sz="8" w:color="auto"/>
              <w:right w:val="single" w:sz="8" w:color="auto"/>
            </w:tcBorders>
            <w:shd w:val="clear" w:color="auto" w:fill="C6D9F1"/>
          </w:tcPr>
          <w:p>
            <w:pPr>
              <w:spacing w:after="0"/>
              <w:rPr>
                <w:sz w:val="13"/>
                <w:szCs w:val="13"/>
                <w:color w:val="auto"/>
              </w:rPr>
            </w:pPr>
          </w:p>
        </w:tc>
        <w:tc>
          <w:tcPr>
            <w:tcW w:w="1900" w:type="dxa"/>
            <w:vAlign w:val="bottom"/>
            <w:tcBorders>
              <w:top w:val="single" w:sz="8" w:color="auto"/>
            </w:tcBorders>
            <w:shd w:val="clear" w:color="auto" w:fill="C6D9F1"/>
          </w:tcPr>
          <w:p>
            <w:pPr>
              <w:jc w:val="center"/>
              <w:spacing w:after="0" w:line="156" w:lineRule="exact"/>
              <w:rPr>
                <w:sz w:val="20"/>
                <w:szCs w:val="20"/>
                <w:color w:val="auto"/>
              </w:rPr>
            </w:pPr>
            <w:r>
              <w:rPr>
                <w:rFonts w:ascii="Arial" w:cs="Arial" w:eastAsia="Arial" w:hAnsi="Arial"/>
                <w:sz w:val="14"/>
                <w:szCs w:val="14"/>
                <w:b w:val="1"/>
                <w:bCs w:val="1"/>
                <w:color w:val="auto"/>
              </w:rPr>
              <w:t>Nominating and</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shd w:val="clear" w:color="auto" w:fill="C6D9F1"/>
          </w:tcPr>
          <w:p>
            <w:pPr>
              <w:spacing w:after="0"/>
              <w:rPr>
                <w:sz w:val="14"/>
                <w:szCs w:val="14"/>
                <w:color w:val="auto"/>
              </w:rPr>
            </w:pPr>
          </w:p>
        </w:tc>
        <w:tc>
          <w:tcPr>
            <w:tcW w:w="3860" w:type="dxa"/>
            <w:vAlign w:val="bottom"/>
            <w:tcBorders>
              <w:right w:val="single" w:sz="8" w:color="auto"/>
            </w:tcBorders>
            <w:shd w:val="clear" w:color="auto" w:fill="C6D9F1"/>
          </w:tcPr>
          <w:p>
            <w:pPr>
              <w:spacing w:after="0"/>
              <w:rPr>
                <w:sz w:val="14"/>
                <w:szCs w:val="14"/>
                <w:color w:val="auto"/>
              </w:rPr>
            </w:pPr>
          </w:p>
        </w:tc>
        <w:tc>
          <w:tcPr>
            <w:tcW w:w="1500" w:type="dxa"/>
            <w:vAlign w:val="bottom"/>
            <w:tcBorders>
              <w:right w:val="single" w:sz="8" w:color="auto"/>
            </w:tcBorders>
            <w:shd w:val="clear" w:color="auto" w:fill="C6D9F1"/>
          </w:tcPr>
          <w:p>
            <w:pPr>
              <w:spacing w:after="0"/>
              <w:rPr>
                <w:sz w:val="14"/>
                <w:szCs w:val="14"/>
                <w:color w:val="auto"/>
              </w:rPr>
            </w:pPr>
          </w:p>
        </w:tc>
        <w:tc>
          <w:tcPr>
            <w:tcW w:w="1700" w:type="dxa"/>
            <w:vAlign w:val="bottom"/>
            <w:tcBorders>
              <w:right w:val="single" w:sz="8" w:color="auto"/>
            </w:tcBorders>
            <w:shd w:val="clear" w:color="auto" w:fill="C6D9F1"/>
          </w:tcPr>
          <w:p>
            <w:pPr>
              <w:spacing w:after="0"/>
              <w:rPr>
                <w:sz w:val="14"/>
                <w:szCs w:val="14"/>
                <w:color w:val="auto"/>
              </w:rPr>
            </w:pPr>
          </w:p>
        </w:tc>
        <w:tc>
          <w:tcPr>
            <w:tcW w:w="190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Name</w:t>
            </w:r>
          </w:p>
        </w:tc>
        <w:tc>
          <w:tcPr>
            <w:tcW w:w="3860" w:type="dxa"/>
            <w:vAlign w:val="bottom"/>
            <w:tcBorders>
              <w:right w:val="single" w:sz="8" w:color="auto"/>
            </w:tcBorders>
            <w:shd w:val="clear" w:color="auto" w:fill="C6D9F1"/>
          </w:tcPr>
          <w:p>
            <w:pPr>
              <w:spacing w:after="0"/>
              <w:rPr>
                <w:sz w:val="14"/>
                <w:szCs w:val="14"/>
                <w:color w:val="auto"/>
              </w:rPr>
            </w:pPr>
          </w:p>
        </w:tc>
        <w:tc>
          <w:tcPr>
            <w:tcW w:w="150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Audit</w:t>
            </w:r>
          </w:p>
        </w:tc>
        <w:tc>
          <w:tcPr>
            <w:tcW w:w="170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Compensation</w:t>
            </w:r>
          </w:p>
        </w:tc>
        <w:tc>
          <w:tcPr>
            <w:tcW w:w="190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Governance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(Year Joined Board)</w:t>
            </w:r>
          </w:p>
        </w:tc>
        <w:tc>
          <w:tcPr>
            <w:tcW w:w="3860" w:type="dxa"/>
            <w:vAlign w:val="bottom"/>
            <w:tcBorders>
              <w:bottom w:val="single" w:sz="8" w:color="auto"/>
              <w:right w:val="single" w:sz="8" w:color="auto"/>
            </w:tcBorders>
            <w:shd w:val="clear" w:color="auto" w:fill="C6D9F1"/>
          </w:tcPr>
          <w:p>
            <w:pPr>
              <w:ind w:left="1200"/>
              <w:spacing w:after="0"/>
              <w:rPr>
                <w:sz w:val="20"/>
                <w:szCs w:val="20"/>
                <w:color w:val="auto"/>
              </w:rPr>
            </w:pPr>
            <w:r>
              <w:rPr>
                <w:rFonts w:ascii="Arial" w:cs="Arial" w:eastAsia="Arial" w:hAnsi="Arial"/>
                <w:sz w:val="14"/>
                <w:szCs w:val="14"/>
                <w:b w:val="1"/>
                <w:bCs w:val="1"/>
                <w:color w:val="auto"/>
              </w:rPr>
              <w:t>Principal Occupation</w:t>
            </w:r>
          </w:p>
        </w:tc>
        <w:tc>
          <w:tcPr>
            <w:tcW w:w="15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190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Rohit Kapoor</w:t>
            </w: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Vice Chairman &amp; CEO since April 2012; co-</w:t>
            </w:r>
          </w:p>
        </w:tc>
        <w:tc>
          <w:tcPr>
            <w:tcW w:w="15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(November 2002)</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founder of Company in 1999</w:t>
            </w:r>
          </w:p>
        </w:tc>
        <w:tc>
          <w:tcPr>
            <w:tcW w:w="15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Anne Minto</w:t>
            </w: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Independent Director; lawyer and formerly</w:t>
            </w:r>
          </w:p>
        </w:tc>
        <w:tc>
          <w:tcPr>
            <w:tcW w:w="15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1F497C"/>
                <w:w w:val="99"/>
              </w:rPr>
              <w:t>ü</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1F497C"/>
                <w:w w:val="99"/>
              </w:rPr>
              <w:t>ü</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(March 2013)</w:t>
            </w:r>
          </w:p>
        </w:tc>
        <w:tc>
          <w:tcPr>
            <w:tcW w:w="3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held senior management roles at Shell UK</w:t>
            </w:r>
          </w:p>
        </w:tc>
        <w:tc>
          <w:tcPr>
            <w:tcW w:w="15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 Smiths Group plc</w:t>
            </w:r>
          </w:p>
        </w:tc>
        <w:tc>
          <w:tcPr>
            <w:tcW w:w="15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standing committees consist of independent directors. As such, Mr. Kapoor is not a member of any of those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F497C"/>
        </w:rPr>
        <w:t>Our Business</w:t>
      </w:r>
    </w:p>
    <w:p>
      <w:pPr>
        <w:spacing w:after="0" w:line="22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EXL is a leading operations management and analytics company that helps businesses enhance growth and profitability in the face of relentless competition and continuous disruption. Using our proprietary award-winning Business EXLerator Framework™, which integrate analytics, automation, benchmarking, BPO, consulting, industry best practices and technology platforms EXL looks deeper to help companies improve global operations, enhance data-driven insights, increase customer satisfaction, and manage risk and compliance. EXL serves the insurance, healthcare, banking and financial services, utilities, and travel, transportation and logistics industries. Headquartered in New York, New York, EXL has more than 24,000 professionals in locations throughout the United States, Europe, Asia (primarily India and Philippines), Latin America, Australia and South Africa.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1F497C"/>
        </w:rPr>
        <w:t>Performance Highlights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449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Company 3 Year Performance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Select Revenue and Segment Information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auto"/>
              <w:bottom w:val="single" w:sz="8" w:color="auto"/>
              <w:right w:val="single" w:sz="8" w:color="auto"/>
            </w:tcBorders>
            <w:shd w:val="clear" w:color="auto" w:fill="C6D9F1"/>
          </w:tcPr>
          <w:p>
            <w:pPr>
              <w:ind w:left="2300"/>
              <w:spacing w:after="0"/>
              <w:rPr>
                <w:sz w:val="20"/>
                <w:szCs w:val="20"/>
                <w:color w:val="auto"/>
              </w:rPr>
            </w:pPr>
            <w:r>
              <w:rPr>
                <w:rFonts w:ascii="Arial" w:cs="Arial" w:eastAsia="Arial" w:hAnsi="Arial"/>
                <w:sz w:val="18"/>
                <w:szCs w:val="18"/>
                <w:b w:val="1"/>
                <w:bCs w:val="1"/>
                <w:color w:val="auto"/>
              </w:rPr>
              <w:t>Financial Metric</w:t>
            </w:r>
          </w:p>
        </w:tc>
        <w:tc>
          <w:tcPr>
            <w:tcW w:w="126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2013</w:t>
            </w:r>
          </w:p>
        </w:tc>
        <w:tc>
          <w:tcPr>
            <w:tcW w:w="204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2014</w:t>
            </w:r>
          </w:p>
        </w:tc>
        <w:tc>
          <w:tcPr>
            <w:tcW w:w="2140" w:type="dxa"/>
            <w:vAlign w:val="bottom"/>
            <w:tcBorders>
              <w:top w:val="single" w:sz="8" w:color="auto"/>
              <w:bottom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Borders>
              <w:top w:val="single" w:sz="8" w:color="auto"/>
              <w:bottom w:val="single" w:sz="8" w:color="auto"/>
            </w:tcBorders>
          </w:tcPr>
          <w:p>
            <w:pPr>
              <w:spacing w:after="0"/>
              <w:rPr>
                <w:sz w:val="19"/>
                <w:szCs w:val="19"/>
                <w:color w:val="auto"/>
              </w:rPr>
            </w:pPr>
          </w:p>
        </w:tc>
      </w:tr>
      <w:tr>
        <w:trPr>
          <w:trHeight w:val="209"/>
        </w:trPr>
        <w:tc>
          <w:tcPr>
            <w:tcW w:w="5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Consolidated 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$478.5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$499.3 (4.4%)</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$628.5 (25.9%)</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(Year-over-year growth %)</w:t>
            </w:r>
          </w:p>
        </w:tc>
        <w:tc>
          <w:tcPr>
            <w:tcW w:w="12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Consolidated Revenue Excluding Disentanglement* (Year-over-year</w:t>
            </w:r>
          </w:p>
        </w:tc>
        <w:tc>
          <w:tcPr>
            <w:tcW w:w="126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$478.8</w:t>
            </w:r>
          </w:p>
        </w:tc>
        <w:tc>
          <w:tcPr>
            <w:tcW w:w="204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$525.6 (9.8%)</w:t>
            </w:r>
          </w:p>
        </w:tc>
        <w:tc>
          <w:tcPr>
            <w:tcW w:w="21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$628.5 (19.6%)</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growth %)</w:t>
            </w:r>
          </w:p>
        </w:tc>
        <w:tc>
          <w:tcPr>
            <w:tcW w:w="1260" w:type="dxa"/>
            <w:vAlign w:val="bottom"/>
            <w:tcBorders>
              <w:bottom w:val="single" w:sz="8" w:color="auto"/>
              <w:right w:val="single" w:sz="8" w:color="auto"/>
            </w:tcBorders>
            <w:shd w:val="clear" w:color="auto" w:fill="C6D9F1"/>
          </w:tcPr>
          <w:p>
            <w:pPr>
              <w:spacing w:after="0"/>
              <w:rPr>
                <w:sz w:val="18"/>
                <w:szCs w:val="18"/>
                <w:color w:val="auto"/>
              </w:rPr>
            </w:pPr>
          </w:p>
        </w:tc>
        <w:tc>
          <w:tcPr>
            <w:tcW w:w="2040" w:type="dxa"/>
            <w:vAlign w:val="bottom"/>
            <w:tcBorders>
              <w:bottom w:val="single" w:sz="8" w:color="auto"/>
              <w:right w:val="single" w:sz="8" w:color="auto"/>
            </w:tcBorders>
            <w:shd w:val="clear" w:color="auto" w:fill="C6D9F1"/>
          </w:tcPr>
          <w:p>
            <w:pPr>
              <w:spacing w:after="0"/>
              <w:rPr>
                <w:sz w:val="18"/>
                <w:szCs w:val="18"/>
                <w:color w:val="auto"/>
              </w:rPr>
            </w:pPr>
          </w:p>
        </w:tc>
        <w:tc>
          <w:tcPr>
            <w:tcW w:w="2140" w:type="dxa"/>
            <w:vAlign w:val="bottom"/>
            <w:tcBorders>
              <w:bottom w:val="single" w:sz="8" w:color="auto"/>
            </w:tcBorders>
            <w:shd w:val="clear" w:color="auto" w:fill="C6D9F1"/>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Operations Management 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$433.0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$433.7 (0.2%)</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$506.3 (16.7%)</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(Year-over-Year Growth %)</w:t>
            </w:r>
          </w:p>
        </w:tc>
        <w:tc>
          <w:tcPr>
            <w:tcW w:w="12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3"/>
        </w:trPr>
        <w:tc>
          <w:tcPr>
            <w:tcW w:w="59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Analytics Revenue (Year-over-Year Growth %)</w:t>
            </w:r>
          </w:p>
        </w:tc>
        <w:tc>
          <w:tcPr>
            <w:tcW w:w="12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$45.5</w:t>
            </w:r>
          </w:p>
        </w:tc>
        <w:tc>
          <w:tcPr>
            <w:tcW w:w="204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$65.6 (44.2%)</w:t>
            </w:r>
          </w:p>
        </w:tc>
        <w:tc>
          <w:tcPr>
            <w:tcW w:w="214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$122.2 (86.3%)</w:t>
            </w:r>
          </w:p>
        </w:tc>
        <w:tc>
          <w:tcPr>
            <w:tcW w:w="20" w:type="dxa"/>
            <w:vAlign w:val="bottom"/>
            <w:tcBorders>
              <w:bottom w:val="single" w:sz="8" w:color="auto"/>
            </w:tcBorders>
          </w:tcPr>
          <w:p>
            <w:pPr>
              <w:spacing w:after="0"/>
              <w:rPr>
                <w:sz w:val="19"/>
                <w:szCs w:val="19"/>
                <w:color w:val="auto"/>
              </w:rPr>
            </w:pPr>
          </w:p>
        </w:tc>
      </w:tr>
    </w:tbl>
    <w:p>
      <w:pPr>
        <w:spacing w:after="0" w:line="207" w:lineRule="exact"/>
        <w:rPr>
          <w:sz w:val="20"/>
          <w:szCs w:val="20"/>
          <w:color w:val="auto"/>
        </w:rPr>
      </w:pPr>
    </w:p>
    <w:p>
      <w:pPr>
        <w:ind w:right="20" w:firstLine="8"/>
        <w:spacing w:after="0" w:line="258"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the reimbursement of disentanglement costs of $0.3 million and $26.3 million in 2013 and 2014, respectively, for a disclosed client issue. Please refer to our SEC filings, including our most recent Annual Report on Form 10-K, for additional information regarding this reimbursement.</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improved our annual revenues from $499.3 million ($ 525.6 million excluding the reimbursement of one-time disentanglement costs of $26.3 million) in fiscal year 2014 to $628.5 million in fiscal year 2015, and also achieved the following:</w:t>
      </w:r>
    </w:p>
    <w:p>
      <w:pPr>
        <w:spacing w:after="0" w:line="183" w:lineRule="exact"/>
        <w:rPr>
          <w:sz w:val="20"/>
          <w:szCs w:val="20"/>
          <w:color w:val="auto"/>
        </w:rPr>
      </w:pPr>
    </w:p>
    <w:p>
      <w:pPr>
        <w:ind w:left="660" w:right="32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acquisition of RPM Direct LLC (an analytics firm which specializes in analyzing large consumer data sets to segment populations, predict response rates, forecast customer lifetime value, design and execute targeted, multi-channel marketing campaigns)</w:t>
      </w:r>
    </w:p>
    <w:p>
      <w:pPr>
        <w:spacing w:after="0" w:line="189"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formed a joint venture with Carvajal S.A.S. that should allow EXL to address the growing demand for Spanish and bilingual Operations Management solutions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won 34 new clients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received numerous awards and industry recognition</w:t>
      </w:r>
    </w:p>
    <w:p>
      <w:pPr>
        <w:spacing w:after="0" w:line="211" w:lineRule="exact"/>
        <w:rPr>
          <w:rFonts w:ascii="Arial" w:cs="Arial" w:eastAsia="Arial" w:hAnsi="Arial"/>
          <w:sz w:val="18"/>
          <w:szCs w:val="18"/>
          <w:color w:val="auto"/>
        </w:rPr>
      </w:pPr>
    </w:p>
    <w:p>
      <w:pPr>
        <w:ind w:left="660" w:right="46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opened new delivery centers in Cape Town, South Africa, Bogota and Cali, Colombia and a new Analytics Center of Excellence in Gurgaon, India.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these and other business highlights, please see page 23 and our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As shown in the following table, our 1-year, 3-year and 5-year total stockholder return outperformed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126365</wp:posOffset>
            </wp:positionV>
            <wp:extent cx="5574030" cy="1526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Cumulative growth rate as of December 31, 2015.</w:t>
      </w:r>
    </w:p>
    <w:p>
      <w:pPr>
        <w:spacing w:after="0" w:line="1" w:lineRule="exact"/>
        <w:rPr>
          <w:rFonts w:ascii="Arial" w:cs="Arial" w:eastAsia="Arial" w:hAnsi="Arial"/>
          <w:sz w:val="14"/>
          <w:szCs w:val="14"/>
          <w:color w:val="auto"/>
        </w:rPr>
      </w:pPr>
    </w:p>
    <w:p>
      <w:pPr>
        <w:ind w:left="660" w:hanging="328"/>
        <w:spacing w:after="0" w:line="25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Peer group TSR data excludes iGate and Sapient, as these companies were acquired in 2015; Solera Holdings, which was taken private in March 2016, is included in peer group TSR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C"/>
        </w:rPr>
        <w:t>2015 Compensation Highlights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bottom w:val="single" w:sz="8" w:color="auto"/>
              <w:right w:val="single" w:sz="8" w:color="1F497C"/>
            </w:tcBorders>
            <w:shd w:val="clear" w:color="auto" w:fill="1F497C"/>
          </w:tcPr>
          <w:p>
            <w:pPr>
              <w:spacing w:after="0"/>
              <w:rPr>
                <w:sz w:val="21"/>
                <w:szCs w:val="21"/>
                <w:color w:val="auto"/>
              </w:rPr>
            </w:pPr>
          </w:p>
        </w:tc>
        <w:tc>
          <w:tcPr>
            <w:tcW w:w="7960" w:type="dxa"/>
            <w:vAlign w:val="bottom"/>
            <w:tcBorders>
              <w:top w:val="single" w:sz="8" w:color="auto"/>
              <w:bottom w:val="single" w:sz="8" w:color="auto"/>
              <w:right w:val="single" w:sz="8" w:color="auto"/>
            </w:tcBorders>
            <w:shd w:val="clear" w:color="auto" w:fill="1F497C"/>
          </w:tcPr>
          <w:p>
            <w:pPr>
              <w:ind w:left="1140"/>
              <w:spacing w:after="0"/>
              <w:rPr>
                <w:sz w:val="20"/>
                <w:szCs w:val="20"/>
                <w:color w:val="auto"/>
              </w:rPr>
            </w:pPr>
            <w:r>
              <w:rPr>
                <w:rFonts w:ascii="Arial" w:cs="Arial" w:eastAsia="Arial" w:hAnsi="Arial"/>
                <w:sz w:val="18"/>
                <w:szCs w:val="18"/>
                <w:b w:val="1"/>
                <w:bCs w:val="1"/>
                <w:color w:val="FFFFFF"/>
              </w:rPr>
              <w:t>Named Executive Officers</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480"/>
              <w:spacing w:after="0"/>
              <w:rPr>
                <w:sz w:val="20"/>
                <w:szCs w:val="20"/>
                <w:color w:val="auto"/>
              </w:rPr>
            </w:pPr>
            <w:r>
              <w:rPr>
                <w:rFonts w:ascii="Arial" w:cs="Arial" w:eastAsia="Arial" w:hAnsi="Arial"/>
                <w:sz w:val="18"/>
                <w:szCs w:val="18"/>
                <w:color w:val="auto"/>
              </w:rPr>
              <w:t>Name</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Title</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Rohit Kapoor</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Vice Chairman and CEO</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Vishal Chhibbar</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Executive Vice President and CFO</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Pavan Bagai</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President and Chief Operating Officer</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Nalin Miglani</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Henry Schweppe</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Former President, Global Business and Marketing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269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2015 Standard Annual Compensation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Borders>
              <w:top w:val="single" w:sz="8" w:color="auto"/>
              <w:right w:val="single" w:sz="8" w:color="auto"/>
            </w:tcBorders>
            <w:shd w:val="clear" w:color="auto" w:fill="C6D9F1"/>
          </w:tcPr>
          <w:p>
            <w:pPr>
              <w:ind w:left="1060"/>
              <w:spacing w:after="0"/>
              <w:rPr>
                <w:sz w:val="20"/>
                <w:szCs w:val="20"/>
                <w:color w:val="auto"/>
              </w:rPr>
            </w:pPr>
            <w:r>
              <w:rPr>
                <w:rFonts w:ascii="Arial" w:cs="Arial" w:eastAsia="Arial" w:hAnsi="Arial"/>
                <w:sz w:val="18"/>
                <w:szCs w:val="18"/>
                <w:color w:val="auto"/>
              </w:rPr>
              <w:t>Compensation</w:t>
            </w:r>
          </w:p>
        </w:tc>
        <w:tc>
          <w:tcPr>
            <w:tcW w:w="17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Rohit</w:t>
            </w:r>
          </w:p>
        </w:tc>
        <w:tc>
          <w:tcPr>
            <w:tcW w:w="170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Vishal</w:t>
            </w:r>
          </w:p>
        </w:tc>
        <w:tc>
          <w:tcPr>
            <w:tcW w:w="1480" w:type="dxa"/>
            <w:vAlign w:val="bottom"/>
            <w:tcBorders>
              <w:top w:val="single" w:sz="8" w:color="auto"/>
              <w:right w:val="single" w:sz="8" w:color="auto"/>
            </w:tcBorders>
            <w:shd w:val="clear" w:color="auto" w:fill="C6D9F1"/>
          </w:tcPr>
          <w:p>
            <w:pPr>
              <w:jc w:val="right"/>
              <w:ind w:right="430"/>
              <w:spacing w:after="0"/>
              <w:rPr>
                <w:sz w:val="20"/>
                <w:szCs w:val="20"/>
                <w:color w:val="auto"/>
              </w:rPr>
            </w:pPr>
            <w:r>
              <w:rPr>
                <w:rFonts w:ascii="Arial" w:cs="Arial" w:eastAsia="Arial" w:hAnsi="Arial"/>
                <w:sz w:val="18"/>
                <w:szCs w:val="18"/>
                <w:color w:val="auto"/>
              </w:rPr>
              <w:t>Pavan</w:t>
            </w:r>
          </w:p>
        </w:tc>
        <w:tc>
          <w:tcPr>
            <w:tcW w:w="160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7"/>
              </w:rPr>
              <w:t>Nalin</w:t>
            </w:r>
          </w:p>
        </w:tc>
        <w:tc>
          <w:tcPr>
            <w:tcW w:w="15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Henry</w:t>
            </w:r>
          </w:p>
        </w:tc>
        <w:tc>
          <w:tcPr>
            <w:tcW w:w="20" w:type="dxa"/>
            <w:vAlign w:val="bottom"/>
            <w:tcBorders>
              <w:top w:val="single" w:sz="8" w:color="auto"/>
            </w:tcBorders>
          </w:tcPr>
          <w:p>
            <w:pPr>
              <w:spacing w:after="0"/>
              <w:rPr>
                <w:sz w:val="18"/>
                <w:szCs w:val="18"/>
                <w:color w:val="auto"/>
              </w:rPr>
            </w:pPr>
          </w:p>
        </w:tc>
      </w:tr>
      <w:tr>
        <w:trPr>
          <w:trHeight w:val="217"/>
        </w:trPr>
        <w:tc>
          <w:tcPr>
            <w:tcW w:w="3340" w:type="dxa"/>
            <w:vAlign w:val="bottom"/>
            <w:tcBorders>
              <w:bottom w:val="single" w:sz="8" w:color="auto"/>
              <w:right w:val="single" w:sz="8" w:color="auto"/>
            </w:tcBorders>
            <w:shd w:val="clear" w:color="auto" w:fill="C6D9F1"/>
          </w:tcPr>
          <w:p>
            <w:pPr>
              <w:ind w:left="1200"/>
              <w:spacing w:after="0"/>
              <w:rPr>
                <w:sz w:val="20"/>
                <w:szCs w:val="20"/>
                <w:color w:val="auto"/>
              </w:rPr>
            </w:pPr>
            <w:r>
              <w:rPr>
                <w:rFonts w:ascii="Arial" w:cs="Arial" w:eastAsia="Arial" w:hAnsi="Arial"/>
                <w:sz w:val="18"/>
                <w:szCs w:val="18"/>
                <w:color w:val="auto"/>
              </w:rPr>
              <w:t>Component</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Kapoor</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Chhibbar</w:t>
            </w:r>
          </w:p>
        </w:tc>
        <w:tc>
          <w:tcPr>
            <w:tcW w:w="1480" w:type="dxa"/>
            <w:vAlign w:val="bottom"/>
            <w:tcBorders>
              <w:bottom w:val="single" w:sz="8" w:color="auto"/>
              <w:right w:val="single" w:sz="8" w:color="auto"/>
            </w:tcBorders>
            <w:shd w:val="clear" w:color="auto" w:fill="C6D9F1"/>
          </w:tcPr>
          <w:p>
            <w:pPr>
              <w:jc w:val="right"/>
              <w:ind w:right="430"/>
              <w:spacing w:after="0"/>
              <w:rPr>
                <w:sz w:val="20"/>
                <w:szCs w:val="20"/>
                <w:color w:val="auto"/>
              </w:rPr>
            </w:pPr>
            <w:r>
              <w:rPr>
                <w:rFonts w:ascii="Arial" w:cs="Arial" w:eastAsia="Arial" w:hAnsi="Arial"/>
                <w:sz w:val="18"/>
                <w:szCs w:val="18"/>
                <w:color w:val="auto"/>
              </w:rPr>
              <w:t>Bagai</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Miglani</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Schweppe</w:t>
            </w:r>
          </w:p>
        </w:tc>
        <w:tc>
          <w:tcPr>
            <w:tcW w:w="20" w:type="dxa"/>
            <w:vAlign w:val="bottom"/>
            <w:tcBorders>
              <w:bottom w:val="single" w:sz="8" w:color="auto"/>
            </w:tcBorders>
          </w:tcPr>
          <w:p>
            <w:pPr>
              <w:spacing w:after="0"/>
              <w:rPr>
                <w:sz w:val="18"/>
                <w:szCs w:val="18"/>
                <w:color w:val="auto"/>
              </w:rPr>
            </w:pPr>
          </w:p>
        </w:tc>
      </w:tr>
      <w:tr>
        <w:trPr>
          <w:trHeight w:val="223"/>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Salary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$600,000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$251,341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$242,590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$450,000</w:t>
            </w:r>
          </w:p>
        </w:tc>
        <w:tc>
          <w:tcPr>
            <w:tcW w:w="20" w:type="dxa"/>
            <w:vAlign w:val="bottom"/>
            <w:tcBorders>
              <w:bottom w:val="single" w:sz="8" w:color="auto"/>
            </w:tcBorders>
          </w:tcPr>
          <w:p>
            <w:pPr>
              <w:spacing w:after="0"/>
              <w:rPr>
                <w:sz w:val="19"/>
                <w:szCs w:val="19"/>
                <w:color w:val="auto"/>
              </w:rPr>
            </w:pPr>
          </w:p>
        </w:tc>
      </w:tr>
      <w:tr>
        <w:trPr>
          <w:trHeight w:val="223"/>
        </w:trPr>
        <w:tc>
          <w:tcPr>
            <w:tcW w:w="334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Cash Bonus Award</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$621,129</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$157,049</w:t>
            </w:r>
          </w:p>
        </w:tc>
        <w:tc>
          <w:tcPr>
            <w:tcW w:w="14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$246,239</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$274,840</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$349,385</w:t>
            </w:r>
          </w:p>
        </w:tc>
        <w:tc>
          <w:tcPr>
            <w:tcW w:w="20" w:type="dxa"/>
            <w:vAlign w:val="bottom"/>
            <w:tcBorders>
              <w:bottom w:val="single" w:sz="8" w:color="auto"/>
            </w:tcBorders>
          </w:tcPr>
          <w:p>
            <w:pPr>
              <w:spacing w:after="0"/>
              <w:rPr>
                <w:sz w:val="19"/>
                <w:szCs w:val="19"/>
                <w:color w:val="auto"/>
              </w:rPr>
            </w:pPr>
          </w:p>
        </w:tc>
      </w:tr>
      <w:tr>
        <w:trPr>
          <w:trHeight w:val="223"/>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Equity Awards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$2,979,000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$595,800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$993,000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$476,640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$595,800</w:t>
            </w:r>
          </w:p>
        </w:tc>
        <w:tc>
          <w:tcPr>
            <w:tcW w:w="20" w:type="dxa"/>
            <w:vAlign w:val="bottom"/>
            <w:tcBorders>
              <w:bottom w:val="single" w:sz="8" w:color="auto"/>
            </w:tcBorders>
          </w:tcPr>
          <w:p>
            <w:pPr>
              <w:spacing w:after="0"/>
              <w:rPr>
                <w:sz w:val="19"/>
                <w:szCs w:val="19"/>
                <w:color w:val="auto"/>
              </w:rPr>
            </w:pPr>
          </w:p>
        </w:tc>
      </w:tr>
      <w:tr>
        <w:trPr>
          <w:trHeight w:val="264"/>
        </w:trPr>
        <w:tc>
          <w:tcPr>
            <w:tcW w:w="3340" w:type="dxa"/>
            <w:vAlign w:val="bottom"/>
            <w:tcBorders>
              <w:bottom w:val="single" w:sz="8" w:color="auto"/>
              <w:right w:val="single" w:sz="8" w:color="auto"/>
            </w:tcBorders>
            <w:shd w:val="clear" w:color="auto" w:fill="C6D9F1"/>
          </w:tcPr>
          <w:p>
            <w:pPr>
              <w:ind w:left="120"/>
              <w:spacing w:after="0" w:line="264" w:lineRule="exact"/>
              <w:rPr>
                <w:sz w:val="20"/>
                <w:szCs w:val="20"/>
                <w:color w:val="auto"/>
              </w:rPr>
            </w:pPr>
            <w:r>
              <w:rPr>
                <w:rFonts w:ascii="Arial" w:cs="Arial" w:eastAsia="Arial" w:hAnsi="Arial"/>
                <w:sz w:val="18"/>
                <w:szCs w:val="18"/>
                <w:color w:val="auto"/>
              </w:rPr>
              <w:t>Other Compensation</w:t>
            </w:r>
            <w:r>
              <w:rPr>
                <w:rFonts w:ascii="Arial" w:cs="Arial" w:eastAsia="Arial" w:hAnsi="Arial"/>
                <w:sz w:val="30"/>
                <w:szCs w:val="30"/>
                <w:color w:val="auto"/>
                <w:vertAlign w:val="superscript"/>
              </w:rPr>
              <w:t>(1)</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$35,014</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$43,115</w:t>
            </w:r>
          </w:p>
        </w:tc>
        <w:tc>
          <w:tcPr>
            <w:tcW w:w="14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$85,550</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$81,520</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$8,340</w:t>
            </w:r>
          </w:p>
        </w:tc>
        <w:tc>
          <w:tcPr>
            <w:tcW w:w="20" w:type="dxa"/>
            <w:vAlign w:val="bottom"/>
            <w:tcBorders>
              <w:bottom w:val="single" w:sz="8" w:color="auto"/>
            </w:tcBorders>
          </w:tcPr>
          <w:p>
            <w:pPr>
              <w:spacing w:after="0"/>
              <w:rPr>
                <w:sz w:val="22"/>
                <w:szCs w:val="22"/>
                <w:color w:val="auto"/>
              </w:rPr>
            </w:pPr>
          </w:p>
        </w:tc>
      </w:tr>
      <w:tr>
        <w:trPr>
          <w:trHeight w:val="264"/>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4"/>
              </w:rPr>
              <w:t>$4,235,143</w:t>
            </w:r>
            <w:r>
              <w:rPr>
                <w:rFonts w:ascii="Arial" w:cs="Arial" w:eastAsia="Arial" w:hAnsi="Arial"/>
                <w:sz w:val="30"/>
                <w:szCs w:val="30"/>
                <w:color w:val="auto"/>
                <w:w w:val="94"/>
                <w:vertAlign w:val="superscript"/>
              </w:rPr>
              <w:t>(2)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$1,047,305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$1,567,379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$1,233,000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$1,403,525</w:t>
            </w:r>
          </w:p>
        </w:tc>
        <w:tc>
          <w:tcPr>
            <w:tcW w:w="20" w:type="dxa"/>
            <w:vAlign w:val="bottom"/>
            <w:tcBorders>
              <w:bottom w:val="single" w:sz="8" w:color="auto"/>
            </w:tcBorders>
          </w:tcPr>
          <w:p>
            <w:pPr>
              <w:spacing w:after="0"/>
              <w:rPr>
                <w:sz w:val="22"/>
                <w:szCs w:val="22"/>
                <w:color w:val="auto"/>
              </w:rPr>
            </w:pPr>
          </w:p>
        </w:tc>
      </w:tr>
    </w:tbl>
    <w:p>
      <w:pPr>
        <w:spacing w:after="0" w:line="248" w:lineRule="exact"/>
        <w:rPr>
          <w:sz w:val="20"/>
          <w:szCs w:val="20"/>
          <w:color w:val="auto"/>
        </w:rPr>
      </w:pPr>
    </w:p>
    <w:p>
      <w:pPr>
        <w:ind w:left="660" w:right="6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each named executive offer,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2015 is provided in the “Summary Compensation Table for Fiscal Year 2015” beginning on page 42.</w:t>
      </w:r>
    </w:p>
    <w:p>
      <w:pPr>
        <w:spacing w:after="0" w:line="1" w:lineRule="exact"/>
        <w:rPr>
          <w:rFonts w:ascii="Arial" w:cs="Arial" w:eastAsia="Arial" w:hAnsi="Arial"/>
          <w:sz w:val="14"/>
          <w:szCs w:val="14"/>
          <w:color w:val="auto"/>
        </w:rPr>
      </w:pPr>
    </w:p>
    <w:p>
      <w:pPr>
        <w:ind w:left="660" w:right="720" w:hanging="328"/>
        <w:spacing w:after="0" w:line="25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addition, Mr. Kapoor received a one-time Stock Price Performance Award in connection with his new employment agreement effective January 1, 2015; see “Mr. Kapoor’s Stock Price Performance Award” beginning on page 39 for details regarding this Stock Price Performance Award.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 w:name="page8"/>
    <w:bookmarkEnd w:id="7"/>
    <w:p>
      <w:pPr>
        <w:ind w:right="60" w:firstLine="648"/>
        <w:spacing w:after="0" w:line="239" w:lineRule="auto"/>
        <w:rPr>
          <w:sz w:val="20"/>
          <w:szCs w:val="20"/>
          <w:color w:val="auto"/>
        </w:rPr>
      </w:pPr>
      <w:r>
        <w:rPr>
          <w:rFonts w:ascii="Arial" w:cs="Arial" w:eastAsia="Arial" w:hAnsi="Arial"/>
          <w:sz w:val="18"/>
          <w:szCs w:val="18"/>
          <w:color w:val="auto"/>
        </w:rPr>
        <w:t>On an annual basis, we submit to our stockholders an advisory vote to approve our executive compensation. At this year’s Annual Meeting, we are seeking your approval, on a non-binding basis, of the compensation of our named executive officers as described in this proxy statement. Please refer to our Compensation Discussion and Analysis, starting on page 23 for a complete description of our 2015 compensation program.</w:t>
      </w:r>
    </w:p>
    <w:p>
      <w:pPr>
        <w:spacing w:after="0" w:line="166" w:lineRule="exact"/>
        <w:rPr>
          <w:sz w:val="20"/>
          <w:szCs w:val="20"/>
          <w:color w:val="auto"/>
        </w:rPr>
      </w:pPr>
    </w:p>
    <w:p>
      <w:pPr>
        <w:ind w:left="340" w:right="220" w:hanging="332"/>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98% Say on Pay Approval Last Year</w:t>
      </w:r>
      <w:r>
        <w:rPr>
          <w:rFonts w:ascii="Arial" w:cs="Arial" w:eastAsia="Arial" w:hAnsi="Arial"/>
          <w:sz w:val="18"/>
          <w:szCs w:val="18"/>
          <w:color w:val="auto"/>
        </w:rPr>
        <w:t>: At our 2015 Annual Meeting of Stockholders, our stockholders approved (on a non-binding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paid to our named executive officers for fiscal year 2014. Approximately 98% of the votes were in favor of fiscal year 2014 compensation.</w:t>
      </w:r>
    </w:p>
    <w:p>
      <w:pPr>
        <w:spacing w:after="0" w:line="155"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Annual Bonus Program Based Upon Financial Performance Criteria</w:t>
      </w:r>
      <w:r>
        <w:rPr>
          <w:rFonts w:ascii="Arial" w:cs="Arial" w:eastAsia="Arial" w:hAnsi="Arial"/>
          <w:sz w:val="18"/>
          <w:szCs w:val="18"/>
          <w:color w:val="auto"/>
        </w:rPr>
        <w:t>: Our Compensation Committee approved the continued use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program, which was redesigned in 2014 to be based upon the following performance criteria:</w:t>
      </w:r>
    </w:p>
    <w:p>
      <w:pPr>
        <w:spacing w:after="0" w:line="157" w:lineRule="exact"/>
        <w:rPr>
          <w:rFonts w:ascii="Arial" w:cs="Arial" w:eastAsia="Arial" w:hAnsi="Arial"/>
          <w:sz w:val="18"/>
          <w:szCs w:val="18"/>
          <w:color w:val="auto"/>
        </w:rPr>
      </w:pP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Company Wide Metrics – Adjusted earnings per share (EPS) and revenue</w:t>
      </w:r>
    </w:p>
    <w:p>
      <w:pPr>
        <w:ind w:left="720" w:hanging="334"/>
        <w:spacing w:after="0" w:line="23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Business Line Metrics – Revenues, new client revenues and margin achievement</w:t>
      </w: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Individual Metrics – Specific to selected executives</w:t>
      </w:r>
    </w:p>
    <w:p>
      <w:pPr>
        <w:spacing w:after="0" w:line="176" w:lineRule="exact"/>
        <w:rPr>
          <w:rFonts w:ascii="Arial" w:cs="Arial" w:eastAsia="Arial" w:hAnsi="Arial"/>
          <w:sz w:val="18"/>
          <w:szCs w:val="18"/>
          <w:color w:val="auto"/>
        </w:rPr>
      </w:pPr>
    </w:p>
    <w:p>
      <w:pPr>
        <w:ind w:left="340" w:right="80" w:hanging="332"/>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Long-Term Equity Incentive Program</w:t>
      </w:r>
      <w:r>
        <w:rPr>
          <w:rFonts w:ascii="Arial" w:cs="Arial" w:eastAsia="Arial" w:hAnsi="Arial"/>
          <w:sz w:val="18"/>
          <w:szCs w:val="18"/>
          <w:color w:val="auto"/>
        </w:rPr>
        <w:t>: We also continued our equity incentive program that we first implemented in 2014,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mix of time-vested restricted stock units and performance-based restricted stock units. The performance-based restricted stock units were comprised of:</w:t>
      </w:r>
    </w:p>
    <w:p>
      <w:pPr>
        <w:spacing w:after="0" w:line="173" w:lineRule="exact"/>
        <w:rPr>
          <w:rFonts w:ascii="Arial" w:cs="Arial" w:eastAsia="Arial" w:hAnsi="Arial"/>
          <w:sz w:val="18"/>
          <w:szCs w:val="18"/>
          <w:color w:val="auto"/>
        </w:rPr>
      </w:pP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Relative total stockholder return (TSR)-linked restricted stock units, and</w:t>
      </w: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Revenue-linked restricted stock units.</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Strong Performance</w:t>
      </w:r>
      <w:r>
        <w:rPr>
          <w:rFonts w:ascii="Arial" w:cs="Arial" w:eastAsia="Arial" w:hAnsi="Arial"/>
          <w:sz w:val="18"/>
          <w:szCs w:val="18"/>
          <w:color w:val="auto"/>
        </w:rPr>
        <w:t>: We delivered strong revenue and Adjusted EPS performance in 2015.</w:t>
      </w:r>
    </w:p>
    <w:p>
      <w:pPr>
        <w:spacing w:after="0" w:line="211" w:lineRule="exact"/>
        <w:rPr>
          <w:rFonts w:ascii="Arial" w:cs="Arial" w:eastAsia="Arial" w:hAnsi="Arial"/>
          <w:sz w:val="18"/>
          <w:szCs w:val="18"/>
          <w:color w:val="auto"/>
        </w:rPr>
      </w:pPr>
    </w:p>
    <w:p>
      <w:pPr>
        <w:ind w:left="720" w:right="600" w:hanging="334"/>
        <w:spacing w:after="0" w:line="24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Annual Incentive Program</w:t>
      </w:r>
      <w:r>
        <w:rPr>
          <w:rFonts w:ascii="Arial" w:cs="Arial" w:eastAsia="Arial" w:hAnsi="Arial"/>
          <w:sz w:val="18"/>
          <w:szCs w:val="18"/>
          <w:color w:val="auto"/>
        </w:rPr>
        <w:t>: As measured under our annual incentive plan, we delivered 100% of our Adjusted EPS target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exceeded our total revenue performance target (102.2%).</w:t>
      </w:r>
    </w:p>
    <w:p>
      <w:pPr>
        <w:spacing w:after="0" w:line="1" w:lineRule="exact"/>
        <w:rPr>
          <w:rFonts w:ascii="Arial" w:cs="Arial" w:eastAsia="Arial" w:hAnsi="Arial"/>
          <w:sz w:val="18"/>
          <w:szCs w:val="18"/>
          <w:color w:val="auto"/>
        </w:rPr>
      </w:pPr>
    </w:p>
    <w:p>
      <w:pPr>
        <w:ind w:left="720" w:right="26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Equity Incentive Program</w:t>
      </w:r>
      <w:r>
        <w:rPr>
          <w:rFonts w:ascii="Arial" w:cs="Arial" w:eastAsia="Arial" w:hAnsi="Arial"/>
          <w:sz w:val="18"/>
          <w:szCs w:val="18"/>
          <w:color w:val="auto"/>
        </w:rPr>
        <w:t>: Our strong revenue achievement resulted in our executives banking one-third of the revenue-linked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for each of the 2014 and 2015 revenue performance based grants, based on metrics set by the Compensation Committee in advance and under the terms of our equity plan.</w:t>
      </w:r>
    </w:p>
    <w:p>
      <w:pPr>
        <w:spacing w:after="0" w:line="16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Compensation Mix:</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Vice Chairman &amp; CEO Compensation Mix </w:t>
            </w:r>
            <w:r>
              <w:rPr>
                <w:rFonts w:ascii="Arial" w:cs="Arial" w:eastAsia="Arial" w:hAnsi="Arial"/>
                <w:sz w:val="30"/>
                <w:szCs w:val="30"/>
                <w:color w:val="auto"/>
                <w:vertAlign w:val="superscript"/>
              </w:rPr>
              <w:t>(1)</w:t>
            </w:r>
          </w:p>
        </w:tc>
        <w:tc>
          <w:tcPr>
            <w:tcW w:w="408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NEO Compensation Mix</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4080" w:type="dxa"/>
            <w:vAlign w:val="bottom"/>
            <w:vMerge w:val="restart"/>
          </w:tcPr>
          <w:p>
            <w:pPr>
              <w:jc w:val="center"/>
              <w:ind w:left="1090"/>
              <w:spacing w:after="0"/>
              <w:rPr>
                <w:sz w:val="20"/>
                <w:szCs w:val="20"/>
                <w:color w:val="auto"/>
              </w:rPr>
            </w:pPr>
            <w:r>
              <w:rPr>
                <w:rFonts w:ascii="Arial" w:cs="Arial" w:eastAsia="Arial" w:hAnsi="Arial"/>
                <w:sz w:val="18"/>
                <w:szCs w:val="18"/>
                <w:b w:val="1"/>
                <w:bCs w:val="1"/>
                <w:color w:val="auto"/>
                <w:w w:val="99"/>
              </w:rPr>
              <w:t>(Excluding Vice Chairman &amp; CEO)</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5951855" cy="1895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518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Kapoor’s equity component includes his one-time Stock Price Performance Award.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1F497C"/>
        </w:rPr>
        <w:t>Auditor Matters</w:t>
      </w:r>
    </w:p>
    <w:p>
      <w:pPr>
        <w:spacing w:after="0" w:line="220"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As a matter of good corporate practice, we are seeking your ratification of Ernst &amp; Young LLP as our independent registered public accounting firm for fiscal year 2016. For more information on our auditors, including 2015 audit fees, see page 78.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Borders>
              <w:right w:val="single" w:sz="8" w:color="auto"/>
            </w:tcBorders>
          </w:tcPr>
          <w:p>
            <w:pPr>
              <w:spacing w:after="0"/>
              <w:rPr>
                <w:sz w:val="17"/>
                <w:szCs w:val="17"/>
                <w:color w:val="auto"/>
              </w:rPr>
            </w:pPr>
          </w:p>
        </w:tc>
        <w:tc>
          <w:tcPr>
            <w:tcW w:w="2760" w:type="dxa"/>
            <w:vAlign w:val="bottom"/>
            <w:tcBorders>
              <w:top w:val="single" w:sz="8" w:color="auto"/>
            </w:tcBorders>
            <w:shd w:val="clear" w:color="auto" w:fill="5591C7"/>
          </w:tcPr>
          <w:p>
            <w:pPr>
              <w:spacing w:after="0"/>
              <w:rPr>
                <w:sz w:val="17"/>
                <w:szCs w:val="17"/>
                <w:color w:val="auto"/>
              </w:rPr>
            </w:pPr>
          </w:p>
        </w:tc>
        <w:tc>
          <w:tcPr>
            <w:tcW w:w="3400" w:type="dxa"/>
            <w:vAlign w:val="bottom"/>
            <w:tcBorders>
              <w:top w:val="single" w:sz="8" w:color="auto"/>
            </w:tcBorders>
            <w:shd w:val="clear" w:color="auto" w:fill="5591C7"/>
          </w:tcPr>
          <w:p>
            <w:pPr>
              <w:spacing w:after="0"/>
              <w:rPr>
                <w:sz w:val="17"/>
                <w:szCs w:val="17"/>
                <w:color w:val="auto"/>
              </w:rPr>
            </w:pPr>
          </w:p>
        </w:tc>
        <w:tc>
          <w:tcPr>
            <w:tcW w:w="1820" w:type="dxa"/>
            <w:vAlign w:val="bottom"/>
            <w:tcBorders>
              <w:top w:val="single" w:sz="8" w:color="auto"/>
              <w:right w:val="single" w:sz="8" w:color="auto"/>
            </w:tcBorders>
            <w:shd w:val="clear" w:color="auto" w:fill="5591C7"/>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1700" w:type="dxa"/>
            <w:vAlign w:val="bottom"/>
          </w:tcPr>
          <w:p>
            <w:pPr>
              <w:spacing w:after="0"/>
              <w:rPr>
                <w:sz w:val="17"/>
                <w:szCs w:val="17"/>
                <w:color w:val="auto"/>
              </w:rPr>
            </w:pPr>
          </w:p>
        </w:tc>
      </w:tr>
      <w:tr>
        <w:trPr>
          <w:trHeight w:val="239"/>
        </w:trPr>
        <w:tc>
          <w:tcPr>
            <w:tcW w:w="1740" w:type="dxa"/>
            <w:vAlign w:val="bottom"/>
            <w:tcBorders>
              <w:right w:val="single" w:sz="8" w:color="auto"/>
            </w:tcBorders>
          </w:tcPr>
          <w:p>
            <w:pPr>
              <w:spacing w:after="0"/>
              <w:rPr>
                <w:sz w:val="20"/>
                <w:szCs w:val="20"/>
                <w:color w:val="auto"/>
              </w:rPr>
            </w:pPr>
          </w:p>
        </w:tc>
        <w:tc>
          <w:tcPr>
            <w:tcW w:w="2760" w:type="dxa"/>
            <w:vAlign w:val="bottom"/>
            <w:tcBorders>
              <w:bottom w:val="single" w:sz="8" w:color="auto"/>
            </w:tcBorders>
            <w:shd w:val="clear" w:color="auto" w:fill="5591C7"/>
          </w:tcPr>
          <w:p>
            <w:pPr>
              <w:spacing w:after="0"/>
              <w:rPr>
                <w:sz w:val="20"/>
                <w:szCs w:val="20"/>
                <w:color w:val="auto"/>
              </w:rPr>
            </w:pPr>
          </w:p>
        </w:tc>
        <w:tc>
          <w:tcPr>
            <w:tcW w:w="3400" w:type="dxa"/>
            <w:vAlign w:val="bottom"/>
            <w:tcBorders>
              <w:bottom w:val="single" w:sz="8" w:color="auto"/>
            </w:tcBorders>
            <w:shd w:val="clear" w:color="auto" w:fill="5591C7"/>
          </w:tcPr>
          <w:p>
            <w:pPr>
              <w:spacing w:after="0"/>
              <w:rPr>
                <w:sz w:val="20"/>
                <w:szCs w:val="20"/>
                <w:color w:val="auto"/>
              </w:rPr>
            </w:pPr>
          </w:p>
        </w:tc>
        <w:tc>
          <w:tcPr>
            <w:tcW w:w="1820" w:type="dxa"/>
            <w:vAlign w:val="bottom"/>
            <w:tcBorders>
              <w:bottom w:val="single" w:sz="8" w:color="auto"/>
              <w:right w:val="single" w:sz="8" w:color="auto"/>
            </w:tcBorders>
            <w:shd w:val="clear" w:color="auto" w:fill="5591C7"/>
          </w:tcPr>
          <w:p>
            <w:pPr>
              <w:jc w:val="right"/>
              <w:ind w:right="470"/>
              <w:spacing w:after="0"/>
              <w:rPr>
                <w:sz w:val="20"/>
                <w:szCs w:val="20"/>
                <w:color w:val="auto"/>
              </w:rPr>
            </w:pPr>
            <w:r>
              <w:rPr>
                <w:rFonts w:ascii="Arial" w:cs="Arial" w:eastAsia="Arial" w:hAnsi="Arial"/>
                <w:sz w:val="18"/>
                <w:szCs w:val="18"/>
                <w:b w:val="1"/>
                <w:bCs w:val="1"/>
                <w:color w:val="auto"/>
                <w:w w:val="99"/>
              </w:rPr>
              <w:t>(in thousands)</w:t>
            </w:r>
          </w:p>
        </w:tc>
        <w:tc>
          <w:tcPr>
            <w:tcW w:w="1700" w:type="dxa"/>
            <w:vAlign w:val="bottom"/>
          </w:tcPr>
          <w:p>
            <w:pPr>
              <w:spacing w:after="0"/>
              <w:rPr>
                <w:sz w:val="20"/>
                <w:szCs w:val="20"/>
                <w:color w:val="auto"/>
              </w:rPr>
            </w:pPr>
          </w:p>
        </w:tc>
      </w:tr>
      <w:tr>
        <w:trPr>
          <w:trHeight w:val="223"/>
        </w:trPr>
        <w:tc>
          <w:tcPr>
            <w:tcW w:w="1740" w:type="dxa"/>
            <w:vAlign w:val="bottom"/>
            <w:tcBorders>
              <w:right w:val="single" w:sz="8" w:color="auto"/>
            </w:tcBorders>
          </w:tcPr>
          <w:p>
            <w:pPr>
              <w:spacing w:after="0"/>
              <w:rPr>
                <w:sz w:val="19"/>
                <w:szCs w:val="19"/>
                <w:color w:val="auto"/>
              </w:rPr>
            </w:pPr>
          </w:p>
        </w:tc>
        <w:tc>
          <w:tcPr>
            <w:tcW w:w="2760" w:type="dxa"/>
            <w:vAlign w:val="bottom"/>
            <w:shd w:val="clear" w:color="auto" w:fill="B8CDE8"/>
          </w:tcPr>
          <w:p>
            <w:pPr>
              <w:ind w:left="80"/>
              <w:spacing w:after="0"/>
              <w:rPr>
                <w:sz w:val="20"/>
                <w:szCs w:val="20"/>
                <w:color w:val="auto"/>
              </w:rPr>
            </w:pPr>
            <w:r>
              <w:rPr>
                <w:rFonts w:ascii="Arial" w:cs="Arial" w:eastAsia="Arial" w:hAnsi="Arial"/>
                <w:sz w:val="18"/>
                <w:szCs w:val="18"/>
                <w:color w:val="auto"/>
              </w:rPr>
              <w:t>Audit Fees</w:t>
            </w:r>
          </w:p>
        </w:tc>
        <w:tc>
          <w:tcPr>
            <w:tcW w:w="3400" w:type="dxa"/>
            <w:vAlign w:val="bottom"/>
            <w:shd w:val="clear" w:color="auto" w:fill="B8CDE8"/>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color w:val="auto"/>
              </w:rPr>
              <w:t>1,453</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3400" w:type="dxa"/>
            <w:vAlign w:val="bottom"/>
          </w:tcPr>
          <w:p>
            <w:pPr>
              <w:spacing w:after="0"/>
              <w:rPr>
                <w:sz w:val="19"/>
                <w:szCs w:val="19"/>
                <w:color w:val="auto"/>
              </w:rPr>
            </w:pP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shd w:val="clear" w:color="auto" w:fill="B8CDE8"/>
          </w:tcPr>
          <w:p>
            <w:pPr>
              <w:ind w:left="80"/>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B8CDE8"/>
          </w:tcPr>
          <w:p>
            <w:pPr>
              <w:spacing w:after="0"/>
              <w:rPr>
                <w:sz w:val="19"/>
                <w:szCs w:val="19"/>
                <w:color w:val="auto"/>
              </w:rPr>
            </w:pPr>
          </w:p>
        </w:tc>
        <w:tc>
          <w:tcPr>
            <w:tcW w:w="1820" w:type="dxa"/>
            <w:vAlign w:val="bottom"/>
            <w:tcBorders>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color w:val="auto"/>
              </w:rPr>
              <w:t>45</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3400" w:type="dxa"/>
            <w:vAlign w:val="bottom"/>
          </w:tcPr>
          <w:p>
            <w:pPr>
              <w:spacing w:after="0"/>
              <w:rPr>
                <w:sz w:val="19"/>
                <w:szCs w:val="19"/>
                <w:color w:val="auto"/>
              </w:rPr>
            </w:pP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Borders>
              <w:bottom w:val="single" w:sz="8" w:color="auto"/>
            </w:tcBorders>
            <w:shd w:val="clear" w:color="auto" w:fill="B8CDE8"/>
          </w:tcPr>
          <w:p>
            <w:pPr>
              <w:ind w:left="80"/>
              <w:spacing w:after="0"/>
              <w:rPr>
                <w:sz w:val="20"/>
                <w:szCs w:val="20"/>
                <w:color w:val="auto"/>
              </w:rPr>
            </w:pPr>
            <w:r>
              <w:rPr>
                <w:rFonts w:ascii="Arial" w:cs="Arial" w:eastAsia="Arial" w:hAnsi="Arial"/>
                <w:sz w:val="18"/>
                <w:szCs w:val="18"/>
                <w:b w:val="1"/>
                <w:bCs w:val="1"/>
                <w:color w:val="auto"/>
              </w:rPr>
              <w:t>Total</w:t>
            </w:r>
          </w:p>
        </w:tc>
        <w:tc>
          <w:tcPr>
            <w:tcW w:w="3400" w:type="dxa"/>
            <w:vAlign w:val="bottom"/>
            <w:tcBorders>
              <w:bottom w:val="single" w:sz="8" w:color="auto"/>
            </w:tcBorders>
            <w:shd w:val="clear" w:color="auto" w:fill="B8CDE8"/>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b w:val="1"/>
                <w:bCs w:val="1"/>
                <w:color w:val="auto"/>
              </w:rPr>
              <w:t>1,708</w:t>
            </w:r>
          </w:p>
        </w:tc>
        <w:tc>
          <w:tcPr>
            <w:tcW w:w="1700" w:type="dxa"/>
            <w:vAlign w:val="bottom"/>
          </w:tcPr>
          <w:p>
            <w:pPr>
              <w:spacing w:after="0"/>
              <w:rPr>
                <w:sz w:val="19"/>
                <w:szCs w:val="19"/>
                <w:color w:val="auto"/>
              </w:rPr>
            </w:pPr>
          </w:p>
        </w:tc>
      </w:tr>
      <w:tr>
        <w:trPr>
          <w:trHeight w:val="615"/>
        </w:trPr>
        <w:tc>
          <w:tcPr>
            <w:tcW w:w="1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5</w:t>
            </w:r>
          </w:p>
        </w:tc>
        <w:tc>
          <w:tcPr>
            <w:tcW w:w="1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20" w:lineRule="exact"/>
        <w:rPr>
          <w:sz w:val="20"/>
          <w:szCs w:val="20"/>
          <w:color w:val="auto"/>
        </w:rPr>
      </w:pPr>
    </w:p>
    <w:p>
      <w:pPr>
        <w:ind w:right="120" w:firstLine="441"/>
        <w:spacing w:after="0" w:line="234"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2016 Annual Meeting of Stockholders (the “Annual</w:t>
      </w:r>
    </w:p>
    <w:p>
      <w:pPr>
        <w:spacing w:after="0" w:line="2" w:lineRule="exact"/>
        <w:rPr>
          <w:sz w:val="20"/>
          <w:szCs w:val="20"/>
          <w:color w:val="auto"/>
        </w:rPr>
      </w:pPr>
    </w:p>
    <w:p>
      <w:pPr>
        <w:ind w:right="240"/>
        <w:spacing w:after="0" w:line="199" w:lineRule="auto"/>
        <w:rPr>
          <w:sz w:val="20"/>
          <w:szCs w:val="20"/>
          <w:color w:val="auto"/>
        </w:rPr>
      </w:pPr>
      <w:r>
        <w:rPr>
          <w:rFonts w:ascii="Arial" w:cs="Arial" w:eastAsia="Arial" w:hAnsi="Arial"/>
          <w:sz w:val="18"/>
          <w:szCs w:val="18"/>
          <w:color w:val="auto"/>
        </w:rPr>
        <w:t>Meeting”) to be held at the New York offices of the Company,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on June 17, 2016, at 8:30 AM, Eastern Time, and any adjournments or postponements thereof.</w:t>
      </w:r>
    </w:p>
    <w:p>
      <w:pPr>
        <w:spacing w:after="0" w:line="190" w:lineRule="exact"/>
        <w:rPr>
          <w:sz w:val="20"/>
          <w:szCs w:val="20"/>
          <w:color w:val="auto"/>
        </w:rPr>
      </w:pPr>
    </w:p>
    <w:p>
      <w:pPr>
        <w:ind w:right="140" w:firstLine="441"/>
        <w:spacing w:after="0" w:line="237" w:lineRule="auto"/>
        <w:rPr>
          <w:sz w:val="20"/>
          <w:szCs w:val="20"/>
          <w:color w:val="auto"/>
        </w:rPr>
      </w:pPr>
      <w:r>
        <w:rPr>
          <w:rFonts w:ascii="Arial" w:cs="Arial" w:eastAsia="Arial" w:hAnsi="Arial"/>
          <w:sz w:val="18"/>
          <w:szCs w:val="18"/>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90"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It is anticipated that the Internet Notice will be sent to stockholders on or about April 29, 2016. This proxy statement and the form of proxy relating to the Annual Meeting will be made available via the Internet to stockholders on the date that the Internet Notice is first 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0"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Only stockholders who own shares of our common stock at the close of business on April 21, 2016, the record date for the Annual Meeting, can vote at the Annual Meeting. As of the close of business on April 21, 2016, the record date, we had 33,592,996 shares of common stock outstanding and entitled to vote. Each holder of common stock is entitled to one vote for each share held as of the record date for the Annual Meeting. There is no cumulative voting in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20"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89"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16,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10" w:name="page11"/>
    <w:bookmarkEnd w:id="10"/>
    <w:p>
      <w:pPr>
        <w:ind w:firstLine="441"/>
        <w:spacing w:after="0" w:line="242"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Internet, phone or mail will not limit your right to vote at the Annual Meeting if you decide to attend</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198"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Quorum</w:t>
      </w:r>
    </w:p>
    <w:p>
      <w:pPr>
        <w:spacing w:after="0" w:line="216"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21, 2016,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Proposal 1: Election of Directors</w:t>
      </w:r>
    </w:p>
    <w:p>
      <w:pPr>
        <w:spacing w:after="0" w:line="216"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Under our by-laws, directors are elected by the affirmative vote of a plurality of votes cast in person or represented by proxy and entitled to vote at the Annual Meeting. You may cast your vote in favor of electing the nominees as directors, withhold your vote on one or more nominees or abstain from voting your shares. For purposes of the vote on Proposal 1, abstentions and broker non-votes (as described below) will have no effect on the results of the vote.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Proposals</w:t>
      </w:r>
    </w:p>
    <w:p>
      <w:pPr>
        <w:spacing w:after="0" w:line="21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The ratification of the appointment of our independent registered public accounting firm, the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or such other items to be acted upon at the Annual Meeting, abstentions will have the effect of a vote against these proposals. Broker non-votes will have the effect of a vote against Proposal 3 (approval of the compensation of our named executive officers); but because Proposal 2 is a “routine” proposal, no broker non-vote will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1" w:name="page12"/>
    <w:bookmarkEnd w:id="11"/>
    <w:p>
      <w:pPr>
        <w:ind w:right="60" w:firstLine="441"/>
        <w:spacing w:after="0" w:line="239"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(i) FOR the election of the nominees for director, (ii) FOR the ratification of the appointment of our independent registered public accounting firm, (iii) FOR the approval of the compensation of our named executive officers, and (iv) as described below, in the judgment of the proxy holder on any other matters presented at the Annual Meeting.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21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and approval of the compensation of our named executive officers. As a result, a “broker non-vote” occurs. However, without your instructions, your broker would have discretionary authority to vote your shares only with respect to “routine” proposals, including at the Annual Meeting, the ratification of the appointment of our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220" w:lineRule="exact"/>
        <w:rPr>
          <w:sz w:val="20"/>
          <w:szCs w:val="20"/>
          <w:color w:val="auto"/>
        </w:rPr>
      </w:pPr>
    </w:p>
    <w:p>
      <w:pPr>
        <w:ind w:right="20" w:firstLine="441"/>
        <w:spacing w:after="0" w:line="239" w:lineRule="auto"/>
        <w:rPr>
          <w:sz w:val="20"/>
          <w:szCs w:val="20"/>
          <w:color w:val="auto"/>
        </w:rPr>
      </w:pPr>
      <w:r>
        <w:rPr>
          <w:rFonts w:ascii="Arial" w:cs="Arial" w:eastAsia="Arial" w:hAnsi="Arial"/>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220" w:lineRule="exact"/>
        <w:rPr>
          <w:sz w:val="20"/>
          <w:szCs w:val="20"/>
          <w:color w:val="auto"/>
        </w:rPr>
      </w:pPr>
    </w:p>
    <w:p>
      <w:pPr>
        <w:ind w:right="420" w:firstLine="441"/>
        <w:spacing w:after="0" w:line="246"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0" w:lineRule="exact"/>
        <w:rPr>
          <w:sz w:val="20"/>
          <w:szCs w:val="20"/>
          <w:color w:val="auto"/>
        </w:rPr>
      </w:pPr>
    </w:p>
    <w:p>
      <w:pPr>
        <w:ind w:right="40" w:firstLine="441"/>
        <w:spacing w:after="0"/>
        <w:rPr>
          <w:sz w:val="20"/>
          <w:szCs w:val="20"/>
          <w:color w:val="auto"/>
        </w:rPr>
      </w:pPr>
      <w:r>
        <w:rPr>
          <w:rFonts w:ascii="Arial" w:cs="Arial" w:eastAsia="Arial" w:hAnsi="Arial"/>
          <w:sz w:val="18"/>
          <w:szCs w:val="18"/>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0" w:lineRule="exact"/>
        <w:rPr>
          <w:sz w:val="20"/>
          <w:szCs w:val="20"/>
          <w:color w:val="auto"/>
        </w:rPr>
      </w:pPr>
    </w:p>
    <w:p>
      <w:pPr>
        <w:ind w:right="100" w:firstLine="441"/>
        <w:spacing w:after="0" w:line="246" w:lineRule="auto"/>
        <w:rPr>
          <w:sz w:val="20"/>
          <w:szCs w:val="20"/>
          <w:color w:val="auto"/>
        </w:rPr>
      </w:pPr>
      <w:r>
        <w:rPr>
          <w:rFonts w:ascii="Arial" w:cs="Arial" w:eastAsia="Arial" w:hAnsi="Arial"/>
          <w:sz w:val="18"/>
          <w:szCs w:val="18"/>
          <w:color w:val="auto"/>
        </w:rPr>
        <w:t xml:space="preserve">Our Notice of Annual Meeting, proxy statement and form of proxy card are each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access these materials and provide your proxy by following the instructions provided in the Internet Notice.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Important</w:t>
      </w:r>
    </w:p>
    <w:p>
      <w:pPr>
        <w:spacing w:after="0" w:line="198" w:lineRule="exact"/>
        <w:rPr>
          <w:sz w:val="20"/>
          <w:szCs w:val="20"/>
          <w:color w:val="auto"/>
        </w:rPr>
      </w:pPr>
    </w:p>
    <w:p>
      <w:pPr>
        <w:ind w:firstLine="441"/>
        <w:spacing w:after="0" w:line="247" w:lineRule="auto"/>
        <w:rPr>
          <w:sz w:val="20"/>
          <w:szCs w:val="20"/>
          <w:color w:val="auto"/>
        </w:rPr>
      </w:pPr>
      <w:r>
        <w:rPr>
          <w:rFonts w:ascii="Arial" w:cs="Arial" w:eastAsia="Arial" w:hAnsi="Arial"/>
          <w:sz w:val="18"/>
          <w:szCs w:val="18"/>
          <w:b w:val="1"/>
          <w:bCs w:val="1"/>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161" w:lineRule="exact"/>
        <w:rPr>
          <w:sz w:val="20"/>
          <w:szCs w:val="20"/>
          <w:color w:val="auto"/>
        </w:rPr>
      </w:pPr>
    </w:p>
    <w:p>
      <w:pPr>
        <w:jc w:val="both"/>
        <w:ind w:right="240" w:firstLine="441"/>
        <w:spacing w:after="0" w:line="247" w:lineRule="auto"/>
        <w:rPr>
          <w:sz w:val="20"/>
          <w:szCs w:val="20"/>
          <w:color w:val="auto"/>
        </w:rPr>
      </w:pPr>
      <w:r>
        <w:rPr>
          <w:rFonts w:ascii="Arial" w:cs="Arial" w:eastAsia="Arial" w:hAnsi="Arial"/>
          <w:sz w:val="18"/>
          <w:szCs w:val="18"/>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183" w:lineRule="exact"/>
        <w:rPr>
          <w:sz w:val="20"/>
          <w:szCs w:val="20"/>
          <w:color w:val="auto"/>
        </w:rPr>
      </w:pPr>
    </w:p>
    <w:p>
      <w:pPr>
        <w:ind w:right="860" w:firstLine="441"/>
        <w:spacing w:after="0" w:line="246" w:lineRule="auto"/>
        <w:rPr>
          <w:sz w:val="20"/>
          <w:szCs w:val="20"/>
          <w:color w:val="auto"/>
        </w:rPr>
      </w:pPr>
      <w:r>
        <w:rPr>
          <w:rFonts w:ascii="Arial" w:cs="Arial" w:eastAsia="Arial" w:hAnsi="Arial"/>
          <w:sz w:val="18"/>
          <w:szCs w:val="18"/>
          <w:color w:val="auto"/>
        </w:rPr>
        <w:t>If you have any further questions about voting your shares or attending the Annual Meeting, please call our Investor Relations Department at (212) 277-7109.</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46"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OUR BOARD OF DIRECTORS</w:t>
      </w:r>
    </w:p>
    <w:p>
      <w:pPr>
        <w:spacing w:after="0" w:line="220"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560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6083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Board Nominations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Borders>
              <w:top w:val="single" w:sz="8" w:color="auto"/>
              <w:right w:val="single" w:sz="8" w:color="auto"/>
            </w:tcBorders>
            <w:shd w:val="clear" w:color="auto" w:fill="C6D9F1"/>
          </w:tcPr>
          <w:p>
            <w:pPr>
              <w:spacing w:after="0"/>
              <w:rPr>
                <w:sz w:val="18"/>
                <w:szCs w:val="18"/>
                <w:color w:val="auto"/>
              </w:rPr>
            </w:pPr>
          </w:p>
        </w:tc>
        <w:tc>
          <w:tcPr>
            <w:tcW w:w="920" w:type="dxa"/>
            <w:vAlign w:val="bottom"/>
            <w:tcBorders>
              <w:top w:val="single" w:sz="8" w:color="auto"/>
            </w:tcBorders>
            <w:shd w:val="clear" w:color="auto" w:fill="C6D9F1"/>
          </w:tcPr>
          <w:p>
            <w:pPr>
              <w:spacing w:after="0"/>
              <w:rPr>
                <w:sz w:val="18"/>
                <w:szCs w:val="18"/>
                <w:color w:val="auto"/>
              </w:rPr>
            </w:pPr>
          </w:p>
        </w:tc>
        <w:tc>
          <w:tcPr>
            <w:tcW w:w="1500" w:type="dxa"/>
            <w:vAlign w:val="bottom"/>
            <w:tcBorders>
              <w:top w:val="single" w:sz="8" w:color="auto"/>
              <w:right w:val="single" w:sz="8" w:color="auto"/>
            </w:tcBorders>
            <w:gridSpan w:val="2"/>
            <w:shd w:val="clear" w:color="auto" w:fill="C6D9F1"/>
          </w:tcPr>
          <w:p>
            <w:pPr>
              <w:jc w:val="center"/>
              <w:ind w:right="850"/>
              <w:spacing w:after="0"/>
              <w:rPr>
                <w:sz w:val="20"/>
                <w:szCs w:val="20"/>
                <w:color w:val="auto"/>
              </w:rPr>
            </w:pPr>
            <w:r>
              <w:rPr>
                <w:rFonts w:ascii="Arial" w:cs="Arial" w:eastAsia="Arial" w:hAnsi="Arial"/>
                <w:sz w:val="18"/>
                <w:szCs w:val="18"/>
                <w:color w:val="auto"/>
              </w:rPr>
              <w:t>Class I</w:t>
            </w:r>
          </w:p>
        </w:tc>
        <w:tc>
          <w:tcPr>
            <w:tcW w:w="10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Class II</w:t>
            </w:r>
          </w:p>
        </w:tc>
        <w:tc>
          <w:tcPr>
            <w:tcW w:w="92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Class III</w:t>
            </w: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auto"/>
              <w:right w:val="single" w:sz="8" w:color="auto"/>
            </w:tcBorders>
            <w:shd w:val="clear" w:color="auto" w:fill="C6D9F1"/>
          </w:tcPr>
          <w:p>
            <w:pPr>
              <w:spacing w:after="0"/>
              <w:rPr>
                <w:sz w:val="18"/>
                <w:szCs w:val="18"/>
                <w:color w:val="auto"/>
              </w:rPr>
            </w:pPr>
          </w:p>
        </w:tc>
        <w:tc>
          <w:tcPr>
            <w:tcW w:w="2420" w:type="dxa"/>
            <w:vAlign w:val="bottom"/>
            <w:tcBorders>
              <w:bottom w:val="single" w:sz="8" w:color="auto"/>
              <w:right w:val="single" w:sz="8" w:color="auto"/>
            </w:tcBorders>
            <w:gridSpan w:val="3"/>
            <w:shd w:val="clear" w:color="auto" w:fill="C6D9F1"/>
          </w:tcPr>
          <w:p>
            <w:pPr>
              <w:jc w:val="center"/>
              <w:spacing w:after="0"/>
              <w:rPr>
                <w:sz w:val="20"/>
                <w:szCs w:val="20"/>
                <w:color w:val="auto"/>
              </w:rPr>
            </w:pPr>
            <w:r>
              <w:rPr>
                <w:rFonts w:ascii="Arial" w:cs="Arial" w:eastAsia="Arial" w:hAnsi="Arial"/>
                <w:sz w:val="18"/>
                <w:szCs w:val="18"/>
                <w:color w:val="auto"/>
                <w:w w:val="98"/>
              </w:rPr>
              <w:t>(Term Expires 2016)</w:t>
            </w:r>
          </w:p>
        </w:tc>
        <w:tc>
          <w:tcPr>
            <w:tcW w:w="28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(Term Expires 2017)</w:t>
            </w:r>
          </w:p>
        </w:tc>
        <w:tc>
          <w:tcPr>
            <w:tcW w:w="6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color w:val="auto"/>
                <w:w w:val="98"/>
              </w:rPr>
              <w:t>(Term Expires 2018)</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6D9F1"/>
          </w:tcPr>
          <w:p>
            <w:pPr>
              <w:spacing w:after="0"/>
              <w:rPr>
                <w:sz w:val="19"/>
                <w:szCs w:val="19"/>
                <w:color w:val="auto"/>
              </w:rPr>
            </w:pPr>
          </w:p>
        </w:tc>
        <w:tc>
          <w:tcPr>
            <w:tcW w:w="920" w:type="dxa"/>
            <w:vAlign w:val="bottom"/>
            <w:tcBorders>
              <w:bottom w:val="single" w:sz="8" w:color="auto"/>
            </w:tcBorders>
            <w:shd w:val="clear" w:color="auto" w:fill="C6D9F1"/>
          </w:tcPr>
          <w:p>
            <w:pPr>
              <w:jc w:val="center"/>
              <w:ind w:left="250"/>
              <w:spacing w:after="0"/>
              <w:rPr>
                <w:sz w:val="20"/>
                <w:szCs w:val="20"/>
                <w:color w:val="auto"/>
              </w:rPr>
            </w:pPr>
            <w:r>
              <w:rPr>
                <w:rFonts w:ascii="Arial" w:cs="Arial" w:eastAsia="Arial" w:hAnsi="Arial"/>
                <w:sz w:val="18"/>
                <w:szCs w:val="18"/>
                <w:color w:val="auto"/>
                <w:w w:val="99"/>
              </w:rPr>
              <w:t>Kapoor</w:t>
            </w:r>
          </w:p>
        </w:tc>
        <w:tc>
          <w:tcPr>
            <w:tcW w:w="340" w:type="dxa"/>
            <w:vAlign w:val="bottom"/>
            <w:tcBorders>
              <w:bottom w:val="single" w:sz="8" w:color="auto"/>
              <w:right w:val="single" w:sz="8" w:color="auto"/>
            </w:tcBorders>
            <w:shd w:val="clear" w:color="auto" w:fill="C6D9F1"/>
          </w:tcPr>
          <w:p>
            <w:pPr>
              <w:spacing w:after="0"/>
              <w:rPr>
                <w:sz w:val="19"/>
                <w:szCs w:val="19"/>
                <w:color w:val="auto"/>
              </w:rPr>
            </w:pPr>
          </w:p>
        </w:tc>
        <w:tc>
          <w:tcPr>
            <w:tcW w:w="11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Minto</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Kelso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Mittal</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Ostler</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Kerr</w:t>
            </w:r>
          </w:p>
        </w:tc>
        <w:tc>
          <w:tcPr>
            <w:tcW w:w="2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Sahney</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Staglin</w:t>
            </w:r>
          </w:p>
        </w:tc>
        <w:tc>
          <w:tcPr>
            <w:tcW w:w="0" w:type="dxa"/>
            <w:vAlign w:val="bottom"/>
          </w:tcPr>
          <w:p>
            <w:pPr>
              <w:spacing w:after="0"/>
              <w:rPr>
                <w:sz w:val="1"/>
                <w:szCs w:val="1"/>
                <w:color w:val="auto"/>
              </w:rPr>
            </w:pPr>
          </w:p>
        </w:tc>
      </w:tr>
      <w:tr>
        <w:trPr>
          <w:trHeight w:val="338"/>
        </w:trPr>
        <w:tc>
          <w:tcPr>
            <w:tcW w:w="310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High Level of Financial Literacy</w:t>
            </w:r>
          </w:p>
        </w:tc>
        <w:tc>
          <w:tcPr>
            <w:tcW w:w="920" w:type="dxa"/>
            <w:vAlign w:val="bottom"/>
            <w:tcBorders>
              <w:bottom w:val="single" w:sz="8" w:color="auto"/>
            </w:tcBorders>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bottom w:val="single" w:sz="8" w:color="auto"/>
              <w:right w:val="single" w:sz="8" w:color="auto"/>
            </w:tcBorders>
            <w:shd w:val="clear" w:color="auto" w:fill="C6D9F1"/>
          </w:tcPr>
          <w:p>
            <w:pPr>
              <w:spacing w:after="0"/>
              <w:rPr>
                <w:sz w:val="24"/>
                <w:szCs w:val="24"/>
                <w:color w:val="auto"/>
              </w:rPr>
            </w:pPr>
          </w:p>
        </w:tc>
        <w:tc>
          <w:tcPr>
            <w:tcW w:w="1160" w:type="dxa"/>
            <w:vAlign w:val="bottom"/>
            <w:tcBorders>
              <w:bottom w:val="single" w:sz="8" w:color="auto"/>
              <w:right w:val="single" w:sz="8" w:color="auto"/>
            </w:tcBorders>
            <w:shd w:val="clear" w:color="auto" w:fill="C6D9F1"/>
          </w:tcPr>
          <w:p>
            <w:pPr>
              <w:spacing w:after="0"/>
              <w:rPr>
                <w:sz w:val="24"/>
                <w:szCs w:val="24"/>
                <w:color w:val="auto"/>
              </w:rPr>
            </w:pPr>
          </w:p>
        </w:tc>
        <w:tc>
          <w:tcPr>
            <w:tcW w:w="1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ü</w:t>
            </w: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ü</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5"/>
        </w:trPr>
        <w:tc>
          <w:tcPr>
            <w:tcW w:w="310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Executive Leadership &amp; Board</w:t>
            </w:r>
          </w:p>
        </w:tc>
        <w:tc>
          <w:tcPr>
            <w:tcW w:w="920" w:type="dxa"/>
            <w:vAlign w:val="bottom"/>
            <w:vMerge w:val="restart"/>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right w:val="single" w:sz="8" w:color="auto"/>
            </w:tcBorders>
            <w:shd w:val="clear" w:color="auto" w:fill="C6D9F1"/>
          </w:tcPr>
          <w:p>
            <w:pPr>
              <w:spacing w:after="0"/>
              <w:rPr>
                <w:sz w:val="18"/>
                <w:szCs w:val="18"/>
                <w:color w:val="auto"/>
              </w:rPr>
            </w:pPr>
          </w:p>
        </w:tc>
        <w:tc>
          <w:tcPr>
            <w:tcW w:w="116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3100" w:type="dxa"/>
            <w:vAlign w:val="bottom"/>
            <w:tcBorders>
              <w:right w:val="single" w:sz="8" w:color="auto"/>
            </w:tcBorders>
            <w:vMerge w:val="restart"/>
            <w:shd w:val="clear" w:color="auto" w:fill="C6D9F1"/>
          </w:tcPr>
          <w:p>
            <w:pPr>
              <w:ind w:left="120"/>
              <w:spacing w:after="0"/>
              <w:rPr>
                <w:sz w:val="20"/>
                <w:szCs w:val="20"/>
                <w:color w:val="auto"/>
              </w:rPr>
            </w:pPr>
            <w:r>
              <w:rPr>
                <w:rFonts w:ascii="Arial" w:cs="Arial" w:eastAsia="Arial" w:hAnsi="Arial"/>
                <w:sz w:val="18"/>
                <w:szCs w:val="18"/>
                <w:color w:val="auto"/>
              </w:rPr>
              <w:t>Experience</w:t>
            </w:r>
          </w:p>
        </w:tc>
        <w:tc>
          <w:tcPr>
            <w:tcW w:w="920" w:type="dxa"/>
            <w:vAlign w:val="bottom"/>
            <w:vMerge w:val="continue"/>
            <w:shd w:val="clear" w:color="auto" w:fill="C6D9F1"/>
          </w:tcPr>
          <w:p>
            <w:pPr>
              <w:spacing w:after="0"/>
              <w:rPr>
                <w:sz w:val="9"/>
                <w:szCs w:val="9"/>
                <w:color w:val="auto"/>
              </w:rPr>
            </w:pPr>
          </w:p>
        </w:tc>
        <w:tc>
          <w:tcPr>
            <w:tcW w:w="340" w:type="dxa"/>
            <w:vAlign w:val="bottom"/>
            <w:tcBorders>
              <w:right w:val="single" w:sz="8" w:color="auto"/>
            </w:tcBorders>
            <w:shd w:val="clear" w:color="auto" w:fill="C6D9F1"/>
          </w:tcPr>
          <w:p>
            <w:pPr>
              <w:spacing w:after="0"/>
              <w:rPr>
                <w:sz w:val="9"/>
                <w:szCs w:val="9"/>
                <w:color w:val="auto"/>
              </w:rPr>
            </w:pPr>
          </w:p>
        </w:tc>
        <w:tc>
          <w:tcPr>
            <w:tcW w:w="1160" w:type="dxa"/>
            <w:vAlign w:val="bottom"/>
            <w:tcBorders>
              <w:right w:val="single" w:sz="8" w:color="auto"/>
            </w:tcBorders>
            <w:vMerge w:val="continue"/>
            <w:shd w:val="clear" w:color="auto" w:fill="C6D9F1"/>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right w:val="single" w:sz="8" w:color="auto"/>
            </w:tcBorders>
            <w:vMerge w:val="continue"/>
            <w:shd w:val="clear" w:color="auto" w:fill="C6D9F1"/>
          </w:tcPr>
          <w:p>
            <w:pPr>
              <w:spacing w:after="0"/>
              <w:rPr>
                <w:sz w:val="9"/>
                <w:szCs w:val="9"/>
                <w:color w:val="auto"/>
              </w:rPr>
            </w:pPr>
          </w:p>
        </w:tc>
        <w:tc>
          <w:tcPr>
            <w:tcW w:w="920" w:type="dxa"/>
            <w:vAlign w:val="bottom"/>
            <w:tcBorders>
              <w:bottom w:val="single" w:sz="8" w:color="auto"/>
            </w:tcBorders>
            <w:shd w:val="clear" w:color="auto" w:fill="C6D9F1"/>
          </w:tcPr>
          <w:p>
            <w:pPr>
              <w:spacing w:after="0"/>
              <w:rPr>
                <w:sz w:val="9"/>
                <w:szCs w:val="9"/>
                <w:color w:val="auto"/>
              </w:rPr>
            </w:pPr>
          </w:p>
        </w:tc>
        <w:tc>
          <w:tcPr>
            <w:tcW w:w="340" w:type="dxa"/>
            <w:vAlign w:val="bottom"/>
            <w:tcBorders>
              <w:bottom w:val="single" w:sz="8" w:color="auto"/>
              <w:right w:val="single" w:sz="8" w:color="auto"/>
            </w:tcBorders>
            <w:shd w:val="clear" w:color="auto" w:fill="C6D9F1"/>
          </w:tcPr>
          <w:p>
            <w:pPr>
              <w:spacing w:after="0"/>
              <w:rPr>
                <w:sz w:val="9"/>
                <w:szCs w:val="9"/>
                <w:color w:val="auto"/>
              </w:rPr>
            </w:pPr>
          </w:p>
        </w:tc>
        <w:tc>
          <w:tcPr>
            <w:tcW w:w="1160" w:type="dxa"/>
            <w:vAlign w:val="bottom"/>
            <w:tcBorders>
              <w:bottom w:val="single" w:sz="8" w:color="auto"/>
              <w:right w:val="single" w:sz="8" w:color="auto"/>
            </w:tcBorders>
            <w:shd w:val="clear" w:color="auto" w:fill="C6D9F1"/>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International / Global Experience</w:t>
            </w:r>
          </w:p>
        </w:tc>
        <w:tc>
          <w:tcPr>
            <w:tcW w:w="920" w:type="dxa"/>
            <w:vAlign w:val="bottom"/>
            <w:tcBorders>
              <w:bottom w:val="single" w:sz="8" w:color="auto"/>
            </w:tcBorders>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bottom w:val="single" w:sz="8" w:color="auto"/>
              <w:right w:val="single" w:sz="8" w:color="auto"/>
            </w:tcBorders>
            <w:shd w:val="clear" w:color="auto" w:fill="C6D9F1"/>
          </w:tcPr>
          <w:p>
            <w:pPr>
              <w:spacing w:after="0"/>
              <w:rPr>
                <w:sz w:val="20"/>
                <w:szCs w:val="20"/>
                <w:color w:val="auto"/>
              </w:rPr>
            </w:pPr>
          </w:p>
        </w:tc>
        <w:tc>
          <w:tcPr>
            <w:tcW w:w="11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5"/>
        </w:trPr>
        <w:tc>
          <w:tcPr>
            <w:tcW w:w="310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Operations Management, Analytics</w:t>
            </w:r>
          </w:p>
        </w:tc>
        <w:tc>
          <w:tcPr>
            <w:tcW w:w="920" w:type="dxa"/>
            <w:vAlign w:val="bottom"/>
            <w:vMerge w:val="restart"/>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right w:val="single" w:sz="8" w:color="auto"/>
            </w:tcBorders>
            <w:shd w:val="clear" w:color="auto" w:fill="C6D9F1"/>
          </w:tcPr>
          <w:p>
            <w:pPr>
              <w:spacing w:after="0"/>
              <w:rPr>
                <w:sz w:val="18"/>
                <w:szCs w:val="18"/>
                <w:color w:val="auto"/>
              </w:rPr>
            </w:pPr>
          </w:p>
        </w:tc>
        <w:tc>
          <w:tcPr>
            <w:tcW w:w="116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3100" w:type="dxa"/>
            <w:vAlign w:val="bottom"/>
            <w:tcBorders>
              <w:right w:val="single" w:sz="8" w:color="auto"/>
            </w:tcBorders>
            <w:vMerge w:val="restart"/>
            <w:shd w:val="clear" w:color="auto" w:fill="C6D9F1"/>
          </w:tcPr>
          <w:p>
            <w:pPr>
              <w:ind w:left="120"/>
              <w:spacing w:after="0"/>
              <w:rPr>
                <w:sz w:val="20"/>
                <w:szCs w:val="20"/>
                <w:color w:val="auto"/>
              </w:rPr>
            </w:pPr>
            <w:r>
              <w:rPr>
                <w:rFonts w:ascii="Arial" w:cs="Arial" w:eastAsia="Arial" w:hAnsi="Arial"/>
                <w:sz w:val="18"/>
                <w:szCs w:val="18"/>
                <w:color w:val="auto"/>
              </w:rPr>
              <w:t>and/or Industry Vertical Experience</w:t>
            </w:r>
          </w:p>
        </w:tc>
        <w:tc>
          <w:tcPr>
            <w:tcW w:w="920" w:type="dxa"/>
            <w:vAlign w:val="bottom"/>
            <w:vMerge w:val="continue"/>
            <w:shd w:val="clear" w:color="auto" w:fill="C6D9F1"/>
          </w:tcPr>
          <w:p>
            <w:pPr>
              <w:spacing w:after="0"/>
              <w:rPr>
                <w:sz w:val="9"/>
                <w:szCs w:val="9"/>
                <w:color w:val="auto"/>
              </w:rPr>
            </w:pPr>
          </w:p>
        </w:tc>
        <w:tc>
          <w:tcPr>
            <w:tcW w:w="340" w:type="dxa"/>
            <w:vAlign w:val="bottom"/>
            <w:tcBorders>
              <w:right w:val="single" w:sz="8" w:color="auto"/>
            </w:tcBorders>
            <w:shd w:val="clear" w:color="auto" w:fill="C6D9F1"/>
          </w:tcPr>
          <w:p>
            <w:pPr>
              <w:spacing w:after="0"/>
              <w:rPr>
                <w:sz w:val="9"/>
                <w:szCs w:val="9"/>
                <w:color w:val="auto"/>
              </w:rPr>
            </w:pPr>
          </w:p>
        </w:tc>
        <w:tc>
          <w:tcPr>
            <w:tcW w:w="1160" w:type="dxa"/>
            <w:vAlign w:val="bottom"/>
            <w:tcBorders>
              <w:right w:val="single" w:sz="8" w:color="auto"/>
            </w:tcBorders>
            <w:vMerge w:val="continue"/>
            <w:shd w:val="clear" w:color="auto" w:fill="C6D9F1"/>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right w:val="single" w:sz="8" w:color="auto"/>
            </w:tcBorders>
            <w:vMerge w:val="continue"/>
            <w:shd w:val="clear" w:color="auto" w:fill="C6D9F1"/>
          </w:tcPr>
          <w:p>
            <w:pPr>
              <w:spacing w:after="0"/>
              <w:rPr>
                <w:sz w:val="9"/>
                <w:szCs w:val="9"/>
                <w:color w:val="auto"/>
              </w:rPr>
            </w:pPr>
          </w:p>
        </w:tc>
        <w:tc>
          <w:tcPr>
            <w:tcW w:w="920" w:type="dxa"/>
            <w:vAlign w:val="bottom"/>
            <w:tcBorders>
              <w:bottom w:val="single" w:sz="8" w:color="auto"/>
            </w:tcBorders>
            <w:shd w:val="clear" w:color="auto" w:fill="C6D9F1"/>
          </w:tcPr>
          <w:p>
            <w:pPr>
              <w:spacing w:after="0"/>
              <w:rPr>
                <w:sz w:val="9"/>
                <w:szCs w:val="9"/>
                <w:color w:val="auto"/>
              </w:rPr>
            </w:pPr>
          </w:p>
        </w:tc>
        <w:tc>
          <w:tcPr>
            <w:tcW w:w="340" w:type="dxa"/>
            <w:vAlign w:val="bottom"/>
            <w:tcBorders>
              <w:bottom w:val="single" w:sz="8" w:color="auto"/>
              <w:right w:val="single" w:sz="8" w:color="auto"/>
            </w:tcBorders>
            <w:shd w:val="clear" w:color="auto" w:fill="C6D9F1"/>
          </w:tcPr>
          <w:p>
            <w:pPr>
              <w:spacing w:after="0"/>
              <w:rPr>
                <w:sz w:val="9"/>
                <w:szCs w:val="9"/>
                <w:color w:val="auto"/>
              </w:rPr>
            </w:pPr>
          </w:p>
        </w:tc>
        <w:tc>
          <w:tcPr>
            <w:tcW w:w="1160" w:type="dxa"/>
            <w:vAlign w:val="bottom"/>
            <w:tcBorders>
              <w:bottom w:val="single" w:sz="8" w:color="auto"/>
              <w:right w:val="single" w:sz="8" w:color="auto"/>
            </w:tcBorders>
            <w:shd w:val="clear" w:color="auto" w:fill="C6D9F1"/>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120015</wp:posOffset>
            </wp:positionV>
            <wp:extent cx="1714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Audit committee financial experts under applicable SEC rules and regulations.</w:t>
      </w:r>
    </w:p>
    <w:p>
      <w:pPr>
        <w:spacing w:after="0" w:line="225" w:lineRule="exact"/>
        <w:rPr>
          <w:sz w:val="20"/>
          <w:szCs w:val="20"/>
          <w:color w:val="auto"/>
        </w:rPr>
      </w:pPr>
    </w:p>
    <w:p>
      <w:pPr>
        <w:ind w:right="100" w:firstLine="441"/>
        <w:spacing w:after="0"/>
        <w:rPr>
          <w:sz w:val="20"/>
          <w:szCs w:val="20"/>
          <w:color w:val="auto"/>
        </w:rPr>
      </w:pPr>
      <w:r>
        <w:rPr>
          <w:rFonts w:ascii="Arial" w:cs="Arial" w:eastAsia="Arial" w:hAnsi="Arial"/>
          <w:sz w:val="18"/>
          <w:szCs w:val="18"/>
          <w:color w:val="auto"/>
        </w:rPr>
        <w:t>The election of our Class I directors will take place at the Annual Meeting. If elected, each of the Class I director nominees will serve on our board of directors until our 2019 Annual Meeting of Stockholders or until their successors are duly elected and qualified in accordance with our by-laws.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0"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names, ages and principal occupations (which have continued for at least the past five years unless otherwise indicated) and certain other information, including the specific experience, qualifications, attributes or skills that led to the conclusion that such person should serve as a director of the Company, with respect to each of the nominees and continuing directors are set forth below.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2016</w:t>
      </w:r>
    </w:p>
    <w:p>
      <w:pPr>
        <w:spacing w:after="0" w:line="198" w:lineRule="exact"/>
        <w:rPr>
          <w:sz w:val="20"/>
          <w:szCs w:val="20"/>
          <w:color w:val="auto"/>
        </w:rPr>
      </w:pPr>
    </w:p>
    <w:p>
      <w:pPr>
        <w:ind w:right="140" w:firstLine="441"/>
        <w:spacing w:after="0"/>
        <w:rPr>
          <w:sz w:val="20"/>
          <w:szCs w:val="20"/>
          <w:color w:val="auto"/>
        </w:rPr>
      </w:pPr>
      <w:r>
        <w:rPr>
          <w:rFonts w:ascii="Arial" w:cs="Arial" w:eastAsia="Arial" w:hAnsi="Arial"/>
          <w:sz w:val="18"/>
          <w:szCs w:val="18"/>
          <w:i w:val="1"/>
          <w:iCs w:val="1"/>
          <w:color w:val="auto"/>
        </w:rPr>
        <w:t>Rohit Kapoor</w:t>
      </w:r>
      <w:r>
        <w:rPr>
          <w:rFonts w:ascii="Arial" w:cs="Arial" w:eastAsia="Arial" w:hAnsi="Arial"/>
          <w:sz w:val="18"/>
          <w:szCs w:val="18"/>
          <w:color w:val="auto"/>
        </w:rPr>
        <w:t>—Age: 51—co-founded EXL Inc. in April 1999 and has served as our Vice Chairman and CEO since April 2012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November 2002. Mr. Kapoor served as our President and CEO from May 2008 to March 2012, as our Chief Financial Officer (“CFO”) from November 2002 until June 2005 and from September 2006 to March 2007, as our Chief Operating Officer from June 2007 until April 2008 and as President and CFO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Technologies, Inc. (NASDAQ: CA) on April 7, 2011 and is an active member of the National Association of Software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4" w:name="page15"/>
    <w:bookmarkEnd w:id="14"/>
    <w:p>
      <w:pPr>
        <w:ind w:right="200"/>
        <w:spacing w:after="0" w:line="246" w:lineRule="auto"/>
        <w:rPr>
          <w:sz w:val="20"/>
          <w:szCs w:val="20"/>
          <w:color w:val="auto"/>
        </w:rPr>
      </w:pPr>
      <w:r>
        <w:rPr>
          <w:rFonts w:ascii="Arial" w:cs="Arial" w:eastAsia="Arial" w:hAnsi="Arial"/>
          <w:sz w:val="18"/>
          <w:szCs w:val="18"/>
          <w:color w:val="auto"/>
        </w:rPr>
        <w:t>Services Companies (“NASSCOM”) BPM Forum. The Company has concluded that in connection with Mr. Kapoor’s experience as a founder and current role as CEO of the Company, he should serve as a director.</w:t>
      </w:r>
    </w:p>
    <w:p>
      <w:pPr>
        <w:spacing w:after="0" w:line="165" w:lineRule="exact"/>
        <w:rPr>
          <w:sz w:val="20"/>
          <w:szCs w:val="20"/>
          <w:color w:val="auto"/>
        </w:rPr>
      </w:pPr>
    </w:p>
    <w:p>
      <w:pPr>
        <w:ind w:right="40" w:firstLine="441"/>
        <w:spacing w:after="0" w:line="238" w:lineRule="auto"/>
        <w:rPr>
          <w:sz w:val="20"/>
          <w:szCs w:val="20"/>
          <w:color w:val="auto"/>
        </w:rPr>
      </w:pPr>
      <w:r>
        <w:rPr>
          <w:rFonts w:ascii="Arial" w:cs="Arial" w:eastAsia="Arial" w:hAnsi="Arial"/>
          <w:sz w:val="18"/>
          <w:szCs w:val="18"/>
          <w:i w:val="1"/>
          <w:iCs w:val="1"/>
          <w:color w:val="auto"/>
        </w:rPr>
        <w:t>Anne E. Minto</w:t>
      </w:r>
      <w:r>
        <w:rPr>
          <w:rFonts w:ascii="Arial" w:cs="Arial" w:eastAsia="Arial" w:hAnsi="Arial"/>
          <w:sz w:val="18"/>
          <w:szCs w:val="18"/>
          <w:color w:val="auto"/>
        </w:rPr>
        <w:t>—Age: 62—has served as a member of our board of directors since March 2013. Ms. Minto is a qualified lawyer and</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Law Society of Scotland. She is a Fellow of the Chartered Institute of Personnel &amp; Development, the Chartered Institute of Management and the City and Guilds of London Institute.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(NASDAQ: SHPG; LSE: SHP) and a non-executive director of Tate &amp; Lyle plc (LSE: TATE) where she serves as Chairman of the Remuneration Committees of both companies. She is also a non-executive director of the Court of the University of Aberdeen and Vice Chairman of the University of Aberdeen Development Trust. She was awarded an OBE in 2000 for services to the engineering industry in the UK. The Company has concluded, based in part on Ms. Minto’s extensive experience as a member of international company boards and of management in the human resources field, together with her knowledge and experience of the European business and regulatory environment that she should serve as a director.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2017</w:t>
      </w:r>
    </w:p>
    <w:p>
      <w:pPr>
        <w:spacing w:after="0" w:line="19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David B. Kelso</w:t>
      </w:r>
      <w:r>
        <w:rPr>
          <w:rFonts w:ascii="Arial" w:cs="Arial" w:eastAsia="Arial" w:hAnsi="Arial"/>
          <w:sz w:val="18"/>
          <w:szCs w:val="18"/>
          <w:color w:val="auto"/>
        </w:rPr>
        <w:t>—Age: 63—has served as a member of our board of directors since July 2006. Mr. Kelso is a financial advisor for Kelso</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a company he started in 2003. Mr. Kelso served as a senior advisor to Inductis, Inc. from June 2004 through June 2006 at which time the firm was acquired by the Company. From September 2001 through September 2003, Mr. Kelso served as Chairman of the Aetna Life Insurance Co. as well as the Executive Vice President, Strategy and Finance and a member of the Office of the Chairman for Aetna, Inc. From 1996 to 2001, Mr. Kelso was Executive Vice President, Chief Financial Officer and Managing Director of the Chubb Corporation. Mr. Kelso currently serves on the Board of Directors of the Sound Shore Fund where he is the lead independent director and Chair of the Audit, Nominating, and Valuation Committees. From 2005 to 2010, Mr. Kelso was a member of the Board of Directors of Aspen Holdings Limited. From 2007 to 2015, Mr. Kelso served on the Board of Assurant, Inc. and was a member of its Audit Committee and Finance &amp; Investment Committee. In November 2015, Mr. Kelso was appointed to the Board of Trustees of the Darden School Foundation of the University of Virginia Darden School of Business. Mr. Kelso’s business experience with Inductis, his management and operating experience at major public companies, his expertise in finance, strategy and investments, and his board and committee service at other global companies led to the conclusion that he should serve as a director.</w:t>
      </w:r>
    </w:p>
    <w:p>
      <w:pPr>
        <w:spacing w:after="0" w:line="170" w:lineRule="exact"/>
        <w:rPr>
          <w:sz w:val="20"/>
          <w:szCs w:val="20"/>
          <w:color w:val="auto"/>
        </w:rPr>
      </w:pPr>
    </w:p>
    <w:p>
      <w:pPr>
        <w:ind w:right="20" w:firstLine="441"/>
        <w:spacing w:after="0"/>
        <w:rPr>
          <w:sz w:val="20"/>
          <w:szCs w:val="20"/>
          <w:color w:val="auto"/>
        </w:rPr>
      </w:pPr>
      <w:r>
        <w:rPr>
          <w:rFonts w:ascii="Arial" w:cs="Arial" w:eastAsia="Arial" w:hAnsi="Arial"/>
          <w:sz w:val="18"/>
          <w:szCs w:val="18"/>
          <w:i w:val="1"/>
          <w:iCs w:val="1"/>
          <w:color w:val="auto"/>
        </w:rPr>
        <w:t>Som Mittal</w:t>
      </w:r>
      <w:r>
        <w:rPr>
          <w:rFonts w:ascii="Arial" w:cs="Arial" w:eastAsia="Arial" w:hAnsi="Arial"/>
          <w:sz w:val="18"/>
          <w:szCs w:val="18"/>
          <w:color w:val="auto"/>
        </w:rPr>
        <w:t>—Age: 64—has served as a member of our board of directors since December 2013. Mr. Mittal served as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NASSCOM, a trade body for the IT and business process management industries in India from 2008 through January 2014. Mr. Mittal has held various corporate leadership roles in the IT industry since 1989, including at companies such as Wipro, Digital India, Compaq and HP. He also has extensive experience in the engineering, manufacturing and automotive industries, having held executive roles with Larsen &amp; Toubro, Escorts and Denso. Mr. Mittal became an Independent Director of Axis Bank (NSE: Axis) in October 2011, Cyient Ltd. (NSE: CYIENT) in April 2014 and Tata SIA Airlines in July 2015. He is a member of the Board of Governors of the Indian Institute of Corporate Affairs. Mr. Mittal has been a committee member with the Indian Prime Minister’s National</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5" w:name="page16"/>
    <w:bookmarkEnd w:id="15"/>
    <w:p>
      <w:pPr>
        <w:ind w:right="200"/>
        <w:spacing w:after="0" w:line="239" w:lineRule="auto"/>
        <w:rPr>
          <w:sz w:val="20"/>
          <w:szCs w:val="20"/>
          <w:color w:val="auto"/>
        </w:rPr>
      </w:pPr>
      <w:r>
        <w:rPr>
          <w:rFonts w:ascii="Arial" w:cs="Arial" w:eastAsia="Arial" w:hAnsi="Arial"/>
          <w:sz w:val="18"/>
          <w:szCs w:val="18"/>
          <w:color w:val="auto"/>
        </w:rPr>
        <w:t>e-Governance Program and is part of several committees of the Government of India. Besides being an Advisor to several companies he is also deeply associated with education as he is on the Board of Governors of several of them. The Company has concluded, based in part on Mr. Mittal’s business experience as President of NASSCOM and his knowledge of the outsourcing industry, that Mr. Mittal should serve as a director.</w:t>
      </w:r>
    </w:p>
    <w:p>
      <w:pPr>
        <w:spacing w:after="0" w:line="170"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i w:val="1"/>
          <w:iCs w:val="1"/>
          <w:color w:val="auto"/>
        </w:rPr>
        <w:t>Clyde W. Ostler</w:t>
      </w:r>
      <w:r>
        <w:rPr>
          <w:rFonts w:ascii="Arial" w:cs="Arial" w:eastAsia="Arial" w:hAnsi="Arial"/>
          <w:sz w:val="18"/>
          <w:szCs w:val="18"/>
          <w:color w:val="auto"/>
        </w:rPr>
        <w:t>—Age: 69—has served as a member of our board of directors since December 2007. At the time of his retirement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Wells Fargo &amp; Co., Mr. Ostler was a Group Executive Vice President of Wells Fargo &amp; Co., Vice Chairman of Wells Fargo Bank California NA, and President of Wells Fargo Family Wealth. Mr. Ostler served in a number of capacities during his forty year tenure with Wells Fargo, including Vice Chairman in the Office of the President, Chief Financial Officer, Chief Auditor, Head of Retail Branch Banking, Head of Information Technology, Head of Institutional and Personal Investments and Head of Internet Services. Mr. Ostler also served on the Senior Management Committee of Wells Fargo for over twenty-five years. Mr. Ostler has also served on a number of for-profit and non-profit boards of directors. Mr. Ostler was appointed to the board of The McClatchy Company (NYSE: MNI) in March 2013. The Company has concluded, based in part on Mr. Ostler’s business experience through his positions at Wells Fargo &amp; Company that Mr. Ostler should serve as a director.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Nominees for Terms Expiring in 2018</w:t>
      </w:r>
    </w:p>
    <w:p>
      <w:pPr>
        <w:spacing w:after="0" w:line="19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Deborah Kerr</w:t>
      </w:r>
      <w:r>
        <w:rPr>
          <w:rFonts w:ascii="Arial" w:cs="Arial" w:eastAsia="Arial" w:hAnsi="Arial"/>
          <w:sz w:val="18"/>
          <w:szCs w:val="18"/>
          <w:color w:val="auto"/>
        </w:rPr>
        <w:t>—Age: 44—has served as a member of our board of directors since January 2015. Ms. Kerr is a proven technology leader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software industry with more than 25 years of diverse management experience. Ms. Kerr has served as the Executive Vice President and Chief Product and Technology Officer at Sabre Corporation (NASDAQ: SABR) since 2013 and is responsible for leading the global product and technology organization. Prior to her appointment at Sabre Corporation, Ms. Kerr served as Executive Vice President, Chief Product and Technology Officer at Fair Isaac Corporation (FICO) from 2009 until 2012. Ms. Kerr previously held senior leadership roles with Hewlett-Packard, Peregrine Systems and NASA’s Jet Propulsion Laboratory. From 2013 to present Ms. Kerr serves as an Independent Director of D+H Corporation (TSX: DH), which provides technology solutions and products to the financial services industry. She was previously a member of the board of directors of Mitchell International Inc. and was Chair of the Technology Committee. The Company has concluded, based in part on Ms. Kerr’s experience driving business through innovative technology solutions and more than 25 years of diverse management experience that Ms. Kerr should serve as a director.</w:t>
      </w:r>
    </w:p>
    <w:p>
      <w:pPr>
        <w:spacing w:after="0" w:line="176" w:lineRule="exact"/>
        <w:rPr>
          <w:sz w:val="20"/>
          <w:szCs w:val="20"/>
          <w:color w:val="auto"/>
        </w:rPr>
      </w:pPr>
    </w:p>
    <w:p>
      <w:pPr>
        <w:ind w:firstLine="441"/>
        <w:spacing w:after="0"/>
        <w:rPr>
          <w:sz w:val="20"/>
          <w:szCs w:val="20"/>
          <w:color w:val="auto"/>
        </w:rPr>
      </w:pPr>
      <w:r>
        <w:rPr>
          <w:rFonts w:ascii="Arial" w:cs="Arial" w:eastAsia="Arial" w:hAnsi="Arial"/>
          <w:sz w:val="18"/>
          <w:szCs w:val="18"/>
          <w:i w:val="1"/>
          <w:iCs w:val="1"/>
          <w:color w:val="auto"/>
        </w:rPr>
        <w:t>Nitin Sahney</w:t>
      </w:r>
      <w:r>
        <w:rPr>
          <w:rFonts w:ascii="Arial" w:cs="Arial" w:eastAsia="Arial" w:hAnsi="Arial"/>
          <w:sz w:val="18"/>
          <w:szCs w:val="18"/>
          <w:color w:val="auto"/>
        </w:rPr>
        <w:t>—Age: 53—has served as a member of our board of directors since January 2016. He is a leader in the healthcare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with over 25 years of experience across all areas of healthcare. He is the former President and CEO of Omnicare Inc., a former New York Stock Exchange-listed Fortune 500 company in the long-term care and specialty care industries. Prior to Omnicare, Mr. Sahney managed a healthcare investment fund, and was the founder and CEO of RxCrossroads, a specialty pharmaceutical company. He also held a series of leadership positions with Cardinal Healthcare, a global healthcare services and products company. The Company has concluded, based in part on Mr. Sahney’s experience as CEO of Omnicare, Inc. and his expertise in the healthcare industry garnered from more than two decades of experience that he should serve as a director.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i w:val="1"/>
          <w:iCs w:val="1"/>
          <w:color w:val="auto"/>
        </w:rPr>
        <w:t>Garen K. Staglin</w:t>
      </w:r>
      <w:r>
        <w:rPr>
          <w:rFonts w:ascii="Arial" w:cs="Arial" w:eastAsia="Arial" w:hAnsi="Arial"/>
          <w:sz w:val="18"/>
          <w:szCs w:val="18"/>
          <w:color w:val="auto"/>
        </w:rPr>
        <w:t>—Age: 71—has served as our Chairman since February 2014 and as a member of our board of directors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2005. Mr. Staglin has over 40 years of experience in the financial services and technology industries. From 2001 to 2004 he was Chief</w:t>
      </w:r>
    </w:p>
    <w:p>
      <w:pPr>
        <w:spacing w:after="0" w:line="234" w:lineRule="auto"/>
        <w:rPr>
          <w:sz w:val="20"/>
          <w:szCs w:val="20"/>
          <w:color w:val="auto"/>
        </w:rPr>
      </w:pPr>
      <w:r>
        <w:rPr>
          <w:rFonts w:ascii="Arial" w:cs="Arial" w:eastAsia="Arial" w:hAnsi="Arial"/>
          <w:sz w:val="18"/>
          <w:szCs w:val="18"/>
          <w:color w:val="auto"/>
        </w:rPr>
        <w:t>Executive Officer of eONE Global LP, an emerging payments company, and from 1993 – 1999 he was CEO of Safelite Auto Glass, a provider</w:t>
      </w:r>
    </w:p>
    <w:p>
      <w:pPr>
        <w:spacing w:after="0" w:line="235" w:lineRule="auto"/>
        <w:rPr>
          <w:sz w:val="20"/>
          <w:szCs w:val="20"/>
          <w:color w:val="auto"/>
        </w:rPr>
      </w:pPr>
      <w:r>
        <w:rPr>
          <w:rFonts w:ascii="Arial" w:cs="Arial" w:eastAsia="Arial" w:hAnsi="Arial"/>
          <w:sz w:val="18"/>
          <w:szCs w:val="18"/>
          <w:color w:val="auto"/>
        </w:rPr>
        <w:t>of glass claim solutions. Mr. Staglin serves on the boards of directors of several public and private companies and non-profit corporations. In</w:t>
      </w:r>
    </w:p>
    <w:p>
      <w:pPr>
        <w:spacing w:after="0" w:line="235" w:lineRule="auto"/>
        <w:rPr>
          <w:sz w:val="20"/>
          <w:szCs w:val="20"/>
          <w:color w:val="auto"/>
        </w:rPr>
      </w:pPr>
      <w:r>
        <w:rPr>
          <w:rFonts w:ascii="Arial" w:cs="Arial" w:eastAsia="Arial" w:hAnsi="Arial"/>
          <w:sz w:val="18"/>
          <w:szCs w:val="18"/>
          <w:color w:val="auto"/>
        </w:rPr>
        <w:t>the past five years, Mr. Staglin has served on the public company board of directors of Bottomline Technologies, Inc. and of Solera Holdings,</w:t>
      </w:r>
    </w:p>
    <w:p>
      <w:pPr>
        <w:spacing w:after="0" w:line="235" w:lineRule="auto"/>
        <w:rPr>
          <w:sz w:val="20"/>
          <w:szCs w:val="20"/>
          <w:color w:val="auto"/>
        </w:rPr>
      </w:pPr>
      <w:r>
        <w:rPr>
          <w:rFonts w:ascii="Arial" w:cs="Arial" w:eastAsia="Arial" w:hAnsi="Arial"/>
          <w:sz w:val="18"/>
          <w:szCs w:val="18"/>
          <w:color w:val="auto"/>
        </w:rPr>
        <w:t>Inc. and is presently serving on the board of SVB Financial Group (NASDAQ: SIVB). Additional prior public board experience includes First</w:t>
      </w:r>
    </w:p>
    <w:p>
      <w:pPr>
        <w:spacing w:after="0" w:line="235" w:lineRule="auto"/>
        <w:rPr>
          <w:sz w:val="20"/>
          <w:szCs w:val="20"/>
          <w:color w:val="auto"/>
        </w:rPr>
      </w:pPr>
      <w:r>
        <w:rPr>
          <w:rFonts w:ascii="Arial" w:cs="Arial" w:eastAsia="Arial" w:hAnsi="Arial"/>
          <w:sz w:val="18"/>
          <w:szCs w:val="18"/>
          <w:color w:val="auto"/>
        </w:rPr>
        <w:t>Data Corporation, CyberCash, Inc., and Quick Response Services. Private board experience includes Specialized Bicycle, NVoice Payments,</w:t>
      </w:r>
    </w:p>
    <w:p>
      <w:pPr>
        <w:spacing w:after="0" w:line="235" w:lineRule="auto"/>
        <w:rPr>
          <w:sz w:val="20"/>
          <w:szCs w:val="20"/>
          <w:color w:val="auto"/>
        </w:rPr>
      </w:pPr>
      <w:r>
        <w:rPr>
          <w:rFonts w:ascii="Arial" w:cs="Arial" w:eastAsia="Arial" w:hAnsi="Arial"/>
          <w:sz w:val="18"/>
          <w:szCs w:val="18"/>
          <w:color w:val="auto"/>
        </w:rPr>
        <w:t>Profit Velocity Solutions, and Winecountry.com. Non-profit board experience includes One Mind, IMHRO, and BringChange2Mind. The</w:t>
      </w:r>
    </w:p>
    <w:p>
      <w:pPr>
        <w:spacing w:after="0" w:line="235" w:lineRule="auto"/>
        <w:rPr>
          <w:sz w:val="20"/>
          <w:szCs w:val="20"/>
          <w:color w:val="auto"/>
        </w:rPr>
      </w:pPr>
      <w:r>
        <w:rPr>
          <w:rFonts w:ascii="Arial" w:cs="Arial" w:eastAsia="Arial" w:hAnsi="Arial"/>
          <w:sz w:val="18"/>
          <w:szCs w:val="18"/>
          <w:color w:val="auto"/>
        </w:rPr>
        <w:t>Company has concluded, based in part on Mr. Staglin’s experience in the financial services and technology industries and his past experience</w:t>
      </w:r>
    </w:p>
    <w:p>
      <w:pPr>
        <w:spacing w:after="0"/>
        <w:rPr>
          <w:sz w:val="20"/>
          <w:szCs w:val="20"/>
          <w:color w:val="auto"/>
        </w:rPr>
      </w:pPr>
      <w:r>
        <w:rPr>
          <w:rFonts w:ascii="Arial" w:cs="Arial" w:eastAsia="Arial" w:hAnsi="Arial"/>
          <w:sz w:val="18"/>
          <w:szCs w:val="18"/>
          <w:color w:val="auto"/>
        </w:rPr>
        <w:t>as a member of public company boards of directors that Mr. Staglin should serve as a director.</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50"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0" w:lineRule="exact"/>
        <w:rPr>
          <w:sz w:val="20"/>
          <w:szCs w:val="20"/>
          <w:color w:val="auto"/>
        </w:rPr>
      </w:pPr>
    </w:p>
    <w:p>
      <w:pPr>
        <w:ind w:right="200" w:firstLine="441"/>
        <w:spacing w:after="0" w:line="246"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Mr. Kapoor, meet the independence requirements of the Nasdaq Stock Market and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0"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2015, our board of directors met 7 times. Each member of our board of directors attended more than 75% of our board of directors meetings during the period in 2015 in which he or she served on our board of directors. It is our policy that all of our directors should attend our Annual Meetings of Stockholders absent exceptional cause. All of the persons who were members of the board of directors at the time of our 2015 Annual Meeting of Stockholders attended such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is currently led by Garen K. Staglin, our Chairman, and Rohit Kapoor, our Vice Chairman and CEO.</w:t>
      </w:r>
    </w:p>
    <w:p>
      <w:pPr>
        <w:spacing w:after="0" w:line="198"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our CEO and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9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90"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981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98120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Committee Composition</w:t>
      </w:r>
      <w:r>
        <w:rPr>
          <w:rFonts w:ascii="Arial" w:cs="Arial" w:eastAsia="Arial" w:hAnsi="Arial"/>
          <w:sz w:val="30"/>
          <w:szCs w:val="30"/>
          <w:color w:val="FFFFFF"/>
          <w:vertAlign w:val="superscript"/>
        </w:rPr>
        <w:t>(1)</w:t>
      </w:r>
    </w:p>
    <w:tbl>
      <w:tblPr>
        <w:tblLayout w:type="fixed"/>
        <w:tblInd w:w="0" w:type="dxa"/>
        <w:tblCellMar>
          <w:top w:w="0" w:type="dxa"/>
          <w:left w:w="0" w:type="dxa"/>
          <w:bottom w:w="0" w:type="dxa"/>
          <w:right w:w="0" w:type="dxa"/>
        </w:tblCellMar>
      </w:tblPr>
      <w:tr>
        <w:trPr>
          <w:trHeight w:val="187"/>
        </w:trPr>
        <w:tc>
          <w:tcPr>
            <w:tcW w:w="2760" w:type="dxa"/>
            <w:vAlign w:val="bottom"/>
            <w:tcBorders>
              <w:top w:val="single" w:sz="8" w:color="auto"/>
              <w:right w:val="single" w:sz="8" w:color="auto"/>
            </w:tcBorders>
            <w:shd w:val="clear" w:color="auto" w:fill="C6D9F1"/>
          </w:tcPr>
          <w:p>
            <w:pPr>
              <w:spacing w:after="0"/>
              <w:rPr>
                <w:sz w:val="16"/>
                <w:szCs w:val="16"/>
                <w:color w:val="auto"/>
              </w:rPr>
            </w:pPr>
          </w:p>
        </w:tc>
        <w:tc>
          <w:tcPr>
            <w:tcW w:w="2640" w:type="dxa"/>
            <w:vAlign w:val="bottom"/>
            <w:tcBorders>
              <w:top w:val="single" w:sz="8" w:color="auto"/>
              <w:right w:val="single" w:sz="8" w:color="auto"/>
            </w:tcBorders>
            <w:shd w:val="clear" w:color="auto" w:fill="C6D9F1"/>
          </w:tcPr>
          <w:p>
            <w:pPr>
              <w:spacing w:after="0"/>
              <w:rPr>
                <w:sz w:val="16"/>
                <w:szCs w:val="16"/>
                <w:color w:val="auto"/>
              </w:rPr>
            </w:pPr>
          </w:p>
        </w:tc>
        <w:tc>
          <w:tcPr>
            <w:tcW w:w="2740" w:type="dxa"/>
            <w:vAlign w:val="bottom"/>
            <w:tcBorders>
              <w:top w:val="single" w:sz="8" w:color="auto"/>
              <w:right w:val="single" w:sz="8" w:color="auto"/>
            </w:tcBorders>
            <w:vMerge w:val="restart"/>
            <w:shd w:val="clear" w:color="auto" w:fill="C6D9F1"/>
          </w:tcPr>
          <w:p>
            <w:pPr>
              <w:ind w:left="700"/>
              <w:spacing w:after="0"/>
              <w:rPr>
                <w:sz w:val="20"/>
                <w:szCs w:val="20"/>
                <w:color w:val="auto"/>
              </w:rPr>
            </w:pPr>
            <w:r>
              <w:rPr>
                <w:rFonts w:ascii="Arial" w:cs="Arial" w:eastAsia="Arial" w:hAnsi="Arial"/>
                <w:sz w:val="18"/>
                <w:szCs w:val="18"/>
                <w:b w:val="1"/>
                <w:bCs w:val="1"/>
                <w:color w:val="auto"/>
              </w:rPr>
              <w:t>Compensation</w:t>
            </w:r>
          </w:p>
        </w:tc>
        <w:tc>
          <w:tcPr>
            <w:tcW w:w="3260" w:type="dxa"/>
            <w:vAlign w:val="bottom"/>
            <w:tcBorders>
              <w:top w:val="single" w:sz="8" w:color="auto"/>
            </w:tcBorders>
            <w:shd w:val="clear" w:color="auto" w:fill="C6D9F1"/>
          </w:tcPr>
          <w:p>
            <w:pPr>
              <w:jc w:val="center"/>
              <w:spacing w:after="0" w:line="187" w:lineRule="exact"/>
              <w:rPr>
                <w:sz w:val="20"/>
                <w:szCs w:val="20"/>
                <w:color w:val="auto"/>
              </w:rPr>
            </w:pPr>
            <w:r>
              <w:rPr>
                <w:rFonts w:ascii="Arial" w:cs="Arial" w:eastAsia="Arial" w:hAnsi="Arial"/>
                <w:sz w:val="18"/>
                <w:szCs w:val="18"/>
                <w:b w:val="1"/>
                <w:bCs w:val="1"/>
                <w:color w:val="auto"/>
                <w:w w:val="99"/>
              </w:rPr>
              <w:t>Nominating and</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60" w:type="dxa"/>
            <w:vAlign w:val="bottom"/>
            <w:tcBorders>
              <w:right w:val="single" w:sz="8" w:color="auto"/>
            </w:tcBorders>
            <w:shd w:val="clear" w:color="auto" w:fill="C6D9F1"/>
          </w:tcPr>
          <w:p>
            <w:pPr>
              <w:spacing w:after="0"/>
              <w:rPr>
                <w:sz w:val="8"/>
                <w:szCs w:val="8"/>
                <w:color w:val="auto"/>
              </w:rPr>
            </w:pPr>
          </w:p>
        </w:tc>
        <w:tc>
          <w:tcPr>
            <w:tcW w:w="2640" w:type="dxa"/>
            <w:vAlign w:val="bottom"/>
            <w:tcBorders>
              <w:right w:val="single" w:sz="8" w:color="auto"/>
            </w:tcBorders>
            <w:vMerge w:val="restart"/>
            <w:shd w:val="clear" w:color="auto" w:fill="C6D9F1"/>
          </w:tcPr>
          <w:p>
            <w:pPr>
              <w:ind w:left="600"/>
              <w:spacing w:after="0" w:line="202" w:lineRule="exact"/>
              <w:rPr>
                <w:sz w:val="20"/>
                <w:szCs w:val="20"/>
                <w:color w:val="auto"/>
              </w:rPr>
            </w:pPr>
            <w:r>
              <w:rPr>
                <w:rFonts w:ascii="Arial" w:cs="Arial" w:eastAsia="Arial" w:hAnsi="Arial"/>
                <w:sz w:val="18"/>
                <w:szCs w:val="18"/>
                <w:b w:val="1"/>
                <w:bCs w:val="1"/>
                <w:color w:val="auto"/>
              </w:rPr>
              <w:t>Audit Committee</w:t>
            </w:r>
          </w:p>
        </w:tc>
        <w:tc>
          <w:tcPr>
            <w:tcW w:w="2740" w:type="dxa"/>
            <w:vAlign w:val="bottom"/>
            <w:tcBorders>
              <w:right w:val="single" w:sz="8" w:color="auto"/>
            </w:tcBorders>
            <w:vMerge w:val="continue"/>
            <w:shd w:val="clear" w:color="auto" w:fill="C6D9F1"/>
          </w:tcPr>
          <w:p>
            <w:pPr>
              <w:spacing w:after="0"/>
              <w:rPr>
                <w:sz w:val="8"/>
                <w:szCs w:val="8"/>
                <w:color w:val="auto"/>
              </w:rPr>
            </w:pPr>
          </w:p>
        </w:tc>
        <w:tc>
          <w:tcPr>
            <w:tcW w:w="3260" w:type="dxa"/>
            <w:vAlign w:val="bottom"/>
            <w:vMerge w:val="restart"/>
            <w:shd w:val="clear" w:color="auto" w:fill="C6D9F1"/>
          </w:tcPr>
          <w:p>
            <w:pPr>
              <w:jc w:val="center"/>
              <w:spacing w:after="0" w:line="202" w:lineRule="exact"/>
              <w:rPr>
                <w:sz w:val="20"/>
                <w:szCs w:val="20"/>
                <w:color w:val="auto"/>
              </w:rPr>
            </w:pPr>
            <w:r>
              <w:rPr>
                <w:rFonts w:ascii="Arial" w:cs="Arial" w:eastAsia="Arial" w:hAnsi="Arial"/>
                <w:sz w:val="18"/>
                <w:szCs w:val="18"/>
                <w:b w:val="1"/>
                <w:bCs w:val="1"/>
                <w:color w:val="auto"/>
              </w:rPr>
              <w:t>Corporate Governance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60" w:type="dxa"/>
            <w:vAlign w:val="bottom"/>
            <w:tcBorders>
              <w:right w:val="single" w:sz="8" w:color="auto"/>
            </w:tcBorders>
            <w:shd w:val="clear" w:color="auto" w:fill="C6D9F1"/>
          </w:tcPr>
          <w:p>
            <w:pPr>
              <w:spacing w:after="0"/>
              <w:rPr>
                <w:sz w:val="9"/>
                <w:szCs w:val="9"/>
                <w:color w:val="auto"/>
              </w:rPr>
            </w:pPr>
          </w:p>
        </w:tc>
        <w:tc>
          <w:tcPr>
            <w:tcW w:w="2640" w:type="dxa"/>
            <w:vAlign w:val="bottom"/>
            <w:tcBorders>
              <w:right w:val="single" w:sz="8" w:color="auto"/>
            </w:tcBorders>
            <w:vMerge w:val="continue"/>
            <w:shd w:val="clear" w:color="auto" w:fill="C6D9F1"/>
          </w:tcPr>
          <w:p>
            <w:pPr>
              <w:spacing w:after="0"/>
              <w:rPr>
                <w:sz w:val="9"/>
                <w:szCs w:val="9"/>
                <w:color w:val="auto"/>
              </w:rPr>
            </w:pPr>
          </w:p>
        </w:tc>
        <w:tc>
          <w:tcPr>
            <w:tcW w:w="2740" w:type="dxa"/>
            <w:vAlign w:val="bottom"/>
            <w:tcBorders>
              <w:right w:val="single" w:sz="8" w:color="auto"/>
            </w:tcBorders>
            <w:vMerge w:val="restart"/>
            <w:shd w:val="clear" w:color="auto" w:fill="C6D9F1"/>
          </w:tcPr>
          <w:p>
            <w:pPr>
              <w:ind w:left="880"/>
              <w:spacing w:after="0"/>
              <w:rPr>
                <w:sz w:val="20"/>
                <w:szCs w:val="20"/>
                <w:color w:val="auto"/>
              </w:rPr>
            </w:pPr>
            <w:r>
              <w:rPr>
                <w:rFonts w:ascii="Arial" w:cs="Arial" w:eastAsia="Arial" w:hAnsi="Arial"/>
                <w:sz w:val="18"/>
                <w:szCs w:val="18"/>
                <w:b w:val="1"/>
                <w:bCs w:val="1"/>
                <w:color w:val="auto"/>
              </w:rPr>
              <w:t>Committee</w:t>
            </w:r>
          </w:p>
        </w:tc>
        <w:tc>
          <w:tcPr>
            <w:tcW w:w="3260" w:type="dxa"/>
            <w:vAlign w:val="bottom"/>
            <w:vMerge w:val="continue"/>
            <w:shd w:val="clear" w:color="auto" w:fill="C6D9F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auto"/>
            </w:tcBorders>
            <w:shd w:val="clear" w:color="auto" w:fill="C6D9F1"/>
          </w:tcPr>
          <w:p>
            <w:pPr>
              <w:spacing w:after="0"/>
              <w:rPr>
                <w:sz w:val="11"/>
                <w:szCs w:val="11"/>
                <w:color w:val="auto"/>
              </w:rPr>
            </w:pPr>
          </w:p>
        </w:tc>
        <w:tc>
          <w:tcPr>
            <w:tcW w:w="2640" w:type="dxa"/>
            <w:vAlign w:val="bottom"/>
            <w:tcBorders>
              <w:right w:val="single" w:sz="8" w:color="auto"/>
            </w:tcBorders>
            <w:shd w:val="clear" w:color="auto" w:fill="C6D9F1"/>
          </w:tcPr>
          <w:p>
            <w:pPr>
              <w:spacing w:after="0"/>
              <w:rPr>
                <w:sz w:val="11"/>
                <w:szCs w:val="11"/>
                <w:color w:val="auto"/>
              </w:rPr>
            </w:pPr>
          </w:p>
        </w:tc>
        <w:tc>
          <w:tcPr>
            <w:tcW w:w="2740" w:type="dxa"/>
            <w:vAlign w:val="bottom"/>
            <w:tcBorders>
              <w:right w:val="single" w:sz="8" w:color="auto"/>
            </w:tcBorders>
            <w:vMerge w:val="continue"/>
            <w:shd w:val="clear" w:color="auto" w:fill="C6D9F1"/>
          </w:tcPr>
          <w:p>
            <w:pPr>
              <w:spacing w:after="0"/>
              <w:rPr>
                <w:sz w:val="11"/>
                <w:szCs w:val="11"/>
                <w:color w:val="auto"/>
              </w:rPr>
            </w:pPr>
          </w:p>
        </w:tc>
        <w:tc>
          <w:tcPr>
            <w:tcW w:w="3260" w:type="dxa"/>
            <w:vAlign w:val="bottom"/>
            <w:vMerge w:val="restart"/>
            <w:shd w:val="clear" w:color="auto" w:fill="C6D9F1"/>
          </w:tcPr>
          <w:p>
            <w:pPr>
              <w:jc w:val="center"/>
              <w:spacing w:after="0"/>
              <w:rPr>
                <w:sz w:val="20"/>
                <w:szCs w:val="20"/>
                <w:color w:val="auto"/>
              </w:rPr>
            </w:pPr>
            <w:r>
              <w:rPr>
                <w:rFonts w:ascii="Arial" w:cs="Arial" w:eastAsia="Arial" w:hAnsi="Arial"/>
                <w:sz w:val="18"/>
                <w:szCs w:val="18"/>
                <w:b w:val="1"/>
                <w:bCs w:val="1"/>
                <w:color w:val="auto"/>
              </w:rPr>
              <w:t>Committee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Borders>
              <w:bottom w:val="single" w:sz="8" w:color="auto"/>
              <w:right w:val="single" w:sz="8" w:color="auto"/>
            </w:tcBorders>
            <w:shd w:val="clear" w:color="auto" w:fill="C6D9F1"/>
          </w:tcPr>
          <w:p>
            <w:pPr>
              <w:spacing w:after="0"/>
              <w:rPr>
                <w:sz w:val="9"/>
                <w:szCs w:val="9"/>
                <w:color w:val="auto"/>
              </w:rPr>
            </w:pPr>
          </w:p>
        </w:tc>
        <w:tc>
          <w:tcPr>
            <w:tcW w:w="2640" w:type="dxa"/>
            <w:vAlign w:val="bottom"/>
            <w:tcBorders>
              <w:bottom w:val="single" w:sz="8" w:color="auto"/>
              <w:right w:val="single" w:sz="8" w:color="auto"/>
            </w:tcBorders>
            <w:shd w:val="clear" w:color="auto" w:fill="C6D9F1"/>
          </w:tcPr>
          <w:p>
            <w:pPr>
              <w:spacing w:after="0"/>
              <w:rPr>
                <w:sz w:val="9"/>
                <w:szCs w:val="9"/>
                <w:color w:val="auto"/>
              </w:rPr>
            </w:pPr>
          </w:p>
        </w:tc>
        <w:tc>
          <w:tcPr>
            <w:tcW w:w="2740" w:type="dxa"/>
            <w:vAlign w:val="bottom"/>
            <w:tcBorders>
              <w:bottom w:val="single" w:sz="8" w:color="auto"/>
              <w:right w:val="single" w:sz="8" w:color="auto"/>
            </w:tcBorders>
            <w:shd w:val="clear" w:color="auto" w:fill="C6D9F1"/>
          </w:tcPr>
          <w:p>
            <w:pPr>
              <w:spacing w:after="0"/>
              <w:rPr>
                <w:sz w:val="9"/>
                <w:szCs w:val="9"/>
                <w:color w:val="auto"/>
              </w:rPr>
            </w:pPr>
          </w:p>
        </w:tc>
        <w:tc>
          <w:tcPr>
            <w:tcW w:w="3260" w:type="dxa"/>
            <w:vAlign w:val="bottom"/>
            <w:tcBorders>
              <w:bottom w:val="single" w:sz="8" w:color="auto"/>
            </w:tcBorders>
            <w:vMerge w:val="continue"/>
            <w:shd w:val="clear" w:color="auto" w:fill="C6D9F1"/>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 Kelso</w:t>
            </w:r>
          </w:p>
        </w:tc>
        <w:tc>
          <w:tcPr>
            <w:tcW w:w="2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Deborah Kerr</w:t>
            </w:r>
          </w:p>
        </w:tc>
        <w:tc>
          <w:tcPr>
            <w:tcW w:w="2640" w:type="dxa"/>
            <w:vAlign w:val="bottom"/>
            <w:tcBorders>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shd w:val="clear" w:color="auto" w:fill="C6D9F1"/>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shd w:val="clear" w:color="auto" w:fill="C6D9F1"/>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Anne Minto</w:t>
            </w:r>
          </w:p>
        </w:tc>
        <w:tc>
          <w:tcPr>
            <w:tcW w:w="26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Som Mittal</w:t>
            </w:r>
          </w:p>
        </w:tc>
        <w:tc>
          <w:tcPr>
            <w:tcW w:w="2640" w:type="dxa"/>
            <w:vAlign w:val="bottom"/>
            <w:tcBorders>
              <w:bottom w:val="single" w:sz="8" w:color="auto"/>
              <w:right w:val="single" w:sz="8" w:color="auto"/>
            </w:tcBorders>
            <w:shd w:val="clear" w:color="auto" w:fill="C6D9F1"/>
          </w:tcPr>
          <w:p>
            <w:pPr>
              <w:spacing w:after="0"/>
              <w:rPr>
                <w:sz w:val="22"/>
                <w:szCs w:val="22"/>
                <w:color w:val="auto"/>
              </w:rPr>
            </w:pPr>
          </w:p>
        </w:tc>
        <w:tc>
          <w:tcPr>
            <w:tcW w:w="2740" w:type="dxa"/>
            <w:vAlign w:val="bottom"/>
            <w:tcBorders>
              <w:bottom w:val="single" w:sz="8" w:color="auto"/>
              <w:right w:val="single" w:sz="8" w:color="auto"/>
            </w:tcBorders>
            <w:shd w:val="clear" w:color="auto" w:fill="C6D9F1"/>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shd w:val="clear" w:color="auto" w:fill="C6D9F1"/>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Clyde Ostler</w:t>
            </w:r>
          </w:p>
        </w:tc>
        <w:tc>
          <w:tcPr>
            <w:tcW w:w="2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Nitin Sahney</w:t>
            </w:r>
          </w:p>
        </w:tc>
        <w:tc>
          <w:tcPr>
            <w:tcW w:w="2640" w:type="dxa"/>
            <w:vAlign w:val="bottom"/>
            <w:tcBorders>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shd w:val="clear" w:color="auto" w:fill="C6D9F1"/>
          </w:tcPr>
          <w:p>
            <w:pPr>
              <w:spacing w:after="0"/>
              <w:rPr>
                <w:sz w:val="22"/>
                <w:szCs w:val="22"/>
                <w:color w:val="auto"/>
              </w:rPr>
            </w:pPr>
          </w:p>
        </w:tc>
        <w:tc>
          <w:tcPr>
            <w:tcW w:w="3260" w:type="dxa"/>
            <w:vAlign w:val="bottom"/>
            <w:tcBorders>
              <w:bottom w:val="single" w:sz="8" w:color="auto"/>
            </w:tcBorders>
            <w:shd w:val="clear" w:color="auto" w:fill="C6D9F1"/>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Garen K. Staglin</w:t>
            </w:r>
          </w:p>
        </w:tc>
        <w:tc>
          <w:tcPr>
            <w:tcW w:w="26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128905</wp:posOffset>
            </wp:positionV>
            <wp:extent cx="1714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Audit committee financial expert under applicable SEC rules and regulations.</w:t>
      </w:r>
    </w:p>
    <w:p>
      <w:pPr>
        <w:spacing w:after="0" w:line="28"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standing committees consist of independent directors. As such, Mr. Kapoor is not included in the table.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oversees and assists our board of directors in fulfilling its oversight responsibilities with respect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98" w:lineRule="exact"/>
        <w:rPr>
          <w:sz w:val="20"/>
          <w:szCs w:val="20"/>
          <w:color w:val="auto"/>
        </w:rPr>
      </w:pPr>
    </w:p>
    <w:p>
      <w:pPr>
        <w:ind w:left="880" w:right="280" w:hanging="332"/>
        <w:spacing w:after="0" w:line="24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of our financial statements;</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 and</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cyber security program and cyber strategy-related risks.</w:t>
      </w:r>
    </w:p>
    <w:p>
      <w:pPr>
        <w:spacing w:after="0" w:line="212" w:lineRule="exact"/>
        <w:rPr>
          <w:sz w:val="20"/>
          <w:szCs w:val="20"/>
          <w:color w:val="auto"/>
        </w:rPr>
      </w:pPr>
    </w:p>
    <w:p>
      <w:pPr>
        <w:ind w:right="100" w:firstLine="441"/>
        <w:spacing w:after="0" w:line="237"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The Audit Committee was established in accordance with Section 3(a)(58)(A) of the Securities Exchange Act of 1934 (the “Exchange Act”). Our Audit Committee annually reviews and assesses the adequacy of the Audit Committee charter and its own performance. In December 2015, the Audit Committee approved an amendment to its charter to include responsibility for overseeing the Company’s cyber security program and cyber strategy related risks. A copy of our Audit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9" w:name="page20"/>
    <w:bookmarkEnd w:id="19"/>
    <w:p>
      <w:pPr>
        <w:ind w:right="40"/>
        <w:spacing w:after="0" w:line="246" w:lineRule="auto"/>
        <w:rPr>
          <w:sz w:val="20"/>
          <w:szCs w:val="20"/>
          <w:color w:val="auto"/>
        </w:rPr>
      </w:pPr>
      <w:r>
        <w:rPr>
          <w:rFonts w:ascii="Arial" w:cs="Arial" w:eastAsia="Arial" w:hAnsi="Arial"/>
          <w:sz w:val="18"/>
          <w:szCs w:val="18"/>
          <w:color w:val="auto"/>
        </w:rPr>
        <w:t>Committee charter can be found on our website at www.exlservice.com. Information on our website referred to in this proxy statement does not constitute a part of this proxy statement.</w:t>
      </w:r>
    </w:p>
    <w:p>
      <w:pPr>
        <w:spacing w:after="0" w:line="183" w:lineRule="exact"/>
        <w:rPr>
          <w:sz w:val="20"/>
          <w:szCs w:val="20"/>
          <w:color w:val="auto"/>
        </w:rPr>
      </w:pPr>
    </w:p>
    <w:p>
      <w:pPr>
        <w:ind w:right="240" w:firstLine="441"/>
        <w:spacing w:after="0" w:line="238" w:lineRule="auto"/>
        <w:rPr>
          <w:sz w:val="20"/>
          <w:szCs w:val="20"/>
          <w:color w:val="auto"/>
        </w:rPr>
      </w:pPr>
      <w:r>
        <w:rPr>
          <w:rFonts w:ascii="Arial" w:cs="Arial" w:eastAsia="Arial" w:hAnsi="Arial"/>
          <w:sz w:val="18"/>
          <w:szCs w:val="18"/>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 During 2015, our Audit Committee met seven times. Each member of our Audit Committee attended at least 75% of our Audit Committee’s meetings in 2015 during the period in which he or she served on our Audit Committee.</w:t>
      </w:r>
    </w:p>
    <w:p>
      <w:pPr>
        <w:spacing w:after="0" w:line="167" w:lineRule="exact"/>
        <w:rPr>
          <w:sz w:val="20"/>
          <w:szCs w:val="20"/>
          <w:color w:val="auto"/>
        </w:rPr>
      </w:pPr>
    </w:p>
    <w:p>
      <w:pPr>
        <w:ind w:right="180" w:firstLine="441"/>
        <w:spacing w:after="0" w:line="244"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Our Nominating and Governance Committee identifies individuals qualified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board of 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85" w:lineRule="exact"/>
        <w:rPr>
          <w:sz w:val="20"/>
          <w:szCs w:val="20"/>
          <w:color w:val="auto"/>
        </w:rPr>
      </w:pPr>
    </w:p>
    <w:p>
      <w:pPr>
        <w:ind w:firstLine="441"/>
        <w:spacing w:after="0" w:line="234" w:lineRule="auto"/>
        <w:rPr>
          <w:sz w:val="20"/>
          <w:szCs w:val="20"/>
          <w:color w:val="auto"/>
        </w:rPr>
      </w:pPr>
      <w:r>
        <w:rPr>
          <w:rFonts w:ascii="Arial" w:cs="Arial" w:eastAsia="Arial" w:hAnsi="Arial"/>
          <w:sz w:val="18"/>
          <w:szCs w:val="18"/>
          <w:color w:val="auto"/>
        </w:rPr>
        <w:t>Our Nominating and Governance Committee has a policy, reflected in such committee’s charter, of considering director candidates recommended by our stockholders. Candidate recommendations should be sent to our Nominating and Governance Committee, c/o ExlService</w:t>
      </w:r>
    </w:p>
    <w:p>
      <w:pPr>
        <w:spacing w:after="0" w:line="2"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Holdings, Inc.,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190" w:lineRule="exact"/>
        <w:rPr>
          <w:sz w:val="20"/>
          <w:szCs w:val="20"/>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211" w:lineRule="exact"/>
        <w:rPr>
          <w:rFonts w:ascii="Arial" w:cs="Arial" w:eastAsia="Arial" w:hAnsi="Arial"/>
          <w:sz w:val="18"/>
          <w:szCs w:val="18"/>
          <w:color w:val="auto"/>
        </w:rPr>
      </w:pPr>
    </w:p>
    <w:p>
      <w:pPr>
        <w:ind w:left="880" w:right="620" w:hanging="332"/>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diversity of our existing board of directors, so that we maintain a body of directors from diverse professional and personal backgrounds;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211" w:lineRule="exact"/>
        <w:rPr>
          <w:rFonts w:ascii="Arial" w:cs="Arial" w:eastAsia="Arial" w:hAnsi="Arial"/>
          <w:sz w:val="18"/>
          <w:szCs w:val="18"/>
          <w:color w:val="auto"/>
        </w:rPr>
      </w:pPr>
    </w:p>
    <w:p>
      <w:pPr>
        <w:ind w:left="880" w:right="80" w:hanging="332"/>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183" w:lineRule="exact"/>
        <w:rPr>
          <w:rFonts w:ascii="Arial" w:cs="Arial" w:eastAsia="Arial" w:hAnsi="Arial"/>
          <w:sz w:val="18"/>
          <w:szCs w:val="18"/>
          <w:color w:val="auto"/>
        </w:rPr>
      </w:pPr>
    </w:p>
    <w:p>
      <w:pPr>
        <w:ind w:left="880" w:right="80" w:hanging="332"/>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0" w:name="page21"/>
    <w:bookmarkEnd w:id="20"/>
    <w:p>
      <w:pPr>
        <w:ind w:left="880" w:right="8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211" w:lineRule="exact"/>
        <w:rPr>
          <w:rFonts w:ascii="Arial" w:cs="Arial" w:eastAsia="Arial" w:hAnsi="Arial"/>
          <w:sz w:val="18"/>
          <w:szCs w:val="18"/>
          <w:color w:val="auto"/>
        </w:rPr>
      </w:pPr>
    </w:p>
    <w:p>
      <w:pPr>
        <w:ind w:left="880" w:right="82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211" w:lineRule="exact"/>
        <w:rPr>
          <w:rFonts w:ascii="Arial" w:cs="Arial" w:eastAsia="Arial" w:hAnsi="Arial"/>
          <w:sz w:val="18"/>
          <w:szCs w:val="18"/>
          <w:color w:val="auto"/>
        </w:rPr>
      </w:pPr>
    </w:p>
    <w:p>
      <w:pPr>
        <w:ind w:left="880" w:right="16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211" w:lineRule="exact"/>
        <w:rPr>
          <w:rFonts w:ascii="Arial" w:cs="Arial" w:eastAsia="Arial" w:hAnsi="Arial"/>
          <w:sz w:val="18"/>
          <w:szCs w:val="18"/>
          <w:color w:val="auto"/>
        </w:rPr>
      </w:pPr>
    </w:p>
    <w:p>
      <w:pPr>
        <w:ind w:left="880" w:right="40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183" w:lineRule="exact"/>
        <w:rPr>
          <w:rFonts w:ascii="Arial" w:cs="Arial" w:eastAsia="Arial" w:hAnsi="Arial"/>
          <w:sz w:val="18"/>
          <w:szCs w:val="18"/>
          <w:color w:val="auto"/>
        </w:rPr>
      </w:pPr>
    </w:p>
    <w:p>
      <w:pPr>
        <w:ind w:left="880" w:right="36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183" w:lineRule="exact"/>
        <w:rPr>
          <w:rFonts w:ascii="Arial" w:cs="Arial" w:eastAsia="Arial" w:hAnsi="Arial"/>
          <w:sz w:val="18"/>
          <w:szCs w:val="18"/>
          <w:color w:val="auto"/>
        </w:rPr>
      </w:pPr>
    </w:p>
    <w:p>
      <w:pPr>
        <w:ind w:left="88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212"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89"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 Our Nominating and Governance Committee annually reviews and assesses the adequacy of the Nominating and Governance Committee charter and its own performance.</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8" w:right="339" w:bottom="1440" w:gutter="0" w:footer="0" w:header="0"/>
        </w:sectPr>
      </w:pPr>
    </w:p>
    <w:bookmarkStart w:id="21" w:name="page22"/>
    <w:bookmarkEnd w:id="21"/>
    <w:p>
      <w:pPr>
        <w:ind w:right="180" w:firstLine="441"/>
        <w:spacing w:after="0" w:line="238" w:lineRule="auto"/>
        <w:rPr>
          <w:sz w:val="20"/>
          <w:szCs w:val="20"/>
          <w:color w:val="auto"/>
        </w:rPr>
      </w:pPr>
      <w:r>
        <w:rPr>
          <w:rFonts w:ascii="Arial" w:cs="Arial" w:eastAsia="Arial" w:hAnsi="Arial"/>
          <w:sz w:val="18"/>
          <w:szCs w:val="18"/>
          <w:color w:val="auto"/>
        </w:rPr>
        <w:t>The members of our Nominating and Governance Committee are appointed by our board of directors. During 2015, our Nominating and Governance Committee met five times. Each appointed member of our Nominating and Governance Committee attended at least 75% of our Nominating and Governance Committee’s meetings in 2015 during the period in which he or she served on our Nominating and Governance Committee. Our board of directors has determined that all of the members of the Nominating and Governance Committee meet the independence requirements of the Nasdaq Stock Market and federal securities laws.</w:t>
      </w:r>
    </w:p>
    <w:p>
      <w:pPr>
        <w:spacing w:after="0" w:line="167"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reviews and recommends policies relating to compensation and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Vice Chairman and CEO or other senior executive compensation and to carry out its duties. For 2015, our Compensation Committee retained the services of Frederick W. Cook</w:t>
      </w:r>
    </w:p>
    <w:p>
      <w:pPr>
        <w:spacing w:after="0" w:line="6" w:lineRule="exact"/>
        <w:rPr>
          <w:sz w:val="20"/>
          <w:szCs w:val="20"/>
          <w:color w:val="auto"/>
        </w:rPr>
      </w:pPr>
    </w:p>
    <w:p>
      <w:pPr>
        <w:ind w:right="180" w:firstLine="8"/>
        <w:spacing w:after="0" w:line="238" w:lineRule="auto"/>
        <w:tabs>
          <w:tab w:leader="none" w:pos="1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 Inc. (“Cook &amp; Co.), a qualified and independent compensation consultant, to aid the Compensation Committee in performing its review of executive compensation.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89" w:lineRule="exact"/>
        <w:rPr>
          <w:sz w:val="20"/>
          <w:szCs w:val="20"/>
          <w:color w:val="auto"/>
        </w:rPr>
      </w:pPr>
    </w:p>
    <w:p>
      <w:pPr>
        <w:ind w:right="80" w:firstLine="441"/>
        <w:spacing w:after="0" w:line="237" w:lineRule="auto"/>
        <w:rPr>
          <w:sz w:val="20"/>
          <w:szCs w:val="20"/>
          <w:color w:val="auto"/>
        </w:rPr>
      </w:pPr>
      <w:r>
        <w:rPr>
          <w:rFonts w:ascii="Arial" w:cs="Arial" w:eastAsia="Arial" w:hAnsi="Arial"/>
          <w:sz w:val="18"/>
          <w:szCs w:val="18"/>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 During 2015, our Compensation Committee met eight times. Each member of our Compensation Committee attended at least 75% of our Compensation Committee’s meetings in 2015 during the period in which he or she served on our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0"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88"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2" w:name="page23"/>
    <w:bookmarkEnd w:id="22"/>
    <w:p>
      <w:pPr>
        <w:spacing w:after="0" w:line="237" w:lineRule="auto"/>
        <w:rPr>
          <w:sz w:val="20"/>
          <w:szCs w:val="20"/>
          <w:color w:val="auto"/>
        </w:rPr>
      </w:pPr>
      <w:r>
        <w:rPr>
          <w:rFonts w:ascii="Arial" w:cs="Arial" w:eastAsia="Arial" w:hAnsi="Arial"/>
          <w:sz w:val="18"/>
          <w:szCs w:val="18"/>
          <w:color w:val="auto"/>
        </w:rPr>
        <w:t>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 Once a year, the full board receives a report from management on the Company’s readiness and capability to prevent, detect and respond to a cyber-attack.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Kerr, Ms. Minto, Mr. Mittal, Mr. Ostler and Mr. Staglin are the members of our Compensation Committee.</w:t>
      </w:r>
    </w:p>
    <w:p>
      <w:pPr>
        <w:spacing w:after="0" w:line="198" w:lineRule="exact"/>
        <w:rPr>
          <w:sz w:val="20"/>
          <w:szCs w:val="20"/>
          <w:color w:val="auto"/>
        </w:rPr>
      </w:pPr>
    </w:p>
    <w:p>
      <w:pPr>
        <w:ind w:right="220" w:firstLine="441"/>
        <w:spacing w:after="0" w:line="246" w:lineRule="auto"/>
        <w:rPr>
          <w:sz w:val="20"/>
          <w:szCs w:val="20"/>
          <w:color w:val="auto"/>
        </w:rPr>
      </w:pPr>
      <w:r>
        <w:rPr>
          <w:rFonts w:ascii="Arial" w:cs="Arial" w:eastAsia="Arial" w:hAnsi="Arial"/>
          <w:sz w:val="18"/>
          <w:szCs w:val="18"/>
          <w:color w:val="auto"/>
        </w:rPr>
        <w:t>During 2015, none of our executive officers served as a member of the board of directors or compensation committee of any entity that has one or more executive officers who serve on our board of directors or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right="20" w:firstLine="486"/>
        <w:spacing w:after="0" w:line="246" w:lineRule="auto"/>
        <w:rPr>
          <w:sz w:val="20"/>
          <w:szCs w:val="20"/>
          <w:color w:val="auto"/>
        </w:rPr>
      </w:pPr>
      <w:r>
        <w:rPr>
          <w:rFonts w:ascii="Arial" w:cs="Arial" w:eastAsia="Arial" w:hAnsi="Arial"/>
          <w:sz w:val="18"/>
          <w:szCs w:val="18"/>
          <w:color w:val="auto"/>
        </w:rPr>
        <w:t>The Board maintains a practice whereby our directors disclose to the Board any offers to be a director of any other organization, which is then evaluated by the Board for potential business and other conflicts.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220" w:lineRule="exact"/>
        <w:rPr>
          <w:sz w:val="20"/>
          <w:szCs w:val="20"/>
          <w:color w:val="auto"/>
        </w:rPr>
      </w:pPr>
    </w:p>
    <w:p>
      <w:pPr>
        <w:ind w:right="100" w:firstLine="441"/>
        <w:spacing w:after="0" w:line="238" w:lineRule="auto"/>
        <w:rPr>
          <w:sz w:val="20"/>
          <w:szCs w:val="20"/>
          <w:color w:val="auto"/>
        </w:rPr>
      </w:pPr>
      <w:r>
        <w:rPr>
          <w:rFonts w:ascii="Arial" w:cs="Arial" w:eastAsia="Arial" w:hAnsi="Arial"/>
          <w:sz w:val="18"/>
          <w:szCs w:val="18"/>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In December 2015, the Audit Committee approved our revised and enhanced Code of Conduct and Ethics which can be found on our website at www.exlservice.com.</w:t>
      </w:r>
    </w:p>
    <w:p>
      <w:pPr>
        <w:spacing w:after="0" w:line="189" w:lineRule="exact"/>
        <w:rPr>
          <w:sz w:val="20"/>
          <w:szCs w:val="20"/>
          <w:color w:val="auto"/>
        </w:rPr>
      </w:pPr>
    </w:p>
    <w:p>
      <w:pPr>
        <w:jc w:val="both"/>
        <w:ind w:right="200" w:firstLine="441"/>
        <w:spacing w:after="0" w:line="23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 of ExlService Holdings, Inc.</w:t>
      </w:r>
    </w:p>
    <w:p>
      <w:pPr>
        <w:ind w:left="440"/>
        <w:spacing w:after="0" w:line="234" w:lineRule="auto"/>
        <w:rPr>
          <w:sz w:val="20"/>
          <w:szCs w:val="20"/>
          <w:color w:val="auto"/>
        </w:rPr>
      </w:pPr>
      <w:r>
        <w:rPr>
          <w:rFonts w:ascii="Arial" w:cs="Arial" w:eastAsia="Arial" w:hAnsi="Arial"/>
          <w:sz w:val="18"/>
          <w:szCs w:val="18"/>
          <w:color w:val="auto"/>
        </w:rPr>
        <w:t>c/o Corporate Secretary</w:t>
      </w:r>
    </w:p>
    <w:p>
      <w:pPr>
        <w:ind w:left="440"/>
        <w:spacing w:after="0" w:line="235" w:lineRule="auto"/>
        <w:rPr>
          <w:sz w:val="20"/>
          <w:szCs w:val="20"/>
          <w:color w:val="auto"/>
        </w:rPr>
      </w:pPr>
      <w:r>
        <w:rPr>
          <w:rFonts w:ascii="Arial" w:cs="Arial" w:eastAsia="Arial" w:hAnsi="Arial"/>
          <w:sz w:val="18"/>
          <w:szCs w:val="18"/>
          <w:color w:val="auto"/>
        </w:rPr>
        <w:t>ExlService Holdings, Inc.</w:t>
      </w:r>
    </w:p>
    <w:p>
      <w:pPr>
        <w:ind w:left="4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23" w:name="page24"/>
    <w:bookmarkEnd w:id="23"/>
    <w:p>
      <w:pPr>
        <w:ind w:right="160" w:firstLine="441"/>
        <w:spacing w:after="0" w:line="246" w:lineRule="auto"/>
        <w:rPr>
          <w:sz w:val="20"/>
          <w:szCs w:val="20"/>
          <w:color w:val="auto"/>
        </w:rPr>
      </w:pPr>
      <w:r>
        <w:rPr>
          <w:rFonts w:ascii="Arial" w:cs="Arial" w:eastAsia="Arial" w:hAnsi="Arial"/>
          <w:sz w:val="18"/>
          <w:szCs w:val="18"/>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83"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 Committee of the Board of Directors</w:t>
      </w:r>
    </w:p>
    <w:p>
      <w:pPr>
        <w:ind w:left="440"/>
        <w:spacing w:after="0" w:line="235" w:lineRule="auto"/>
        <w:rPr>
          <w:sz w:val="20"/>
          <w:szCs w:val="20"/>
          <w:color w:val="auto"/>
        </w:rPr>
      </w:pPr>
      <w:r>
        <w:rPr>
          <w:rFonts w:ascii="Arial" w:cs="Arial" w:eastAsia="Arial" w:hAnsi="Arial"/>
          <w:sz w:val="18"/>
          <w:szCs w:val="18"/>
          <w:color w:val="auto"/>
        </w:rPr>
        <w:t>ExlService Holdings, Inc.</w:t>
      </w:r>
    </w:p>
    <w:p>
      <w:pPr>
        <w:ind w:left="4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440"/>
        <w:spacing w:after="0" w:line="235" w:lineRule="auto"/>
        <w:rPr>
          <w:sz w:val="20"/>
          <w:szCs w:val="20"/>
          <w:color w:val="auto"/>
        </w:rPr>
      </w:pPr>
      <w:r>
        <w:rPr>
          <w:rFonts w:ascii="Arial" w:cs="Arial" w:eastAsia="Arial" w:hAnsi="Arial"/>
          <w:sz w:val="18"/>
          <w:szCs w:val="18"/>
          <w:color w:val="auto"/>
        </w:rPr>
        <w:t>New York, New York 10017</w:t>
      </w:r>
    </w:p>
    <w:p>
      <w:pPr>
        <w:ind w:left="440"/>
        <w:spacing w:after="0"/>
        <w:rPr>
          <w:sz w:val="20"/>
          <w:szCs w:val="20"/>
          <w:color w:val="auto"/>
        </w:rPr>
      </w:pPr>
      <w:r>
        <w:rPr>
          <w:rFonts w:ascii="Arial" w:cs="Arial" w:eastAsia="Arial" w:hAnsi="Arial"/>
          <w:sz w:val="18"/>
          <w:szCs w:val="18"/>
          <w:color w:val="auto"/>
        </w:rPr>
        <w:t>Attn: General Counsel</w:t>
      </w:r>
    </w:p>
    <w:p>
      <w:pPr>
        <w:spacing w:after="0" w:line="198"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0" w:lineRule="exact"/>
        <w:rPr>
          <w:sz w:val="20"/>
          <w:szCs w:val="20"/>
          <w:color w:val="auto"/>
        </w:rPr>
      </w:pPr>
    </w:p>
    <w:p>
      <w:pPr>
        <w:jc w:val="both"/>
        <w:ind w:right="320" w:firstLine="441"/>
        <w:spacing w:after="0"/>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w:t>
      </w:r>
    </w:p>
    <w:p>
      <w:pPr>
        <w:spacing w:after="0" w:line="189" w:lineRule="exact"/>
        <w:rPr>
          <w:sz w:val="20"/>
          <w:szCs w:val="20"/>
          <w:color w:val="auto"/>
        </w:rPr>
      </w:pPr>
    </w:p>
    <w:p>
      <w:pPr>
        <w:ind w:right="180" w:firstLine="441"/>
        <w:spacing w:after="0" w:line="237" w:lineRule="auto"/>
        <w:rPr>
          <w:sz w:val="20"/>
          <w:szCs w:val="20"/>
          <w:color w:val="auto"/>
        </w:rPr>
      </w:pPr>
      <w:r>
        <w:rPr>
          <w:rFonts w:ascii="Arial" w:cs="Arial" w:eastAsia="Arial" w:hAnsi="Arial"/>
          <w:sz w:val="18"/>
          <w:szCs w:val="18"/>
          <w:color w:val="auto"/>
        </w:rPr>
        <w:t>Based solely on a review of the reports furnished to us, or written representations from reporting persons that all reportable transaction were reported, the Company’s officers, directors and greater than ten percent owners timely filed all reports they were required to file under Section 16(a) with respect to transactions during fiscal year 2015, except for the following Form 4s that were filed subsequent to the due date on account of administrative and/or broker error: three reports (eight transactions) for each of Messrs. Bagai, Bhalla, Chhibbar and de Villa; three reports (six transactions) for Mr. Kapoor; two reports (four transactions) for Mr. Miglani; one report (five transactions) for Mr. Mohanbir Sawhney, a former director; one report (two transactions) for Ms. Saltzman and one report (one transaction) for Mr. Mittal.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b w:val="1"/>
                <w:bCs w:val="1"/>
                <w:color w:val="auto"/>
              </w:rPr>
              <w:t>OUR EXECUTIVE OFFICERS</w:t>
            </w:r>
          </w:p>
        </w:tc>
      </w:tr>
      <w:tr>
        <w:trPr>
          <w:trHeight w:val="189"/>
        </w:trPr>
        <w:tc>
          <w:tcPr>
            <w:tcW w:w="1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40" w:type="dxa"/>
            <w:vAlign w:val="bottom"/>
          </w:tcPr>
          <w:p>
            <w:pPr>
              <w:spacing w:after="0"/>
              <w:rPr>
                <w:sz w:val="16"/>
                <w:szCs w:val="16"/>
                <w:color w:val="auto"/>
              </w:rPr>
            </w:pPr>
          </w:p>
        </w:tc>
      </w:tr>
      <w:tr>
        <w:trPr>
          <w:trHeight w:val="162"/>
        </w:trPr>
        <w:tc>
          <w:tcPr>
            <w:tcW w:w="1660" w:type="dxa"/>
            <w:vAlign w:val="bottom"/>
            <w:tcBorders>
              <w:bottom w:val="single" w:sz="8" w:color="auto"/>
            </w:tcBorders>
            <w:shd w:val="clear" w:color="auto" w:fill="5591C7"/>
          </w:tcPr>
          <w:p>
            <w:pPr>
              <w:ind w:left="66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5591C7"/>
          </w:tcPr>
          <w:p>
            <w:pPr>
              <w:ind w:left="980"/>
              <w:spacing w:after="0"/>
              <w:rPr>
                <w:sz w:val="20"/>
                <w:szCs w:val="20"/>
                <w:color w:val="auto"/>
              </w:rPr>
            </w:pPr>
            <w:r>
              <w:rPr>
                <w:rFonts w:ascii="Arial" w:cs="Arial" w:eastAsia="Arial" w:hAnsi="Arial"/>
                <w:sz w:val="14"/>
                <w:szCs w:val="14"/>
                <w:b w:val="1"/>
                <w:bCs w:val="1"/>
                <w:color w:val="auto"/>
              </w:rPr>
              <w:t>Position</w:t>
            </w:r>
          </w:p>
        </w:tc>
        <w:tc>
          <w:tcPr>
            <w:tcW w:w="7440" w:type="dxa"/>
            <w:vAlign w:val="bottom"/>
            <w:tcBorders>
              <w:bottom w:val="single" w:sz="8" w:color="auto"/>
            </w:tcBorders>
            <w:shd w:val="clear" w:color="auto" w:fill="5591C7"/>
          </w:tcPr>
          <w:p>
            <w:pPr>
              <w:ind w:left="29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660" w:type="dxa"/>
            <w:vAlign w:val="bottom"/>
          </w:tcPr>
          <w:p>
            <w:pPr>
              <w:ind w:left="100"/>
              <w:spacing w:after="0" w:line="195" w:lineRule="exact"/>
              <w:rPr>
                <w:sz w:val="20"/>
                <w:szCs w:val="20"/>
                <w:color w:val="auto"/>
              </w:rPr>
            </w:pPr>
            <w:r>
              <w:rPr>
                <w:rFonts w:ascii="Arial" w:cs="Arial" w:eastAsia="Arial" w:hAnsi="Arial"/>
                <w:sz w:val="18"/>
                <w:szCs w:val="18"/>
                <w:color w:val="auto"/>
              </w:rPr>
              <w:t>Rohit Kapoor</w:t>
            </w:r>
          </w:p>
        </w:tc>
        <w:tc>
          <w:tcPr>
            <w:tcW w:w="2320" w:type="dxa"/>
            <w:vAlign w:val="bottom"/>
          </w:tcPr>
          <w:p>
            <w:pPr>
              <w:ind w:left="300"/>
              <w:spacing w:after="0" w:line="195" w:lineRule="exact"/>
              <w:rPr>
                <w:sz w:val="20"/>
                <w:szCs w:val="20"/>
                <w:color w:val="auto"/>
              </w:rPr>
            </w:pPr>
            <w:r>
              <w:rPr>
                <w:rFonts w:ascii="Arial" w:cs="Arial" w:eastAsia="Arial" w:hAnsi="Arial"/>
                <w:sz w:val="18"/>
                <w:szCs w:val="18"/>
                <w:color w:val="auto"/>
              </w:rPr>
              <w:t>Vice Chairman and</w:t>
            </w:r>
          </w:p>
        </w:tc>
        <w:tc>
          <w:tcPr>
            <w:tcW w:w="7440" w:type="dxa"/>
            <w:vAlign w:val="bottom"/>
          </w:tcPr>
          <w:p>
            <w:pPr>
              <w:ind w:left="140"/>
              <w:spacing w:after="0" w:line="195" w:lineRule="exact"/>
              <w:rPr>
                <w:sz w:val="20"/>
                <w:szCs w:val="20"/>
                <w:color w:val="auto"/>
              </w:rPr>
            </w:pPr>
            <w:r>
              <w:rPr>
                <w:rFonts w:ascii="Arial" w:cs="Arial" w:eastAsia="Arial" w:hAnsi="Arial"/>
                <w:sz w:val="18"/>
                <w:szCs w:val="18"/>
                <w:color w:val="auto"/>
              </w:rPr>
              <w:t>See section entitled “Our Board of Directors” above.</w:t>
            </w:r>
          </w:p>
        </w:tc>
      </w:tr>
      <w:tr>
        <w:trPr>
          <w:trHeight w:val="203"/>
        </w:trPr>
        <w:tc>
          <w:tcPr>
            <w:tcW w:w="1660" w:type="dxa"/>
            <w:vAlign w:val="bottom"/>
          </w:tcPr>
          <w:p>
            <w:pPr>
              <w:ind w:left="100"/>
              <w:spacing w:after="0" w:line="203" w:lineRule="exact"/>
              <w:rPr>
                <w:sz w:val="20"/>
                <w:szCs w:val="20"/>
                <w:color w:val="auto"/>
              </w:rPr>
            </w:pPr>
            <w:r>
              <w:rPr>
                <w:rFonts w:ascii="Arial" w:cs="Arial" w:eastAsia="Arial" w:hAnsi="Arial"/>
                <w:sz w:val="18"/>
                <w:szCs w:val="18"/>
                <w:color w:val="auto"/>
              </w:rPr>
              <w:t>(age 51)</w:t>
            </w:r>
          </w:p>
        </w:tc>
        <w:tc>
          <w:tcPr>
            <w:tcW w:w="2320" w:type="dxa"/>
            <w:vAlign w:val="bottom"/>
          </w:tcPr>
          <w:p>
            <w:pPr>
              <w:ind w:left="300"/>
              <w:spacing w:after="0" w:line="203" w:lineRule="exact"/>
              <w:rPr>
                <w:sz w:val="20"/>
                <w:szCs w:val="20"/>
                <w:color w:val="auto"/>
              </w:rPr>
            </w:pPr>
            <w:r>
              <w:rPr>
                <w:rFonts w:ascii="Arial" w:cs="Arial" w:eastAsia="Arial" w:hAnsi="Arial"/>
                <w:sz w:val="18"/>
                <w:szCs w:val="18"/>
                <w:color w:val="auto"/>
              </w:rPr>
              <w:t>CEO</w:t>
            </w:r>
          </w:p>
        </w:tc>
        <w:tc>
          <w:tcPr>
            <w:tcW w:w="7440" w:type="dxa"/>
            <w:vAlign w:val="bottom"/>
          </w:tcPr>
          <w:p>
            <w:pPr>
              <w:spacing w:after="0"/>
              <w:rPr>
                <w:sz w:val="17"/>
                <w:szCs w:val="17"/>
                <w:color w:val="auto"/>
              </w:rPr>
            </w:pPr>
          </w:p>
        </w:tc>
      </w:tr>
      <w:tr>
        <w:trPr>
          <w:trHeight w:val="202"/>
        </w:trPr>
        <w:tc>
          <w:tcPr>
            <w:tcW w:w="166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Pavan Bagai</w:t>
            </w:r>
          </w:p>
        </w:tc>
        <w:tc>
          <w:tcPr>
            <w:tcW w:w="2320" w:type="dxa"/>
            <w:vAlign w:val="bottom"/>
            <w:shd w:val="clear" w:color="auto" w:fill="C6D9F1"/>
          </w:tcPr>
          <w:p>
            <w:pPr>
              <w:ind w:left="300"/>
              <w:spacing w:after="0" w:line="201" w:lineRule="exact"/>
              <w:rPr>
                <w:sz w:val="20"/>
                <w:szCs w:val="20"/>
                <w:color w:val="auto"/>
              </w:rPr>
            </w:pPr>
            <w:r>
              <w:rPr>
                <w:rFonts w:ascii="Arial" w:cs="Arial" w:eastAsia="Arial" w:hAnsi="Arial"/>
                <w:sz w:val="18"/>
                <w:szCs w:val="18"/>
                <w:color w:val="auto"/>
              </w:rPr>
              <w:t>President and Chief</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Bagai has served as our President and Chief Operating Officer since April 2012, as our</w:t>
            </w:r>
          </w:p>
        </w:tc>
      </w:tr>
      <w:tr>
        <w:trPr>
          <w:trHeight w:val="203"/>
        </w:trPr>
        <w:tc>
          <w:tcPr>
            <w:tcW w:w="166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54)</w:t>
            </w: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Operating Officer of the</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Chief Operating Officer from May 2008 to March 2012 and as Vice President, Head of</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Company</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Outsourcing Services of EXL India from June 2006 until April 2008. He previously served</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as Vice President, Research and Analytics of EXL India from December 2004 to May 2006,</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as Vice President, Operations of EXL India from November 2003 to November 2004 and as</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Vice President, Strategic Businesses of EXL India from July 2002 to November 2003. Prior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to joining us, Mr. Bagai served in various capacities in several business areas across</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markets in Europe and Asia, including India, at Bank of America beginning in 1985.</w:t>
            </w:r>
          </w:p>
        </w:tc>
      </w:tr>
      <w:tr>
        <w:trPr>
          <w:trHeight w:val="202"/>
        </w:trPr>
        <w:tc>
          <w:tcPr>
            <w:tcW w:w="1660" w:type="dxa"/>
            <w:vAlign w:val="bottom"/>
          </w:tcPr>
          <w:p>
            <w:pPr>
              <w:ind w:left="100"/>
              <w:spacing w:after="0" w:line="201" w:lineRule="exact"/>
              <w:rPr>
                <w:sz w:val="20"/>
                <w:szCs w:val="20"/>
                <w:color w:val="auto"/>
              </w:rPr>
            </w:pPr>
            <w:r>
              <w:rPr>
                <w:rFonts w:ascii="Arial" w:cs="Arial" w:eastAsia="Arial" w:hAnsi="Arial"/>
                <w:sz w:val="18"/>
                <w:szCs w:val="18"/>
                <w:color w:val="auto"/>
              </w:rPr>
              <w:t>Vikas Bhalla</w:t>
            </w:r>
          </w:p>
        </w:tc>
        <w:tc>
          <w:tcPr>
            <w:tcW w:w="2320" w:type="dxa"/>
            <w:vAlign w:val="bottom"/>
          </w:tcPr>
          <w:p>
            <w:pPr>
              <w:ind w:left="30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201" w:lineRule="exact"/>
              <w:rPr>
                <w:sz w:val="20"/>
                <w:szCs w:val="20"/>
                <w:color w:val="auto"/>
              </w:rPr>
            </w:pPr>
            <w:r>
              <w:rPr>
                <w:rFonts w:ascii="Arial" w:cs="Arial" w:eastAsia="Arial" w:hAnsi="Arial"/>
                <w:sz w:val="18"/>
                <w:szCs w:val="18"/>
                <w:color w:val="auto"/>
              </w:rPr>
              <w:t>Mr. Bhalla has served as our Executive Vice President and Head of Insurance since</w:t>
            </w:r>
          </w:p>
        </w:tc>
      </w:tr>
      <w:tr>
        <w:trPr>
          <w:trHeight w:val="203"/>
        </w:trPr>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(age 44)</w:t>
            </w:r>
          </w:p>
        </w:tc>
        <w:tc>
          <w:tcPr>
            <w:tcW w:w="2320" w:type="dxa"/>
            <w:vAlign w:val="bottom"/>
          </w:tcPr>
          <w:p>
            <w:pPr>
              <w:ind w:left="300"/>
              <w:spacing w:after="0" w:line="202" w:lineRule="exact"/>
              <w:rPr>
                <w:sz w:val="20"/>
                <w:szCs w:val="20"/>
                <w:color w:val="auto"/>
              </w:rPr>
            </w:pPr>
            <w:r>
              <w:rPr>
                <w:rFonts w:ascii="Arial" w:cs="Arial" w:eastAsia="Arial" w:hAnsi="Arial"/>
                <w:sz w:val="18"/>
                <w:szCs w:val="18"/>
                <w:color w:val="auto"/>
              </w:rPr>
              <w:t>President and Head of</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January 2014, and as our Head of Outsourcing since November 2009. He previously</w:t>
            </w:r>
          </w:p>
        </w:tc>
      </w:tr>
      <w:tr>
        <w:trPr>
          <w:trHeight w:val="203"/>
        </w:trPr>
        <w:tc>
          <w:tcPr>
            <w:tcW w:w="1660" w:type="dxa"/>
            <w:vAlign w:val="bottom"/>
          </w:tcPr>
          <w:p>
            <w:pPr>
              <w:spacing w:after="0"/>
              <w:rPr>
                <w:sz w:val="17"/>
                <w:szCs w:val="17"/>
                <w:color w:val="auto"/>
              </w:rPr>
            </w:pPr>
          </w:p>
        </w:tc>
        <w:tc>
          <w:tcPr>
            <w:tcW w:w="2320" w:type="dxa"/>
            <w:vAlign w:val="bottom"/>
          </w:tcPr>
          <w:p>
            <w:pPr>
              <w:ind w:left="300"/>
              <w:spacing w:after="0" w:line="202" w:lineRule="exact"/>
              <w:rPr>
                <w:sz w:val="20"/>
                <w:szCs w:val="20"/>
                <w:color w:val="auto"/>
              </w:rPr>
            </w:pPr>
            <w:r>
              <w:rPr>
                <w:rFonts w:ascii="Arial" w:cs="Arial" w:eastAsia="Arial" w:hAnsi="Arial"/>
                <w:sz w:val="18"/>
                <w:szCs w:val="18"/>
                <w:color w:val="auto"/>
              </w:rPr>
              <w:t>Insurance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served as Vice President, Operations of EXL India from June 2006 to October 2009 and as</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Vice President, Migrations, Quality and Process Excellence of EXL India from April 2002 to</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June 2006 and as Director, Quality Initiatives of EXL India from May 2001 to March 2002.</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From May 1998 to May 2001, Mr. Bhalla served in various capacities at General Electric,</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3" w:lineRule="exact"/>
              <w:rPr>
                <w:sz w:val="20"/>
                <w:szCs w:val="20"/>
                <w:color w:val="auto"/>
              </w:rPr>
            </w:pPr>
            <w:r>
              <w:rPr>
                <w:rFonts w:ascii="Arial" w:cs="Arial" w:eastAsia="Arial" w:hAnsi="Arial"/>
                <w:sz w:val="18"/>
                <w:szCs w:val="18"/>
                <w:color w:val="auto"/>
              </w:rPr>
              <w:t>including as the Quality Leader and E-Business Leader for GE Plastics India.</w:t>
            </w:r>
          </w:p>
        </w:tc>
      </w:tr>
      <w:tr>
        <w:trPr>
          <w:trHeight w:val="202"/>
        </w:trPr>
        <w:tc>
          <w:tcPr>
            <w:tcW w:w="166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Vishal Chhibbar</w:t>
            </w:r>
          </w:p>
        </w:tc>
        <w:tc>
          <w:tcPr>
            <w:tcW w:w="2320" w:type="dxa"/>
            <w:vAlign w:val="bottom"/>
            <w:shd w:val="clear" w:color="auto" w:fill="C6D9F1"/>
          </w:tcPr>
          <w:p>
            <w:pPr>
              <w:ind w:left="30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Chhibbar has served as our Executive Vice President and CFO since April 2012 and as</w:t>
            </w:r>
          </w:p>
        </w:tc>
      </w:tr>
      <w:tr>
        <w:trPr>
          <w:trHeight w:val="203"/>
        </w:trPr>
        <w:tc>
          <w:tcPr>
            <w:tcW w:w="166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48)</w:t>
            </w: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President and CFO</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our CFO since June 2009. He has over 25 years of professional experience in finance.</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Prior to joining us, Mr. Chhibbar was with GE Capital in various leadership roles. Since</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2005, Mr. Chhibbar has served as the Regional Head, Group Financial Planning for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Strategy and Treasury for GE Capital, Australia and New Zealand. In 2004 and 2005,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Chhibbar was Chief Financial Officer for GE Capital, South Korea. From 1998 to 2004,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Chhibbar was the Chief Financial Officer for GE Capital, Indonesia and Malaysia.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Chhibbar is a Chartered Accountant and an Associate Member of CPA, Australia.</w:t>
            </w:r>
          </w:p>
        </w:tc>
      </w:tr>
      <w:tr>
        <w:trPr>
          <w:trHeight w:val="662"/>
        </w:trPr>
        <w:tc>
          <w:tcPr>
            <w:tcW w:w="1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846"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Borders>
              <w:bottom w:val="single" w:sz="8" w:color="auto"/>
            </w:tcBorders>
            <w:shd w:val="clear" w:color="auto" w:fill="5591C7"/>
          </w:tcPr>
          <w:p>
            <w:pPr>
              <w:ind w:left="66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Position</w:t>
            </w:r>
          </w:p>
        </w:tc>
        <w:tc>
          <w:tcPr>
            <w:tcW w:w="7440" w:type="dxa"/>
            <w:vAlign w:val="bottom"/>
            <w:tcBorders>
              <w:bottom w:val="single" w:sz="8" w:color="auto"/>
            </w:tcBorders>
            <w:shd w:val="clear" w:color="auto" w:fill="5591C7"/>
          </w:tcPr>
          <w:p>
            <w:pPr>
              <w:ind w:left="29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700" w:type="dxa"/>
            <w:vAlign w:val="bottom"/>
          </w:tcPr>
          <w:p>
            <w:pPr>
              <w:ind w:left="100"/>
              <w:spacing w:after="0" w:line="195" w:lineRule="exact"/>
              <w:rPr>
                <w:sz w:val="20"/>
                <w:szCs w:val="20"/>
                <w:color w:val="auto"/>
              </w:rPr>
            </w:pPr>
            <w:r>
              <w:rPr>
                <w:rFonts w:ascii="Arial" w:cs="Arial" w:eastAsia="Arial" w:hAnsi="Arial"/>
                <w:sz w:val="18"/>
                <w:szCs w:val="18"/>
                <w:color w:val="auto"/>
              </w:rPr>
              <w:t>Rembert de Villa</w:t>
            </w:r>
          </w:p>
        </w:tc>
        <w:tc>
          <w:tcPr>
            <w:tcW w:w="2280" w:type="dxa"/>
            <w:vAlign w:val="bottom"/>
          </w:tcPr>
          <w:p>
            <w:pPr>
              <w:ind w:left="260"/>
              <w:spacing w:after="0" w:line="195"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195" w:lineRule="exact"/>
              <w:rPr>
                <w:sz w:val="20"/>
                <w:szCs w:val="20"/>
                <w:color w:val="auto"/>
              </w:rPr>
            </w:pPr>
            <w:r>
              <w:rPr>
                <w:rFonts w:ascii="Arial" w:cs="Arial" w:eastAsia="Arial" w:hAnsi="Arial"/>
                <w:sz w:val="18"/>
                <w:szCs w:val="18"/>
                <w:color w:val="auto"/>
              </w:rPr>
              <w:t>Mr. Villa has served as our Executive Vice President, Head of Healthcare since January</w:t>
            </w:r>
          </w:p>
        </w:tc>
      </w:tr>
      <w:tr>
        <w:trPr>
          <w:trHeight w:val="203"/>
        </w:trPr>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(age 59)</w:t>
            </w: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President, Head of</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2014 and also as our Chief Strategy Officer from April 2012 to January 2014. He previously</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Healthcare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served as our Global Head of Client Management and Chief Strategy Officer from</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September 2010 to April 2012 and as our Managing Principal and Head of Transformation</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Services from April 2008 to August 2010. Prior to joining us, Mr. de Villa served as Global</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Practice Leader, Strategic Services at MasterCard Advisors from December 2005 through</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April 2008 and as Vice President and Financial Services Practice Leader for North America</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at Capgemini Ernst &amp; Young from March 2003 to December 2005. Prior to his time at</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Capgemini Ernst &amp; Young, Mr. de Villa was a Partner at A.T. Kearney’s Global Financial</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3" w:lineRule="exact"/>
              <w:rPr>
                <w:sz w:val="20"/>
                <w:szCs w:val="20"/>
                <w:color w:val="auto"/>
              </w:rPr>
            </w:pPr>
            <w:r>
              <w:rPr>
                <w:rFonts w:ascii="Arial" w:cs="Arial" w:eastAsia="Arial" w:hAnsi="Arial"/>
                <w:sz w:val="18"/>
                <w:szCs w:val="18"/>
                <w:color w:val="auto"/>
              </w:rPr>
              <w:t>Institutions Group.</w:t>
            </w:r>
          </w:p>
        </w:tc>
      </w:tr>
      <w:tr>
        <w:trPr>
          <w:trHeight w:val="202"/>
        </w:trPr>
        <w:tc>
          <w:tcPr>
            <w:tcW w:w="170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Nalin Miglani</w:t>
            </w:r>
          </w:p>
        </w:tc>
        <w:tc>
          <w:tcPr>
            <w:tcW w:w="2280" w:type="dxa"/>
            <w:vAlign w:val="bottom"/>
            <w:shd w:val="clear" w:color="auto" w:fill="C6D9F1"/>
          </w:tcPr>
          <w:p>
            <w:pPr>
              <w:ind w:left="26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Miglani has served as our Executive Vice President, Chief Human Resource Officer</w:t>
            </w:r>
          </w:p>
        </w:tc>
      </w:tr>
      <w:tr>
        <w:trPr>
          <w:trHeight w:val="203"/>
        </w:trPr>
        <w:tc>
          <w:tcPr>
            <w:tcW w:w="17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55)</w:t>
            </w: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President and Chief</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w w:val="99"/>
              </w:rPr>
              <w:t>since December 2014. Mr. Miglani is responsible for the global human resources function at</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Human Resource</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EXL. Prior to joining EXL, he was the Chief HR and Corporate Development Officer for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Officer</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Nutreco, based in Amsterdam, Netherlands, from March 2013 to November 2014. Mr.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Miglani also served as the Chief HR and Communications Officer for Tata Global</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Beverages Company, London, UK, from June 2008 to February 2013. In addition, Mr.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Miglani held various global and regional HR leadership roles around the world during his</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career at The Coca-Cola Company and British American Tobacco.</w:t>
            </w:r>
          </w:p>
        </w:tc>
      </w:tr>
      <w:tr>
        <w:trPr>
          <w:trHeight w:val="202"/>
        </w:trPr>
        <w:tc>
          <w:tcPr>
            <w:tcW w:w="1700" w:type="dxa"/>
            <w:vAlign w:val="bottom"/>
          </w:tcPr>
          <w:p>
            <w:pPr>
              <w:ind w:left="100"/>
              <w:spacing w:after="0" w:line="201" w:lineRule="exact"/>
              <w:rPr>
                <w:sz w:val="20"/>
                <w:szCs w:val="20"/>
                <w:color w:val="auto"/>
              </w:rPr>
            </w:pPr>
            <w:r>
              <w:rPr>
                <w:rFonts w:ascii="Arial" w:cs="Arial" w:eastAsia="Arial" w:hAnsi="Arial"/>
                <w:sz w:val="18"/>
                <w:szCs w:val="18"/>
                <w:color w:val="auto"/>
              </w:rPr>
              <w:t>Nancy Saltzman</w:t>
            </w:r>
          </w:p>
        </w:tc>
        <w:tc>
          <w:tcPr>
            <w:tcW w:w="2280" w:type="dxa"/>
            <w:vAlign w:val="bottom"/>
          </w:tcPr>
          <w:p>
            <w:pPr>
              <w:ind w:left="26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201" w:lineRule="exact"/>
              <w:rPr>
                <w:sz w:val="20"/>
                <w:szCs w:val="20"/>
                <w:color w:val="auto"/>
              </w:rPr>
            </w:pPr>
            <w:r>
              <w:rPr>
                <w:rFonts w:ascii="Arial" w:cs="Arial" w:eastAsia="Arial" w:hAnsi="Arial"/>
                <w:sz w:val="18"/>
                <w:szCs w:val="18"/>
                <w:color w:val="auto"/>
              </w:rPr>
              <w:t>Ms. Saltzman has served as our Executive Vice President and General Counsel since April</w:t>
            </w:r>
          </w:p>
        </w:tc>
      </w:tr>
      <w:tr>
        <w:trPr>
          <w:trHeight w:val="203"/>
        </w:trPr>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(age 50)</w:t>
            </w: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President, General</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2014. Ms. Saltzman also serves as Corporate Secretary of the Company. Prior to joining</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Counsel and Corporate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us, Ms. Saltzman was a Senior Vice President, the General Counsel and Corporate</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Secretary of the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Secretary for Westcon Group, Inc. from January 2005 to April 2014. Prior to joining</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Company</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Westcon Group, Inc., Ms. Saltzman was a Senior Associate with the law firm of Dewey</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Ballantine LLP from October 1998 to April 2000, the Associate General Counsel and Vice</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President Investor Relations at Chartwell Re Corporation from October 1995 to October</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1998 and prior to that an Associate with the law firm of Dewey Ballantine LLP from</w:t>
            </w:r>
          </w:p>
        </w:tc>
      </w:tr>
      <w:tr>
        <w:trPr>
          <w:trHeight w:val="217"/>
        </w:trPr>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September 1992 to October 1995.</w:t>
            </w:r>
          </w:p>
        </w:tc>
      </w:tr>
      <w:tr>
        <w:trPr>
          <w:trHeight w:val="608"/>
        </w:trPr>
        <w:tc>
          <w:tcPr>
            <w:tcW w:w="1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693"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Named Executive Officers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determined in accordance with SEC rules, our “named executive officers” in 2015 were:</w:t>
      </w:r>
    </w:p>
    <w:p>
      <w:pPr>
        <w:spacing w:after="0" w:line="198"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Rohit Kapoor, our Vice Chairman and CEO;</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Vishal Chhibbar, our Executive Vice President and CFO;</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Pavan Bagai, our President and Chief Operating Officer;</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Nalin Miglani, our Executive Vice President and Chief Human Resources Officer, and</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Henry Schweppe, our former President, Global Business and Marketing.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Summary –Business Highlights and Key Compensation Decisions for 2015</w:t>
      </w:r>
    </w:p>
    <w:p>
      <w:pPr>
        <w:spacing w:after="0" w:line="216"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The Company had a successful 2015 from the perspective of achieving various financial performance goals that drive the creation of stockholder value, but also with respect to making a strategic acquisition, attaining industry recognition for our outstanding client-service, winning new clients and expanding our operations and geographic footprint. Our compensation program offers our executives the opportunity to earn annual cash bonuses based on achievement of revenue and Adjusted EPS targets (as described below). We also granted our executives a mix of time-vested restricted stock units that vest over four years and performance-vested restricted stock units, half of which vest based on revenue achievement over three years and half of which vest based on relative total stockholder return over three years.</w:t>
      </w:r>
    </w:p>
    <w:p>
      <w:pPr>
        <w:spacing w:after="0" w:line="192"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As a result of our performance, our Compensation Committee granted increases in base salary or fixed compensation payable to certain of our named executive officers and funded our bonus pool based on an achievement of approximately 102.2% for the revenue component and 100% for the Adjusted EPS component. Moreover, our performance resulted in our executives banking one-third of their 2014 and 2015 revenue-based performance restricted stock units, subject to continued employment through the end of the performance period. This banking feature is described under “Compensation and Discussion Analysis – Long-Term Equity Incentives” on page 36. For the revenue-based performance restricted stock units granted in fiscal year 2016, we have removed this banking feature and the revenue-based performance restricted stock units cliff vest on December 31, 2018 if the revenue target is achieved.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2015 Business Highlights</w:t>
      </w:r>
    </w:p>
    <w:p>
      <w:pPr>
        <w:spacing w:after="0" w:line="216"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We improved our annual revenues from $499.3 million ($525.6 million excluding the reimbursement of one-time disentanglement costs of $26.3 million) in fiscal year 2014 to $628.5 million in fiscal year 2015, completed the acquisition of RPM Direct LLC (an analytics firm which specializes in analyzing large consumer data sets to segment populations, predict response rates, forecast customer lifetime value, design and execute targeted, multi-channel marketing campaigns) and formed a joint venture with Carvajal S.A.S. that should allow EXL to address the growing demand for Spanish and bilingual Operations Management solutions. We won 34 new clients, received numerous awards and industry recognitions and opened new delivery centers in Cape Town, South Africa, Bogota and Cali, Colombia and a new Analytics Center of Excellence in Gurgaon, India.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30" w:right="279" w:bottom="1440" w:gutter="0" w:footer="0" w:header="0"/>
        </w:sectPr>
      </w:pPr>
    </w:p>
    <w:bookmarkStart w:id="27" w:name="page28"/>
    <w:bookmarkEnd w:id="27"/>
    <w:p>
      <w:pPr>
        <w:ind w:left="8"/>
        <w:spacing w:after="0"/>
        <w:rPr>
          <w:sz w:val="20"/>
          <w:szCs w:val="20"/>
          <w:color w:val="auto"/>
        </w:rPr>
      </w:pPr>
      <w:r>
        <w:rPr>
          <w:rFonts w:ascii="Arial" w:cs="Arial" w:eastAsia="Arial" w:hAnsi="Arial"/>
          <w:sz w:val="18"/>
          <w:szCs w:val="18"/>
          <w:i w:val="1"/>
          <w:iCs w:val="1"/>
          <w:color w:val="auto"/>
        </w:rPr>
        <w:t>Total Stockholder Return</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8"/>
          <w:szCs w:val="18"/>
          <w:color w:val="auto"/>
        </w:rPr>
        <w:t>As shown in the following table, our 1-year, 3-year and 5-year total stockholder return outperformed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126365</wp:posOffset>
            </wp:positionV>
            <wp:extent cx="5574030" cy="1526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8" w:hanging="324"/>
        <w:spacing w:after="0"/>
        <w:tabs>
          <w:tab w:leader="none" w:pos="6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Cumulative growth rate as of December 31, 2015.</w:t>
      </w:r>
    </w:p>
    <w:p>
      <w:pPr>
        <w:spacing w:after="0" w:line="1" w:lineRule="exact"/>
        <w:rPr>
          <w:rFonts w:ascii="Arial" w:cs="Arial" w:eastAsia="Arial" w:hAnsi="Arial"/>
          <w:sz w:val="14"/>
          <w:szCs w:val="14"/>
          <w:color w:val="auto"/>
        </w:rPr>
      </w:pPr>
    </w:p>
    <w:p>
      <w:pPr>
        <w:ind w:left="648" w:hanging="324"/>
        <w:spacing w:after="0" w:line="258" w:lineRule="auto"/>
        <w:tabs>
          <w:tab w:leader="none" w:pos="6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Peer group TSR data excludes iGate and Sapient, as these companies were acquired in 2015; Solera Holdings, which was taken private in March 2016, is included in peer group TSR data.</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Acquisitions, Finance and Equity Transactions</w:t>
      </w:r>
    </w:p>
    <w:p>
      <w:pPr>
        <w:spacing w:after="0" w:line="216" w:lineRule="exact"/>
        <w:rPr>
          <w:sz w:val="20"/>
          <w:szCs w:val="20"/>
          <w:color w:val="auto"/>
        </w:rPr>
      </w:pPr>
    </w:p>
    <w:p>
      <w:pPr>
        <w:ind w:left="328" w:right="100" w:hanging="328"/>
        <w:spacing w:after="0" w:line="239"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analytics firm RPM Direct, LLC (“RPM”) for consideration of $47.0 million in cash plus contingent cash consideration of up to $23.0 million and approximately $4.0 million of restricted stock. RPM specializes in analyzing large consumer data sets to segment populations, predict response rates, forecast customer lifetime value, design and execute targeted, multi-channel marketing campaigns.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Awards and Industry Recognition</w:t>
      </w:r>
    </w:p>
    <w:p>
      <w:pPr>
        <w:spacing w:after="0" w:line="216"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continued to receive numerous industry recognitions and awards, pointing to our commitment to innovation and excellence.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Clients and Operations</w:t>
      </w:r>
    </w:p>
    <w:p>
      <w:pPr>
        <w:spacing w:after="0" w:line="216" w:lineRule="exact"/>
        <w:rPr>
          <w:sz w:val="20"/>
          <w:szCs w:val="20"/>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2015 we won 34 new clients of which 3 were Fortune 500 companies compared to the 26 new clients we won in 2014.</w:t>
      </w:r>
    </w:p>
    <w:p>
      <w:pPr>
        <w:spacing w:after="0" w:line="211" w:lineRule="exact"/>
        <w:rPr>
          <w:rFonts w:ascii="Arial" w:cs="Arial" w:eastAsia="Arial" w:hAnsi="Arial"/>
          <w:sz w:val="18"/>
          <w:szCs w:val="18"/>
          <w:color w:val="auto"/>
        </w:rPr>
      </w:pPr>
    </w:p>
    <w:p>
      <w:pPr>
        <w:ind w:left="328" w:right="620" w:hanging="328"/>
        <w:spacing w:after="0" w:line="239"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opened three new delivery centers including two in Colombia (Bogotá and Cali) in order to address the growing demand for bilingual services and one in Cape Town South Africa to provide English language customer service for UK clients. We also consolidated our Analytics delivery facilities into a new world-class center of excellence in Gurgaon in order to add additional expansion capacity and create an environment to showcase our analytical capabilities.</w:t>
      </w:r>
    </w:p>
    <w:p>
      <w:pPr>
        <w:spacing w:after="0" w:line="188" w:lineRule="exact"/>
        <w:rPr>
          <w:rFonts w:ascii="Arial" w:cs="Arial" w:eastAsia="Arial" w:hAnsi="Arial"/>
          <w:sz w:val="18"/>
          <w:szCs w:val="18"/>
          <w:color w:val="auto"/>
        </w:rPr>
      </w:pPr>
    </w:p>
    <w:p>
      <w:pPr>
        <w:ind w:left="328" w:right="140" w:hanging="328"/>
        <w:spacing w:after="0" w:line="246"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redesigned the EXL website creating a better client experience while showcasing EXL’s investments in thought leadership across our business domains.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Released Version 18 of LifePRO® with 60 significant business and technology enhancements.</w:t>
      </w:r>
    </w:p>
    <w:p>
      <w:pPr>
        <w:spacing w:after="0" w:line="200" w:lineRule="exact"/>
        <w:rPr>
          <w:sz w:val="20"/>
          <w:szCs w:val="20"/>
          <w:color w:val="auto"/>
        </w:rPr>
      </w:pPr>
    </w:p>
    <w:p>
      <w:pPr>
        <w:spacing w:after="0" w:line="22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8"/>
          </w:cols>
          <w:pgMar w:left="572" w:top="634" w:right="27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Summary of Key Compensation Decisions in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highlights the Compensation Committee’s key compensation decisions in 2015 and with respect to performance for 2015.</w:t>
      </w:r>
    </w:p>
    <w:p>
      <w:pPr>
        <w:spacing w:after="0" w:line="180" w:lineRule="exact"/>
        <w:rPr>
          <w:sz w:val="20"/>
          <w:szCs w:val="20"/>
          <w:color w:val="auto"/>
        </w:rPr>
      </w:pPr>
    </w:p>
    <w:p>
      <w:pPr>
        <w:ind w:left="340" w:right="260" w:hanging="332"/>
        <w:spacing w:after="0" w:line="24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Say-on-Pay Approval</w:t>
      </w:r>
      <w:r>
        <w:rPr>
          <w:rFonts w:ascii="Arial" w:cs="Arial" w:eastAsia="Arial" w:hAnsi="Arial"/>
          <w:sz w:val="18"/>
          <w:szCs w:val="18"/>
          <w:color w:val="auto"/>
        </w:rPr>
        <w:t>. At our 2015 Annual Meeting of Stockholders, approximately 98% of our stockholders approved (on a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basis and excluding broker non-votes) the compensation of our named executive officers, as disclosed in our annual proxy statement for fiscal year 2014 pursuant to the SEC’s compensation disclosure rules. In our Compensation Committee’s review and evaluation of our compensation program for 2015, our Compensation Committee viewed the strong support from our stockholders as indicative that our compensation program for our named executive officers was designed and implemented to the satisfaction of the interests of our stockholders.</w:t>
      </w:r>
    </w:p>
    <w:p>
      <w:pPr>
        <w:spacing w:after="0" w:line="170" w:lineRule="exact"/>
        <w:rPr>
          <w:rFonts w:ascii="Arial" w:cs="Arial" w:eastAsia="Arial" w:hAnsi="Arial"/>
          <w:sz w:val="18"/>
          <w:szCs w:val="18"/>
          <w:color w:val="auto"/>
        </w:rPr>
      </w:pPr>
    </w:p>
    <w:p>
      <w:pPr>
        <w:ind w:left="340" w:right="8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Utilization of Performance Criteria</w:t>
      </w:r>
      <w:r>
        <w:rPr>
          <w:rFonts w:ascii="Arial" w:cs="Arial" w:eastAsia="Arial" w:hAnsi="Arial"/>
          <w:sz w:val="18"/>
          <w:szCs w:val="18"/>
          <w:color w:val="auto"/>
        </w:rPr>
        <w:t>. The Compensation Committee approved the performance criteria of our annual incentive bonus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Company-wide performance measures for 2015 were (1) earnings per share, adjusted to remove the after-tax impact of stock-based compensation and the amortization of intangible assets (which we refer to as “Adjusted EPS”) and (2) total revenues. With respect to the performance criteria for our separate business lines, the performance goals continue to focus on the business line’s total revenues, new client revenues and contribution margin. We believe this mix of performance goals streamlines the performance criteria of our annual incentive bonus program and focuses our senior executives’ efforts on performance measures that demonstrate our profitability to stockholders.</w:t>
      </w:r>
    </w:p>
    <w:p>
      <w:pPr>
        <w:spacing w:after="0" w:line="171" w:lineRule="exact"/>
        <w:rPr>
          <w:rFonts w:ascii="Arial" w:cs="Arial" w:eastAsia="Arial" w:hAnsi="Arial"/>
          <w:sz w:val="18"/>
          <w:szCs w:val="18"/>
          <w:color w:val="auto"/>
        </w:rPr>
      </w:pPr>
    </w:p>
    <w:p>
      <w:pPr>
        <w:ind w:left="340" w:right="320" w:hanging="332"/>
        <w:spacing w:after="0" w:line="26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2015, we implemented increases to Messrs. Kapoor’s, Chhibbar’s and Bagai’s base salaries averaging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6.03% based on each executive officer’s home currency.</w:t>
      </w:r>
    </w:p>
    <w:p>
      <w:pPr>
        <w:spacing w:after="0" w:line="147" w:lineRule="exact"/>
        <w:rPr>
          <w:rFonts w:ascii="Arial" w:cs="Arial" w:eastAsia="Arial" w:hAnsi="Arial"/>
          <w:sz w:val="18"/>
          <w:szCs w:val="18"/>
          <w:color w:val="auto"/>
        </w:rPr>
      </w:pPr>
    </w:p>
    <w:p>
      <w:pPr>
        <w:ind w:left="340" w:right="100" w:hanging="332"/>
        <w:spacing w:after="0" w:line="26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Performance Targets</w:t>
      </w:r>
      <w:r>
        <w:rPr>
          <w:rFonts w:ascii="Arial" w:cs="Arial" w:eastAsia="Arial" w:hAnsi="Arial"/>
          <w:sz w:val="18"/>
          <w:szCs w:val="18"/>
          <w:color w:val="auto"/>
        </w:rPr>
        <w:t>. For 2015, the Compensation Committee established performance targets which were intended to encourage stretch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We achieved 100% of our Adjusted EPS target and exceeded our total revenue performance target (102.2%).</w:t>
      </w:r>
    </w:p>
    <w:p>
      <w:pPr>
        <w:spacing w:after="0" w:line="147" w:lineRule="exact"/>
        <w:rPr>
          <w:rFonts w:ascii="Arial" w:cs="Arial" w:eastAsia="Arial" w:hAnsi="Arial"/>
          <w:sz w:val="18"/>
          <w:szCs w:val="18"/>
          <w:color w:val="auto"/>
        </w:rPr>
      </w:pPr>
    </w:p>
    <w:p>
      <w:pPr>
        <w:ind w:left="340" w:hanging="332"/>
        <w:spacing w:after="0" w:line="24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2015, we achieved our annual incentive bonus targets, and we exceeded the 2015 revenue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for each of the 2014 and 2015 revenue-based restricted stock unit grants. Based upon the revenue performance for each year’s grant relative to the applicable target, our executives banked one-third of each of their 2014 and 2015 target awards (subject to continued employment), which is the maximum amount that may be banked in either the first or second year of our three-year program.</w:t>
      </w:r>
    </w:p>
    <w:p>
      <w:pPr>
        <w:spacing w:after="0" w:line="167" w:lineRule="exact"/>
        <w:rPr>
          <w:rFonts w:ascii="Arial" w:cs="Arial" w:eastAsia="Arial" w:hAnsi="Arial"/>
          <w:sz w:val="18"/>
          <w:szCs w:val="18"/>
          <w:color w:val="auto"/>
        </w:rPr>
      </w:pPr>
    </w:p>
    <w:p>
      <w:pPr>
        <w:ind w:left="340" w:right="20" w:hanging="332"/>
        <w:spacing w:after="0" w:line="24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Employment Agreement with Mr. Kapoor and Stock Price Performance Award</w:t>
      </w:r>
      <w:r>
        <w:rPr>
          <w:rFonts w:ascii="Arial" w:cs="Arial" w:eastAsia="Arial" w:hAnsi="Arial"/>
          <w:sz w:val="18"/>
          <w:szCs w:val="18"/>
          <w:color w:val="auto"/>
        </w:rPr>
        <w:t>. Effective January 1, 2015, we entered into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with Mr. Kapoor to secure Mr. Kapoor’s services to the Company through December 31, 2017. In connection with his new employment agreement, we granted Mr. Kapoor a one-time award of 100,000 performance-based restricted stock units that he may earn based on the Company’s average stock price exceeding certain targets during the three year performance period (the “Stock Price Performance Award”). Additional information related to the new employment agreement and Stock Price Performance Award appears later in this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Key Corporate Governance Features</w:t>
      </w:r>
    </w:p>
    <w:p>
      <w:pPr>
        <w:spacing w:after="0" w:line="21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2015, which were adopted to drive performance and to align our executives’ interests with those of our stockholders.</w:t>
      </w:r>
    </w:p>
    <w:p>
      <w:pPr>
        <w:spacing w:after="0" w:line="170" w:lineRule="exact"/>
        <w:rPr>
          <w:sz w:val="20"/>
          <w:szCs w:val="20"/>
          <w:color w:val="auto"/>
        </w:rPr>
      </w:pPr>
    </w:p>
    <w:p>
      <w:pPr>
        <w:ind w:left="340" w:right="44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We link a significant portion of each named executive officer’s total compensation to the achievement of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as described below. Such variable compensation is “at-risk” and not guaranteed, and rewards performance and contributions to both short-term and long-term financial performance of the Company.</w:t>
      </w:r>
    </w:p>
    <w:p>
      <w:pPr>
        <w:spacing w:after="0" w:line="160" w:lineRule="exact"/>
        <w:rPr>
          <w:rFonts w:ascii="Arial" w:cs="Arial" w:eastAsia="Arial" w:hAnsi="Arial"/>
          <w:sz w:val="18"/>
          <w:szCs w:val="18"/>
          <w:color w:val="auto"/>
        </w:rPr>
      </w:pPr>
    </w:p>
    <w:p>
      <w:pPr>
        <w:ind w:left="340" w:right="140" w:hanging="332"/>
        <w:spacing w:after="0" w:line="24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Appropriate choice and use of peer groups</w:t>
      </w:r>
      <w:r>
        <w:rPr>
          <w:rFonts w:ascii="Arial" w:cs="Arial" w:eastAsia="Arial" w:hAnsi="Arial"/>
          <w:sz w:val="18"/>
          <w:szCs w:val="18"/>
          <w:color w:val="auto"/>
        </w:rPr>
        <w:t>. We have thoughtfully selected a peer group of companies with similar market capitalization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operations to us, to help us review current market practices and design a competitive compensation program. We set total compensation of our executive officers at levels the Compensation Committee believes are appropriate relative to the total compensation paid to similarly situated executive officers of our peer companies, giving consideration to market and other factors as well.</w:t>
      </w:r>
    </w:p>
    <w:p>
      <w:pPr>
        <w:spacing w:after="0" w:line="167" w:lineRule="exact"/>
        <w:rPr>
          <w:rFonts w:ascii="Arial" w:cs="Arial" w:eastAsia="Arial" w:hAnsi="Arial"/>
          <w:sz w:val="18"/>
          <w:szCs w:val="18"/>
          <w:color w:val="auto"/>
        </w:rPr>
      </w:pPr>
    </w:p>
    <w:p>
      <w:pPr>
        <w:ind w:left="34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Equity compensation best practices</w:t>
      </w:r>
      <w:r>
        <w:rPr>
          <w:rFonts w:ascii="Arial" w:cs="Arial" w:eastAsia="Arial" w:hAnsi="Arial"/>
          <w:sz w:val="18"/>
          <w:szCs w:val="18"/>
          <w:color w:val="auto"/>
        </w:rPr>
        <w:t>. Our equity compensation program prohibits option repricing without stockholder approval.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excessive overhang or dilution from equity grants. Our equity incentives are designed to encourage our executives to maintain a long-term view of stockholder value creation and to encourage retention.</w:t>
      </w:r>
    </w:p>
    <w:p>
      <w:pPr>
        <w:spacing w:after="0" w:line="160" w:lineRule="exact"/>
        <w:rPr>
          <w:rFonts w:ascii="Arial" w:cs="Arial" w:eastAsia="Arial" w:hAnsi="Arial"/>
          <w:sz w:val="18"/>
          <w:szCs w:val="18"/>
          <w:color w:val="auto"/>
        </w:rPr>
      </w:pPr>
    </w:p>
    <w:p>
      <w:pPr>
        <w:ind w:left="340" w:right="240" w:hanging="332"/>
        <w:spacing w:after="0" w:line="24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Limited perquisites and personal benefits</w:t>
      </w:r>
      <w:r>
        <w:rPr>
          <w:rFonts w:ascii="Arial" w:cs="Arial" w:eastAsia="Arial" w:hAnsi="Arial"/>
          <w:sz w:val="18"/>
          <w:szCs w:val="18"/>
          <w:color w:val="auto"/>
        </w:rPr>
        <w:t>. We provide our named executive officers with only limited perquisites and personal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regular benefits offered to all employees, and we believe that each perquisite and personal benefit we offer serves an important business purpose. We consider the perquisites and personal benefits that we offer to our executives stationed in India to be customary benefits which allow us to remain competitive for top talent.</w:t>
      </w:r>
    </w:p>
    <w:p>
      <w:pPr>
        <w:spacing w:after="0" w:line="167" w:lineRule="exact"/>
        <w:rPr>
          <w:rFonts w:ascii="Arial" w:cs="Arial" w:eastAsia="Arial" w:hAnsi="Arial"/>
          <w:sz w:val="18"/>
          <w:szCs w:val="18"/>
          <w:color w:val="auto"/>
        </w:rPr>
      </w:pPr>
    </w:p>
    <w:p>
      <w:pPr>
        <w:jc w:val="both"/>
        <w:ind w:left="340" w:right="18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Independent decision-making</w:t>
      </w:r>
      <w:r>
        <w:rPr>
          <w:rFonts w:ascii="Arial" w:cs="Arial" w:eastAsia="Arial" w:hAnsi="Arial"/>
          <w:sz w:val="18"/>
          <w:szCs w:val="18"/>
          <w:color w:val="auto"/>
        </w:rPr>
        <w:t>. Compensation decisions for our named executive officers are approved by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Compensation Committee is advised by an independent consultant who reports directly to the Compensation Committee and provides no services to the Company or management.</w:t>
      </w:r>
    </w:p>
    <w:p>
      <w:pPr>
        <w:spacing w:after="0" w:line="160" w:lineRule="exact"/>
        <w:rPr>
          <w:rFonts w:ascii="Arial" w:cs="Arial" w:eastAsia="Arial" w:hAnsi="Arial"/>
          <w:sz w:val="18"/>
          <w:szCs w:val="18"/>
          <w:color w:val="auto"/>
        </w:rPr>
      </w:pPr>
    </w:p>
    <w:p>
      <w:pPr>
        <w:ind w:left="340" w:right="360" w:hanging="332"/>
        <w:spacing w:after="0" w:line="26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believe the mix and design of our compensation programs serve to mitigate operational, financial, legal,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and reputational risks.</w:t>
      </w:r>
    </w:p>
    <w:p>
      <w:pPr>
        <w:spacing w:after="0" w:line="147" w:lineRule="exact"/>
        <w:rPr>
          <w:rFonts w:ascii="Arial" w:cs="Arial" w:eastAsia="Arial" w:hAnsi="Arial"/>
          <w:sz w:val="18"/>
          <w:szCs w:val="18"/>
          <w:color w:val="auto"/>
        </w:rPr>
      </w:pPr>
    </w:p>
    <w:p>
      <w:pPr>
        <w:ind w:left="340" w:right="6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We do not provide “gross-ups” to any of our named executive officers, including for any excise taxes imposed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Section 280G (change-in-control payments) or Section 409A (nonqualified deferred compensation) of the U.S. Internal Revenue Code of 1986, as amended (which we refer to as the “Code”).</w:t>
      </w:r>
    </w:p>
    <w:p>
      <w:pPr>
        <w:spacing w:after="0" w:line="160" w:lineRule="exact"/>
        <w:rPr>
          <w:rFonts w:ascii="Arial" w:cs="Arial" w:eastAsia="Arial" w:hAnsi="Arial"/>
          <w:sz w:val="18"/>
          <w:szCs w:val="18"/>
          <w:color w:val="auto"/>
        </w:rPr>
      </w:pPr>
    </w:p>
    <w:p>
      <w:pPr>
        <w:ind w:left="340" w:right="400" w:hanging="332"/>
        <w:spacing w:after="0" w:line="24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We maintain a compensation recovery policy that allows the Company to recover compensation (including both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30" w:name="page31"/>
    <w:bookmarkEnd w:id="30"/>
    <w:p>
      <w:pPr>
        <w:ind w:left="340" w:right="40" w:hanging="332"/>
        <w:spacing w:after="0" w:line="26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Stock Ownership Policy</w:t>
      </w:r>
      <w:r>
        <w:rPr>
          <w:rFonts w:ascii="Arial" w:cs="Arial" w:eastAsia="Arial" w:hAnsi="Arial"/>
          <w:sz w:val="17"/>
          <w:szCs w:val="17"/>
          <w:color w:val="auto"/>
        </w:rPr>
        <w:t>. We maintain a stock ownership policy that requires our Chief Executive Officer to maintain stock ownership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at least six times his base salary and that requires the other members of our executive committee to maintain stock ownership of at least two times their respective base salaries. We adopted this policy in December of 2014 and our covered executives have five years from its adoption date (or, if later, their hire date) to attain the required stock ownership levels. We maintain a similar stock ownership policy for our non-employee directors that requires directors to maintain stock ownership of at least five times their respective annual retainers.</w:t>
      </w:r>
    </w:p>
    <w:p>
      <w:pPr>
        <w:spacing w:after="0" w:line="156" w:lineRule="exact"/>
        <w:rPr>
          <w:rFonts w:ascii="Arial" w:cs="Arial" w:eastAsia="Arial" w:hAnsi="Arial"/>
          <w:sz w:val="17"/>
          <w:szCs w:val="17"/>
          <w:color w:val="auto"/>
        </w:rPr>
      </w:pPr>
    </w:p>
    <w:p>
      <w:pPr>
        <w:ind w:left="340" w:right="580" w:hanging="332"/>
        <w:spacing w:after="0" w:line="30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Anti-Hedging and Pledging Restrictions</w:t>
      </w:r>
      <w:r>
        <w:rPr>
          <w:rFonts w:ascii="Arial" w:cs="Arial" w:eastAsia="Arial" w:hAnsi="Arial"/>
          <w:sz w:val="18"/>
          <w:szCs w:val="18"/>
          <w:color w:val="auto"/>
        </w:rPr>
        <w:t>. We implemented a policy that, effective January 1, 2015, prohibits our officers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the requirements of Section 16 of the Exchange Act, which includes our executive officers, from engaging in any hedging transactions with respect to Company stock they directly or indirectly own. In addition, under this policy, Reporting Persons are only permitted to pledge shares of our stock that exceed those required to be owned under our Stock Ownership Policy described above. </w:t>
      </w:r>
      <w:r>
        <w:rPr>
          <w:rFonts w:ascii="Arial" w:cs="Arial" w:eastAsia="Arial" w:hAnsi="Arial"/>
          <w:sz w:val="18"/>
          <w:szCs w:val="18"/>
          <w:i w:val="1"/>
          <w:iCs w:val="1"/>
          <w:color w:val="auto"/>
        </w:rPr>
        <w:t>Overview of compensation policies and philosophies</w:t>
      </w:r>
    </w:p>
    <w:p>
      <w:pPr>
        <w:spacing w:after="0" w:line="13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165" w:lineRule="exact"/>
        <w:rPr>
          <w:sz w:val="20"/>
          <w:szCs w:val="20"/>
          <w:color w:val="auto"/>
        </w:rPr>
      </w:pPr>
    </w:p>
    <w:p>
      <w:pPr>
        <w:ind w:left="340" w:right="6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71" w:lineRule="exact"/>
        <w:rPr>
          <w:rFonts w:ascii="Arial" w:cs="Arial" w:eastAsia="Arial" w:hAnsi="Arial"/>
          <w:sz w:val="18"/>
          <w:szCs w:val="18"/>
          <w:color w:val="auto"/>
        </w:rPr>
      </w:pPr>
    </w:p>
    <w:p>
      <w:pPr>
        <w:ind w:left="340" w:right="80" w:hanging="332"/>
        <w:spacing w:after="0" w:line="24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Compensation should balance long-term focus that is linked to stockholder value as well as short-term financial objectives</w:t>
      </w:r>
      <w:r>
        <w:rPr>
          <w:rFonts w:ascii="Arial" w:cs="Arial" w:eastAsia="Arial" w:hAnsi="Arial"/>
          <w:sz w:val="18"/>
          <w:szCs w:val="18"/>
          <w:color w:val="auto"/>
        </w:rPr>
        <w:t>.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1" w:name="page32"/>
    <w:bookmarkEnd w:id="31"/>
    <w:p>
      <w:pPr>
        <w:ind w:left="340" w:right="200" w:hanging="332"/>
        <w:spacing w:after="0" w:line="297"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Compensation should reflect the value of the job in the marketplace</w:t>
      </w:r>
      <w:r>
        <w:rPr>
          <w:rFonts w:ascii="Arial" w:cs="Arial" w:eastAsia="Arial" w:hAnsi="Arial"/>
          <w:sz w:val="17"/>
          <w:szCs w:val="17"/>
          <w:color w:val="auto"/>
        </w:rPr>
        <w:t>. We compete for talent globally. In order to attract and retain a highly</w:t>
      </w:r>
      <w:r>
        <w:rPr>
          <w:rFonts w:ascii="Arial" w:cs="Arial" w:eastAsia="Arial" w:hAnsi="Arial"/>
          <w:sz w:val="17"/>
          <w:szCs w:val="17"/>
          <w:i w:val="1"/>
          <w:iCs w:val="1"/>
          <w:color w:val="auto"/>
        </w:rPr>
        <w:t xml:space="preserve"> </w:t>
      </w:r>
      <w:r>
        <w:rPr>
          <w:rFonts w:ascii="Arial" w:cs="Arial" w:eastAsia="Arial" w:hAnsi="Arial"/>
          <w:sz w:val="17"/>
          <w:szCs w:val="17"/>
          <w:color w:val="auto"/>
        </w:rPr>
        <w:t>skilled workforce, we must remain competitive with the pay of other employers who compete with us for talent in the relevant markets.</w:t>
      </w:r>
    </w:p>
    <w:p>
      <w:pPr>
        <w:spacing w:after="0" w:line="123" w:lineRule="exact"/>
        <w:rPr>
          <w:rFonts w:ascii="Arial" w:cs="Arial" w:eastAsia="Arial" w:hAnsi="Arial"/>
          <w:sz w:val="17"/>
          <w:szCs w:val="17"/>
          <w:color w:val="auto"/>
        </w:rPr>
      </w:pPr>
    </w:p>
    <w:p>
      <w:pPr>
        <w:ind w:left="340" w:right="20" w:hanging="332"/>
        <w:spacing w:after="0" w:line="24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Compensation programs should be easy to understand</w:t>
      </w:r>
      <w:r>
        <w:rPr>
          <w:rFonts w:ascii="Arial" w:cs="Arial" w:eastAsia="Arial" w:hAnsi="Arial"/>
          <w:sz w:val="18"/>
          <w:szCs w:val="18"/>
          <w:color w:val="auto"/>
        </w:rPr>
        <w:t>. We believe that all aspects of executive compensation should be clearly,</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comprehensibly and 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21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165" w:lineRule="exact"/>
        <w:rPr>
          <w:sz w:val="20"/>
          <w:szCs w:val="20"/>
          <w:color w:val="auto"/>
        </w:rPr>
      </w:pPr>
    </w:p>
    <w:p>
      <w:pPr>
        <w:ind w:left="340" w:hanging="332"/>
        <w:spacing w:after="0" w:line="23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Our Compensation Committee uses financial performance measures to determine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192" w:lineRule="exact"/>
        <w:rPr>
          <w:sz w:val="20"/>
          <w:szCs w:val="20"/>
          <w:color w:val="auto"/>
        </w:rPr>
      </w:pPr>
    </w:p>
    <w:p>
      <w:pPr>
        <w:ind w:left="340" w:right="260" w:firstLine="486"/>
        <w:spacing w:after="0"/>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and personal performance goals, as described below. These measures reflect targets that are intended to encourage stretch performance.</w:t>
      </w:r>
    </w:p>
    <w:p>
      <w:pPr>
        <w:spacing w:after="0" w:line="171" w:lineRule="exact"/>
        <w:rPr>
          <w:sz w:val="20"/>
          <w:szCs w:val="20"/>
          <w:color w:val="auto"/>
        </w:rPr>
      </w:pPr>
    </w:p>
    <w:p>
      <w:pPr>
        <w:jc w:val="both"/>
        <w:ind w:left="340" w:right="160" w:hanging="332"/>
        <w:spacing w:after="0" w:line="25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certain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 The evaluation of an individual’s performance determines a portion of the payouts for Mr. Chhibbar and Mr. Miglani made under our incentive bonus program and also influences any changes in base salary.</w:t>
      </w:r>
    </w:p>
    <w:p>
      <w:pPr>
        <w:spacing w:after="0" w:line="179" w:lineRule="exact"/>
        <w:rPr>
          <w:sz w:val="20"/>
          <w:szCs w:val="20"/>
          <w:color w:val="auto"/>
        </w:rPr>
      </w:pPr>
    </w:p>
    <w:p>
      <w:pPr>
        <w:ind w:left="340" w:right="280" w:firstLine="486"/>
        <w:spacing w:after="0" w:line="237" w:lineRule="auto"/>
        <w:rPr>
          <w:sz w:val="20"/>
          <w:szCs w:val="20"/>
          <w:color w:val="auto"/>
        </w:rPr>
      </w:pPr>
      <w:r>
        <w:rPr>
          <w:rFonts w:ascii="Arial" w:cs="Arial" w:eastAsia="Arial" w:hAnsi="Arial"/>
          <w:sz w:val="18"/>
          <w:szCs w:val="18"/>
          <w:color w:val="auto"/>
        </w:rPr>
        <w:t>For Messrs. Chhibbar and Miglani, our Compensation Committee receives a 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32" w:name="page33"/>
    <w:bookmarkEnd w:id="32"/>
    <w:p>
      <w:pPr>
        <w:jc w:val="both"/>
        <w:ind w:left="340" w:right="280"/>
        <w:spacing w:after="0"/>
        <w:rPr>
          <w:sz w:val="20"/>
          <w:szCs w:val="20"/>
          <w:color w:val="auto"/>
        </w:rPr>
      </w:pPr>
      <w:r>
        <w:rPr>
          <w:rFonts w:ascii="Arial" w:cs="Arial" w:eastAsia="Arial" w:hAnsi="Arial"/>
          <w:sz w:val="18"/>
          <w:szCs w:val="18"/>
          <w:color w:val="auto"/>
        </w:rPr>
        <w:t>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71" w:lineRule="exact"/>
        <w:rPr>
          <w:sz w:val="20"/>
          <w:szCs w:val="20"/>
          <w:color w:val="auto"/>
        </w:rPr>
      </w:pPr>
    </w:p>
    <w:p>
      <w:pPr>
        <w:ind w:left="340" w:right="20" w:hanging="332"/>
        <w:spacing w:after="0" w:line="24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Review of Peer Company Market Data</w:t>
      </w:r>
      <w:r>
        <w:rPr>
          <w:rFonts w:ascii="Arial" w:cs="Arial" w:eastAsia="Arial" w:hAnsi="Arial"/>
          <w:sz w:val="18"/>
          <w:szCs w:val="18"/>
          <w:color w:val="auto"/>
        </w:rPr>
        <w:t>. At the time compensation decisions were made for our U.S.-based and other senior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2015,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2015 were as follows:</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560" w:type="dxa"/>
            <w:vAlign w:val="bottom"/>
            <w:shd w:val="clear" w:color="auto" w:fill="5591C7"/>
          </w:tcPr>
          <w:p>
            <w:pPr>
              <w:spacing w:after="0"/>
              <w:rPr>
                <w:sz w:val="17"/>
                <w:szCs w:val="17"/>
                <w:color w:val="auto"/>
              </w:rPr>
            </w:pPr>
          </w:p>
        </w:tc>
        <w:tc>
          <w:tcPr>
            <w:tcW w:w="6700" w:type="dxa"/>
            <w:vAlign w:val="bottom"/>
            <w:shd w:val="clear" w:color="auto" w:fill="5591C7"/>
          </w:tcPr>
          <w:p>
            <w:pPr>
              <w:ind w:left="580"/>
              <w:spacing w:after="0"/>
              <w:rPr>
                <w:sz w:val="20"/>
                <w:szCs w:val="20"/>
                <w:color w:val="auto"/>
              </w:rPr>
            </w:pPr>
            <w:r>
              <w:rPr>
                <w:rFonts w:ascii="Arial" w:cs="Arial" w:eastAsia="Arial" w:hAnsi="Arial"/>
                <w:sz w:val="18"/>
                <w:szCs w:val="18"/>
                <w:b w:val="1"/>
                <w:bCs w:val="1"/>
                <w:color w:val="auto"/>
              </w:rPr>
              <w:t>Peer Group Companies</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Altisource Portfolio Solutions S.A.</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IGATE Corporation</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Ciber, Inc.</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Sapient Corporation</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Computer Task Group, Incorporated</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Solera Holdings, Inc.</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Convergys Corporation</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Sykes Enterprises, Incorporated</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CSG Systems International, Inc.</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Syntel Inc.</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EPAM Systems, Inc.</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TeleTech Holdings, Inc.</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Genpact Limited</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Virtusa Corporation</w:t>
            </w:r>
          </w:p>
        </w:tc>
      </w:tr>
      <w:tr>
        <w:trPr>
          <w:trHeight w:val="217"/>
        </w:trPr>
        <w:tc>
          <w:tcPr>
            <w:tcW w:w="3560" w:type="dxa"/>
            <w:vAlign w:val="bottom"/>
          </w:tcPr>
          <w:p>
            <w:pPr>
              <w:ind w:left="140"/>
              <w:spacing w:after="0"/>
              <w:rPr>
                <w:sz w:val="20"/>
                <w:szCs w:val="20"/>
                <w:color w:val="auto"/>
              </w:rPr>
            </w:pPr>
            <w:r>
              <w:rPr>
                <w:rFonts w:ascii="Arial" w:cs="Arial" w:eastAsia="Arial" w:hAnsi="Arial"/>
                <w:sz w:val="18"/>
                <w:szCs w:val="18"/>
                <w:color w:val="auto"/>
              </w:rPr>
              <w:t>HMS Holdings Corp.</w:t>
            </w:r>
          </w:p>
        </w:tc>
        <w:tc>
          <w:tcPr>
            <w:tcW w:w="6700" w:type="dxa"/>
            <w:vAlign w:val="bottom"/>
          </w:tcPr>
          <w:p>
            <w:pPr>
              <w:ind w:left="1580"/>
              <w:spacing w:after="0"/>
              <w:rPr>
                <w:sz w:val="20"/>
                <w:szCs w:val="20"/>
                <w:color w:val="auto"/>
              </w:rPr>
            </w:pPr>
            <w:r>
              <w:rPr>
                <w:rFonts w:ascii="Arial" w:cs="Arial" w:eastAsia="Arial" w:hAnsi="Arial"/>
                <w:sz w:val="18"/>
                <w:szCs w:val="18"/>
                <w:color w:val="auto"/>
              </w:rPr>
              <w:t>WNS (Holdings) Limited</w:t>
            </w:r>
          </w:p>
        </w:tc>
      </w:tr>
    </w:tbl>
    <w:p>
      <w:pPr>
        <w:spacing w:after="0" w:line="187" w:lineRule="exact"/>
        <w:rPr>
          <w:sz w:val="20"/>
          <w:szCs w:val="20"/>
          <w:color w:val="auto"/>
        </w:rPr>
      </w:pPr>
    </w:p>
    <w:p>
      <w:pPr>
        <w:jc w:val="both"/>
        <w:ind w:left="340" w:firstLine="648"/>
        <w:spacing w:after="0" w:line="237" w:lineRule="auto"/>
        <w:rPr>
          <w:sz w:val="20"/>
          <w:szCs w:val="20"/>
          <w:color w:val="auto"/>
        </w:rPr>
      </w:pPr>
      <w:r>
        <w:rPr>
          <w:rFonts w:ascii="Arial" w:cs="Arial" w:eastAsia="Arial" w:hAnsi="Arial"/>
          <w:sz w:val="18"/>
          <w:szCs w:val="18"/>
          <w:color w:val="auto"/>
        </w:rPr>
        <w:t>The compensation data for our peer group is compiled directly by Cook &amp; Co., the independent consultant to the Compensation Committee. The peer group compensation data was supplemented by global general industry and technology industry survey data. The data from the surveys was scaled to our size by Cook &amp; Co. based on revenues or corresponding revenue ranges as provided by the surveys. While the Compensation Committee reviewed and considered the data provided by these surveys, it did not consider or review the compensation paid to executives at the component companies included within such surveys and did not use this information or any other data as a benchmark to set executive compensation for fiscal year 2015.</w:t>
      </w:r>
    </w:p>
    <w:p>
      <w:pPr>
        <w:spacing w:after="0" w:line="192" w:lineRule="exact"/>
        <w:rPr>
          <w:sz w:val="20"/>
          <w:szCs w:val="20"/>
          <w:color w:val="auto"/>
        </w:rPr>
      </w:pPr>
    </w:p>
    <w:p>
      <w:pPr>
        <w:jc w:val="both"/>
        <w:ind w:left="340" w:firstLine="648"/>
        <w:spacing w:after="0" w:line="239"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70" w:lineRule="exact"/>
        <w:rPr>
          <w:sz w:val="20"/>
          <w:szCs w:val="20"/>
          <w:color w:val="auto"/>
        </w:rPr>
      </w:pPr>
    </w:p>
    <w:p>
      <w:pPr>
        <w:ind w:left="340" w:right="220" w:hanging="332"/>
        <w:spacing w:after="0" w:line="24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Total Compensation Review</w:t>
      </w:r>
      <w:r>
        <w:rPr>
          <w:rFonts w:ascii="Arial" w:cs="Arial" w:eastAsia="Arial" w:hAnsi="Arial"/>
          <w:sz w:val="18"/>
          <w:szCs w:val="18"/>
          <w:color w:val="auto"/>
        </w:rPr>
        <w:t>. Our Compensation Committee determines the categories and presentation of compensation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evaluate each executive’s base pay, incentive bonus and equity incentives when changes in compensation are considered by our Compensation Committee and requests Cook &amp; Co. compile such information.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3" w:name="page34"/>
    <w:bookmarkEnd w:id="33"/>
    <w:p>
      <w:pPr>
        <w:ind w:left="340" w:right="20" w:hanging="332"/>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Role of the Compensation Committee’s Independent Compensation Consultant</w:t>
      </w:r>
      <w:r>
        <w:rPr>
          <w:rFonts w:ascii="Arial" w:cs="Arial" w:eastAsia="Arial" w:hAnsi="Arial"/>
          <w:sz w:val="18"/>
          <w:szCs w:val="18"/>
          <w:color w:val="auto"/>
        </w:rPr>
        <w:t>. For 2015, the Compensation Committee retained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of Cook &amp; Co.,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Cook &amp; Co. does not provide other services to us or our executive officers. We have affirmatively determined that no conflict of interest has arisen in connection with the work of Cook &amp; Co. as compensation consultant for the Compensation Committee.</w:t>
      </w:r>
    </w:p>
    <w:p>
      <w:pPr>
        <w:spacing w:after="0" w:line="17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Components of Executive Compensation for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2015, the compensation of executive officers consisted of the following five primary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Compensation</w:t>
            </w:r>
          </w:p>
        </w:tc>
        <w:tc>
          <w:tcPr>
            <w:tcW w:w="4460" w:type="dxa"/>
            <w:vAlign w:val="bottom"/>
            <w:shd w:val="clear" w:color="auto" w:fill="5591C7"/>
          </w:tcPr>
          <w:p>
            <w:pPr>
              <w:spacing w:after="0"/>
              <w:rPr>
                <w:sz w:val="14"/>
                <w:szCs w:val="14"/>
                <w:color w:val="auto"/>
              </w:rPr>
            </w:pPr>
          </w:p>
        </w:tc>
        <w:tc>
          <w:tcPr>
            <w:tcW w:w="4600" w:type="dxa"/>
            <w:vAlign w:val="bottom"/>
            <w:shd w:val="clear" w:color="auto" w:fill="5591C7"/>
          </w:tcPr>
          <w:p>
            <w:pPr>
              <w:spacing w:after="0"/>
              <w:rPr>
                <w:sz w:val="14"/>
                <w:szCs w:val="14"/>
                <w:color w:val="auto"/>
              </w:rPr>
            </w:pPr>
          </w:p>
        </w:tc>
      </w:tr>
      <w:tr>
        <w:trPr>
          <w:trHeight w:val="175"/>
        </w:trPr>
        <w:tc>
          <w:tcPr>
            <w:tcW w:w="2360" w:type="dxa"/>
            <w:vAlign w:val="bottom"/>
            <w:tcBorders>
              <w:bottom w:val="single" w:sz="8" w:color="auto"/>
            </w:tcBorders>
            <w:shd w:val="clear" w:color="auto" w:fill="5591C7"/>
          </w:tcPr>
          <w:p>
            <w:pPr>
              <w:jc w:val="center"/>
              <w:ind w:left="37"/>
              <w:spacing w:after="0"/>
              <w:rPr>
                <w:sz w:val="20"/>
                <w:szCs w:val="20"/>
                <w:color w:val="auto"/>
              </w:rPr>
            </w:pPr>
            <w:r>
              <w:rPr>
                <w:rFonts w:ascii="Arial" w:cs="Arial" w:eastAsia="Arial" w:hAnsi="Arial"/>
                <w:sz w:val="14"/>
                <w:szCs w:val="14"/>
                <w:b w:val="1"/>
                <w:bCs w:val="1"/>
                <w:color w:val="auto"/>
              </w:rPr>
              <w:t>Component</w:t>
            </w:r>
          </w:p>
        </w:tc>
        <w:tc>
          <w:tcPr>
            <w:tcW w:w="4460" w:type="dxa"/>
            <w:vAlign w:val="bottom"/>
            <w:tcBorders>
              <w:bottom w:val="single" w:sz="8" w:color="auto"/>
            </w:tcBorders>
            <w:shd w:val="clear" w:color="auto" w:fill="5591C7"/>
          </w:tcPr>
          <w:p>
            <w:pPr>
              <w:ind w:left="1920"/>
              <w:spacing w:after="0"/>
              <w:rPr>
                <w:sz w:val="20"/>
                <w:szCs w:val="20"/>
                <w:color w:val="auto"/>
              </w:rPr>
            </w:pPr>
            <w:r>
              <w:rPr>
                <w:rFonts w:ascii="Arial" w:cs="Arial" w:eastAsia="Arial" w:hAnsi="Arial"/>
                <w:sz w:val="14"/>
                <w:szCs w:val="14"/>
                <w:b w:val="1"/>
                <w:bCs w:val="1"/>
                <w:color w:val="auto"/>
              </w:rPr>
              <w:t>Description</w:t>
            </w:r>
          </w:p>
        </w:tc>
        <w:tc>
          <w:tcPr>
            <w:tcW w:w="4600" w:type="dxa"/>
            <w:vAlign w:val="bottom"/>
            <w:tcBorders>
              <w:bottom w:val="single" w:sz="8" w:color="auto"/>
            </w:tcBorders>
            <w:shd w:val="clear" w:color="auto" w:fill="5591C7"/>
          </w:tcPr>
          <w:p>
            <w:pPr>
              <w:ind w:left="2040"/>
              <w:spacing w:after="0"/>
              <w:rPr>
                <w:sz w:val="20"/>
                <w:szCs w:val="20"/>
                <w:color w:val="auto"/>
              </w:rPr>
            </w:pPr>
            <w:r>
              <w:rPr>
                <w:rFonts w:ascii="Arial" w:cs="Arial" w:eastAsia="Arial" w:hAnsi="Arial"/>
                <w:sz w:val="14"/>
                <w:szCs w:val="14"/>
                <w:b w:val="1"/>
                <w:bCs w:val="1"/>
                <w:color w:val="auto"/>
              </w:rPr>
              <w:t>Objectives</w:t>
            </w:r>
          </w:p>
        </w:tc>
      </w:tr>
      <w:tr>
        <w:trPr>
          <w:trHeight w:val="209"/>
        </w:trPr>
        <w:tc>
          <w:tcPr>
            <w:tcW w:w="2360" w:type="dxa"/>
            <w:vAlign w:val="bottom"/>
            <w:shd w:val="clear" w:color="auto" w:fill="C6D9F1"/>
          </w:tcPr>
          <w:p>
            <w:pPr>
              <w:ind w:left="180"/>
              <w:spacing w:after="0"/>
              <w:rPr>
                <w:sz w:val="20"/>
                <w:szCs w:val="20"/>
                <w:color w:val="auto"/>
              </w:rPr>
            </w:pPr>
            <w:r>
              <w:rPr>
                <w:rFonts w:ascii="Arial" w:cs="Arial" w:eastAsia="Arial" w:hAnsi="Arial"/>
                <w:sz w:val="18"/>
                <w:szCs w:val="18"/>
                <w:b w:val="1"/>
                <w:bCs w:val="1"/>
                <w:color w:val="auto"/>
              </w:rPr>
              <w:t>Base Salary</w:t>
            </w: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rPr>
              <w:t>·   Fixed compensation that is reviewed annually</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   Provide a base level of compensation that</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and is based on performance, experience,</w:t>
            </w:r>
          </w:p>
        </w:tc>
        <w:tc>
          <w:tcPr>
            <w:tcW w:w="4600" w:type="dxa"/>
            <w:vAlign w:val="bottom"/>
            <w:shd w:val="clear" w:color="auto" w:fill="C6D9F1"/>
          </w:tcPr>
          <w:p>
            <w:pPr>
              <w:ind w:left="520"/>
              <w:spacing w:after="0" w:line="189" w:lineRule="exact"/>
              <w:rPr>
                <w:sz w:val="20"/>
                <w:szCs w:val="20"/>
                <w:color w:val="auto"/>
              </w:rPr>
            </w:pPr>
            <w:r>
              <w:rPr>
                <w:rFonts w:ascii="Arial" w:cs="Arial" w:eastAsia="Arial" w:hAnsi="Arial"/>
                <w:sz w:val="18"/>
                <w:szCs w:val="18"/>
                <w:color w:val="auto"/>
              </w:rPr>
              <w:t>corresponds to the job function performed.</w:t>
            </w: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660"/>
              <w:spacing w:after="0"/>
              <w:rPr>
                <w:sz w:val="20"/>
                <w:szCs w:val="20"/>
                <w:color w:val="auto"/>
              </w:rPr>
            </w:pPr>
            <w:r>
              <w:rPr>
                <w:rFonts w:ascii="Arial" w:cs="Arial" w:eastAsia="Arial" w:hAnsi="Arial"/>
                <w:sz w:val="18"/>
                <w:szCs w:val="18"/>
                <w:color w:val="auto"/>
              </w:rPr>
              <w:t>responsibilities, skill set and market value.</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   Attract, retain, reward and motivate qualified and</w:t>
            </w:r>
          </w:p>
        </w:tc>
      </w:tr>
      <w:tr>
        <w:trPr>
          <w:trHeight w:val="203"/>
        </w:trPr>
        <w:tc>
          <w:tcPr>
            <w:tcW w:w="2360" w:type="dxa"/>
            <w:vAlign w:val="bottom"/>
            <w:shd w:val="clear" w:color="auto" w:fill="C6D9F1"/>
          </w:tcPr>
          <w:p>
            <w:pPr>
              <w:spacing w:after="0"/>
              <w:rPr>
                <w:sz w:val="17"/>
                <w:szCs w:val="17"/>
                <w:color w:val="auto"/>
              </w:rPr>
            </w:pPr>
          </w:p>
        </w:tc>
        <w:tc>
          <w:tcPr>
            <w:tcW w:w="4460" w:type="dxa"/>
            <w:vAlign w:val="bottom"/>
            <w:shd w:val="clear" w:color="auto" w:fill="C6D9F1"/>
          </w:tcPr>
          <w:p>
            <w:pPr>
              <w:spacing w:after="0"/>
              <w:rPr>
                <w:sz w:val="17"/>
                <w:szCs w:val="17"/>
                <w:color w:val="auto"/>
              </w:rPr>
            </w:pPr>
          </w:p>
        </w:tc>
        <w:tc>
          <w:tcPr>
            <w:tcW w:w="4600" w:type="dxa"/>
            <w:vAlign w:val="bottom"/>
            <w:shd w:val="clear" w:color="auto" w:fill="C6D9F1"/>
          </w:tcPr>
          <w:p>
            <w:pPr>
              <w:ind w:left="520"/>
              <w:spacing w:after="0" w:line="203" w:lineRule="exact"/>
              <w:rPr>
                <w:sz w:val="20"/>
                <w:szCs w:val="20"/>
                <w:color w:val="auto"/>
              </w:rPr>
            </w:pPr>
            <w:r>
              <w:rPr>
                <w:rFonts w:ascii="Arial" w:cs="Arial" w:eastAsia="Arial" w:hAnsi="Arial"/>
                <w:sz w:val="18"/>
                <w:szCs w:val="18"/>
                <w:color w:val="auto"/>
              </w:rPr>
              <w:t>experienced executives.</w:t>
            </w:r>
          </w:p>
        </w:tc>
      </w:tr>
      <w:tr>
        <w:trPr>
          <w:trHeight w:val="215"/>
        </w:trPr>
        <w:tc>
          <w:tcPr>
            <w:tcW w:w="2360" w:type="dxa"/>
            <w:vAlign w:val="bottom"/>
          </w:tcPr>
          <w:p>
            <w:pPr>
              <w:ind w:left="180"/>
              <w:spacing w:after="0"/>
              <w:rPr>
                <w:sz w:val="20"/>
                <w:szCs w:val="20"/>
                <w:color w:val="auto"/>
              </w:rPr>
            </w:pPr>
            <w:r>
              <w:rPr>
                <w:rFonts w:ascii="Arial" w:cs="Arial" w:eastAsia="Arial" w:hAnsi="Arial"/>
                <w:sz w:val="18"/>
                <w:szCs w:val="18"/>
                <w:b w:val="1"/>
                <w:bCs w:val="1"/>
                <w:color w:val="auto"/>
              </w:rPr>
              <w:t>Annual Incentives</w:t>
            </w:r>
          </w:p>
        </w:tc>
        <w:tc>
          <w:tcPr>
            <w:tcW w:w="4460" w:type="dxa"/>
            <w:vAlign w:val="bottom"/>
          </w:tcPr>
          <w:p>
            <w:pPr>
              <w:ind w:left="340"/>
              <w:spacing w:after="0"/>
              <w:rPr>
                <w:sz w:val="20"/>
                <w:szCs w:val="20"/>
                <w:color w:val="auto"/>
              </w:rPr>
            </w:pPr>
            <w:r>
              <w:rPr>
                <w:rFonts w:ascii="Arial" w:cs="Arial" w:eastAsia="Arial" w:hAnsi="Arial"/>
                <w:sz w:val="18"/>
                <w:szCs w:val="18"/>
                <w:color w:val="auto"/>
              </w:rPr>
              <w:t>·   “At-risk” compensation earned based on</w:t>
            </w:r>
          </w:p>
        </w:tc>
        <w:tc>
          <w:tcPr>
            <w:tcW w:w="4600" w:type="dxa"/>
            <w:vAlign w:val="bottom"/>
          </w:tcPr>
          <w:p>
            <w:pPr>
              <w:ind w:left="200"/>
              <w:spacing w:after="0"/>
              <w:rPr>
                <w:sz w:val="20"/>
                <w:szCs w:val="20"/>
                <w:color w:val="auto"/>
              </w:rPr>
            </w:pPr>
            <w:r>
              <w:rPr>
                <w:rFonts w:ascii="Arial" w:cs="Arial" w:eastAsia="Arial" w:hAnsi="Arial"/>
                <w:sz w:val="18"/>
                <w:szCs w:val="18"/>
                <w:color w:val="auto"/>
              </w:rPr>
              <w:t>·   Incentivize executives to achieve annual goals that</w:t>
            </w:r>
          </w:p>
        </w:tc>
      </w:tr>
      <w:tr>
        <w:trPr>
          <w:trHeight w:val="203"/>
        </w:trPr>
        <w:tc>
          <w:tcPr>
            <w:tcW w:w="2360" w:type="dxa"/>
            <w:vAlign w:val="bottom"/>
          </w:tcPr>
          <w:p>
            <w:pPr>
              <w:spacing w:after="0"/>
              <w:rPr>
                <w:sz w:val="17"/>
                <w:szCs w:val="17"/>
                <w:color w:val="auto"/>
              </w:rPr>
            </w:pPr>
          </w:p>
        </w:tc>
        <w:tc>
          <w:tcPr>
            <w:tcW w:w="4460" w:type="dxa"/>
            <w:vAlign w:val="bottom"/>
          </w:tcPr>
          <w:p>
            <w:pPr>
              <w:ind w:left="660"/>
              <w:spacing w:after="0" w:line="202" w:lineRule="exact"/>
              <w:rPr>
                <w:sz w:val="20"/>
                <w:szCs w:val="20"/>
                <w:color w:val="auto"/>
              </w:rPr>
            </w:pPr>
            <w:r>
              <w:rPr>
                <w:rFonts w:ascii="Arial" w:cs="Arial" w:eastAsia="Arial" w:hAnsi="Arial"/>
                <w:sz w:val="18"/>
                <w:szCs w:val="18"/>
                <w:color w:val="auto"/>
              </w:rPr>
              <w:t>performance measured against pre-</w:t>
            </w:r>
          </w:p>
        </w:tc>
        <w:tc>
          <w:tcPr>
            <w:tcW w:w="4600" w:type="dxa"/>
            <w:vAlign w:val="bottom"/>
          </w:tcPr>
          <w:p>
            <w:pPr>
              <w:ind w:left="520"/>
              <w:spacing w:after="0" w:line="202" w:lineRule="exact"/>
              <w:rPr>
                <w:sz w:val="20"/>
                <w:szCs w:val="20"/>
                <w:color w:val="auto"/>
              </w:rPr>
            </w:pPr>
            <w:r>
              <w:rPr>
                <w:rFonts w:ascii="Arial" w:cs="Arial" w:eastAsia="Arial" w:hAnsi="Arial"/>
                <w:sz w:val="18"/>
                <w:szCs w:val="18"/>
                <w:color w:val="auto"/>
              </w:rPr>
              <w:t>ultimately contribute to long-term company growth</w:t>
            </w:r>
          </w:p>
        </w:tc>
      </w:tr>
      <w:tr>
        <w:trPr>
          <w:trHeight w:val="189"/>
        </w:trPr>
        <w:tc>
          <w:tcPr>
            <w:tcW w:w="2360" w:type="dxa"/>
            <w:vAlign w:val="bottom"/>
          </w:tcPr>
          <w:p>
            <w:pPr>
              <w:spacing w:after="0"/>
              <w:rPr>
                <w:sz w:val="16"/>
                <w:szCs w:val="16"/>
                <w:color w:val="auto"/>
              </w:rPr>
            </w:pPr>
          </w:p>
        </w:tc>
        <w:tc>
          <w:tcPr>
            <w:tcW w:w="4460" w:type="dxa"/>
            <w:vAlign w:val="bottom"/>
          </w:tcPr>
          <w:p>
            <w:pPr>
              <w:ind w:left="660"/>
              <w:spacing w:after="0" w:line="189" w:lineRule="exact"/>
              <w:rPr>
                <w:sz w:val="20"/>
                <w:szCs w:val="20"/>
                <w:color w:val="auto"/>
              </w:rPr>
            </w:pPr>
            <w:r>
              <w:rPr>
                <w:rFonts w:ascii="Arial" w:cs="Arial" w:eastAsia="Arial" w:hAnsi="Arial"/>
                <w:sz w:val="18"/>
                <w:szCs w:val="18"/>
                <w:color w:val="auto"/>
              </w:rPr>
              <w:t>established annual goals.</w:t>
            </w:r>
          </w:p>
        </w:tc>
        <w:tc>
          <w:tcPr>
            <w:tcW w:w="4600" w:type="dxa"/>
            <w:vAlign w:val="bottom"/>
          </w:tcPr>
          <w:p>
            <w:pPr>
              <w:ind w:left="520"/>
              <w:spacing w:after="0" w:line="189" w:lineRule="exact"/>
              <w:rPr>
                <w:sz w:val="20"/>
                <w:szCs w:val="20"/>
                <w:color w:val="auto"/>
              </w:rPr>
            </w:pPr>
            <w:r>
              <w:rPr>
                <w:rFonts w:ascii="Arial" w:cs="Arial" w:eastAsia="Arial" w:hAnsi="Arial"/>
                <w:sz w:val="18"/>
                <w:szCs w:val="18"/>
                <w:color w:val="auto"/>
              </w:rPr>
              <w:t>and stockholder return.</w:t>
            </w:r>
          </w:p>
        </w:tc>
      </w:tr>
      <w:tr>
        <w:trPr>
          <w:trHeight w:val="230"/>
        </w:trPr>
        <w:tc>
          <w:tcPr>
            <w:tcW w:w="23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   Goals are tailored to each executive’s</w:t>
            </w:r>
          </w:p>
        </w:tc>
        <w:tc>
          <w:tcPr>
            <w:tcW w:w="4600" w:type="dxa"/>
            <w:vAlign w:val="bottom"/>
          </w:tcPr>
          <w:p>
            <w:pPr>
              <w:spacing w:after="0"/>
              <w:rPr>
                <w:sz w:val="19"/>
                <w:szCs w:val="19"/>
                <w:color w:val="auto"/>
              </w:rPr>
            </w:pPr>
          </w:p>
        </w:tc>
      </w:tr>
      <w:tr>
        <w:trPr>
          <w:trHeight w:val="203"/>
        </w:trPr>
        <w:tc>
          <w:tcPr>
            <w:tcW w:w="2360" w:type="dxa"/>
            <w:vAlign w:val="bottom"/>
          </w:tcPr>
          <w:p>
            <w:pPr>
              <w:spacing w:after="0"/>
              <w:rPr>
                <w:sz w:val="17"/>
                <w:szCs w:val="17"/>
                <w:color w:val="auto"/>
              </w:rPr>
            </w:pPr>
          </w:p>
        </w:tc>
        <w:tc>
          <w:tcPr>
            <w:tcW w:w="4460" w:type="dxa"/>
            <w:vAlign w:val="bottom"/>
          </w:tcPr>
          <w:p>
            <w:pPr>
              <w:ind w:left="660"/>
              <w:spacing w:after="0" w:line="203" w:lineRule="exact"/>
              <w:rPr>
                <w:sz w:val="20"/>
                <w:szCs w:val="20"/>
                <w:color w:val="auto"/>
              </w:rPr>
            </w:pPr>
            <w:r>
              <w:rPr>
                <w:rFonts w:ascii="Arial" w:cs="Arial" w:eastAsia="Arial" w:hAnsi="Arial"/>
                <w:sz w:val="18"/>
                <w:szCs w:val="18"/>
                <w:color w:val="auto"/>
              </w:rPr>
              <w:t>position.</w:t>
            </w:r>
          </w:p>
        </w:tc>
        <w:tc>
          <w:tcPr>
            <w:tcW w:w="4600" w:type="dxa"/>
            <w:vAlign w:val="bottom"/>
          </w:tcPr>
          <w:p>
            <w:pPr>
              <w:spacing w:after="0"/>
              <w:rPr>
                <w:sz w:val="17"/>
                <w:szCs w:val="17"/>
                <w:color w:val="auto"/>
              </w:rPr>
            </w:pPr>
          </w:p>
        </w:tc>
      </w:tr>
      <w:tr>
        <w:trPr>
          <w:trHeight w:val="202"/>
        </w:trPr>
        <w:tc>
          <w:tcPr>
            <w:tcW w:w="2360" w:type="dxa"/>
            <w:vAlign w:val="bottom"/>
            <w:shd w:val="clear" w:color="auto" w:fill="C6D9F1"/>
          </w:tcPr>
          <w:p>
            <w:pPr>
              <w:ind w:left="180"/>
              <w:spacing w:after="0" w:line="201" w:lineRule="exact"/>
              <w:rPr>
                <w:sz w:val="20"/>
                <w:szCs w:val="20"/>
                <w:color w:val="auto"/>
              </w:rPr>
            </w:pPr>
            <w:r>
              <w:rPr>
                <w:rFonts w:ascii="Arial" w:cs="Arial" w:eastAsia="Arial" w:hAnsi="Arial"/>
                <w:sz w:val="18"/>
                <w:szCs w:val="18"/>
                <w:b w:val="1"/>
                <w:bCs w:val="1"/>
                <w:color w:val="auto"/>
              </w:rPr>
              <w:t>Long-Term Incentives</w:t>
            </w:r>
          </w:p>
        </w:tc>
        <w:tc>
          <w:tcPr>
            <w:tcW w:w="4460" w:type="dxa"/>
            <w:vAlign w:val="bottom"/>
            <w:shd w:val="clear" w:color="auto" w:fill="C6D9F1"/>
          </w:tcPr>
          <w:p>
            <w:pPr>
              <w:ind w:left="340"/>
              <w:spacing w:after="0" w:line="201" w:lineRule="exact"/>
              <w:rPr>
                <w:sz w:val="20"/>
                <w:szCs w:val="20"/>
                <w:color w:val="auto"/>
              </w:rPr>
            </w:pPr>
            <w:r>
              <w:rPr>
                <w:rFonts w:ascii="Arial" w:cs="Arial" w:eastAsia="Arial" w:hAnsi="Arial"/>
                <w:sz w:val="18"/>
                <w:szCs w:val="18"/>
                <w:color w:val="auto"/>
              </w:rPr>
              <w:t>·   “At-risk” compensation in the form of</w:t>
            </w:r>
          </w:p>
        </w:tc>
        <w:tc>
          <w:tcPr>
            <w:tcW w:w="4600" w:type="dxa"/>
            <w:vAlign w:val="bottom"/>
            <w:shd w:val="clear" w:color="auto" w:fill="C6D9F1"/>
          </w:tcPr>
          <w:p>
            <w:pPr>
              <w:ind w:left="200"/>
              <w:spacing w:after="0" w:line="201" w:lineRule="exact"/>
              <w:rPr>
                <w:sz w:val="20"/>
                <w:szCs w:val="20"/>
                <w:color w:val="auto"/>
              </w:rPr>
            </w:pPr>
            <w:r>
              <w:rPr>
                <w:rFonts w:ascii="Arial" w:cs="Arial" w:eastAsia="Arial" w:hAnsi="Arial"/>
                <w:sz w:val="18"/>
                <w:szCs w:val="18"/>
                <w:color w:val="auto"/>
              </w:rPr>
              <w:t>·   Align executive interests with those of stockholders.</w:t>
            </w:r>
          </w:p>
        </w:tc>
      </w:tr>
      <w:tr>
        <w:trPr>
          <w:trHeight w:val="216"/>
        </w:trPr>
        <w:tc>
          <w:tcPr>
            <w:tcW w:w="2360" w:type="dxa"/>
            <w:vAlign w:val="bottom"/>
            <w:shd w:val="clear" w:color="auto" w:fill="C6D9F1"/>
          </w:tcPr>
          <w:p>
            <w:pPr>
              <w:spacing w:after="0"/>
              <w:rPr>
                <w:sz w:val="18"/>
                <w:szCs w:val="18"/>
                <w:color w:val="auto"/>
              </w:rPr>
            </w:pPr>
          </w:p>
        </w:tc>
        <w:tc>
          <w:tcPr>
            <w:tcW w:w="4460" w:type="dxa"/>
            <w:vAlign w:val="bottom"/>
            <w:shd w:val="clear" w:color="auto" w:fill="C6D9F1"/>
          </w:tcPr>
          <w:p>
            <w:pPr>
              <w:ind w:left="660"/>
              <w:spacing w:after="0"/>
              <w:rPr>
                <w:sz w:val="20"/>
                <w:szCs w:val="20"/>
                <w:color w:val="auto"/>
              </w:rPr>
            </w:pPr>
            <w:r>
              <w:rPr>
                <w:rFonts w:ascii="Arial" w:cs="Arial" w:eastAsia="Arial" w:hAnsi="Arial"/>
                <w:sz w:val="18"/>
                <w:szCs w:val="18"/>
                <w:color w:val="auto"/>
              </w:rPr>
              <w:t>restricted stock unit awards whose value</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   Reward continuous service with the company.</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fluctuates according to stockholder value.</w:t>
            </w:r>
          </w:p>
        </w:tc>
        <w:tc>
          <w:tcPr>
            <w:tcW w:w="4600" w:type="dxa"/>
            <w:vAlign w:val="bottom"/>
            <w:shd w:val="clear" w:color="auto" w:fill="C6D9F1"/>
          </w:tcPr>
          <w:p>
            <w:pPr>
              <w:ind w:left="200"/>
              <w:spacing w:after="0" w:line="189" w:lineRule="exact"/>
              <w:rPr>
                <w:sz w:val="20"/>
                <w:szCs w:val="20"/>
                <w:color w:val="auto"/>
              </w:rPr>
            </w:pPr>
            <w:r>
              <w:rPr>
                <w:rFonts w:ascii="Arial" w:cs="Arial" w:eastAsia="Arial" w:hAnsi="Arial"/>
                <w:sz w:val="18"/>
                <w:szCs w:val="18"/>
                <w:color w:val="auto"/>
              </w:rPr>
              <w:t>·   Incentivize executives to achieve goals that drive</w:t>
            </w: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rPr>
              <w:t>·   50% of the award vests based on continued</w:t>
            </w:r>
          </w:p>
        </w:tc>
        <w:tc>
          <w:tcPr>
            <w:tcW w:w="4600" w:type="dxa"/>
            <w:vAlign w:val="bottom"/>
            <w:shd w:val="clear" w:color="auto" w:fill="C6D9F1"/>
          </w:tcPr>
          <w:p>
            <w:pPr>
              <w:ind w:left="520"/>
              <w:spacing w:after="0"/>
              <w:rPr>
                <w:sz w:val="20"/>
                <w:szCs w:val="20"/>
                <w:color w:val="auto"/>
              </w:rPr>
            </w:pPr>
            <w:r>
              <w:rPr>
                <w:rFonts w:ascii="Arial" w:cs="Arial" w:eastAsia="Arial" w:hAnsi="Arial"/>
                <w:sz w:val="18"/>
                <w:szCs w:val="18"/>
                <w:color w:val="auto"/>
              </w:rPr>
              <w:t>company performance over the long-term.</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service.</w:t>
            </w:r>
          </w:p>
        </w:tc>
        <w:tc>
          <w:tcPr>
            <w:tcW w:w="4600" w:type="dxa"/>
            <w:vAlign w:val="bottom"/>
            <w:shd w:val="clear" w:color="auto" w:fill="C6D9F1"/>
          </w:tcPr>
          <w:p>
            <w:pPr>
              <w:spacing w:after="0"/>
              <w:rPr>
                <w:sz w:val="16"/>
                <w:szCs w:val="16"/>
                <w:color w:val="auto"/>
              </w:rPr>
            </w:pP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rPr>
              <w:t>·   50% vests based on achievement of revenue</w:t>
            </w:r>
          </w:p>
        </w:tc>
        <w:tc>
          <w:tcPr>
            <w:tcW w:w="4600" w:type="dxa"/>
            <w:vAlign w:val="bottom"/>
            <w:shd w:val="clear" w:color="auto" w:fill="C6D9F1"/>
          </w:tcPr>
          <w:p>
            <w:pPr>
              <w:spacing w:after="0"/>
              <w:rPr>
                <w:sz w:val="19"/>
                <w:szCs w:val="19"/>
                <w:color w:val="auto"/>
              </w:rPr>
            </w:pPr>
          </w:p>
        </w:tc>
      </w:tr>
      <w:tr>
        <w:trPr>
          <w:trHeight w:val="203"/>
        </w:trPr>
        <w:tc>
          <w:tcPr>
            <w:tcW w:w="2360" w:type="dxa"/>
            <w:vAlign w:val="bottom"/>
            <w:shd w:val="clear" w:color="auto" w:fill="C6D9F1"/>
          </w:tcPr>
          <w:p>
            <w:pPr>
              <w:spacing w:after="0"/>
              <w:rPr>
                <w:sz w:val="17"/>
                <w:szCs w:val="17"/>
                <w:color w:val="auto"/>
              </w:rPr>
            </w:pPr>
          </w:p>
        </w:tc>
        <w:tc>
          <w:tcPr>
            <w:tcW w:w="4460" w:type="dxa"/>
            <w:vAlign w:val="bottom"/>
            <w:shd w:val="clear" w:color="auto" w:fill="C6D9F1"/>
          </w:tcPr>
          <w:p>
            <w:pPr>
              <w:ind w:left="660"/>
              <w:spacing w:after="0" w:line="203" w:lineRule="exact"/>
              <w:rPr>
                <w:sz w:val="20"/>
                <w:szCs w:val="20"/>
                <w:color w:val="auto"/>
              </w:rPr>
            </w:pPr>
            <w:r>
              <w:rPr>
                <w:rFonts w:ascii="Arial" w:cs="Arial" w:eastAsia="Arial" w:hAnsi="Arial"/>
                <w:sz w:val="18"/>
                <w:szCs w:val="18"/>
                <w:color w:val="auto"/>
              </w:rPr>
              <w:t>and total stockholder return goals.</w:t>
            </w:r>
          </w:p>
        </w:tc>
        <w:tc>
          <w:tcPr>
            <w:tcW w:w="4600" w:type="dxa"/>
            <w:vAlign w:val="bottom"/>
            <w:shd w:val="clear" w:color="auto" w:fill="C6D9F1"/>
          </w:tcPr>
          <w:p>
            <w:pPr>
              <w:spacing w:after="0"/>
              <w:rPr>
                <w:sz w:val="17"/>
                <w:szCs w:val="17"/>
                <w:color w:val="auto"/>
              </w:rPr>
            </w:pPr>
          </w:p>
        </w:tc>
      </w:tr>
      <w:tr>
        <w:trPr>
          <w:trHeight w:val="662"/>
        </w:trPr>
        <w:tc>
          <w:tcPr>
            <w:tcW w:w="2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30</w:t>
            </w: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Compensation Component</w:t>
            </w:r>
          </w:p>
        </w:tc>
        <w:tc>
          <w:tcPr>
            <w:tcW w:w="4300" w:type="dxa"/>
            <w:vAlign w:val="bottom"/>
            <w:tcBorders>
              <w:bottom w:val="single" w:sz="8" w:color="auto"/>
            </w:tcBorders>
            <w:shd w:val="clear" w:color="auto" w:fill="5591C7"/>
          </w:tcPr>
          <w:p>
            <w:pPr>
              <w:ind w:left="186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tcBorders>
              <w:bottom w:val="single" w:sz="8" w:color="auto"/>
            </w:tcBorders>
            <w:shd w:val="clear" w:color="auto" w:fill="5591C7"/>
          </w:tcPr>
          <w:p>
            <w:pPr>
              <w:ind w:left="2140"/>
              <w:spacing w:after="0"/>
              <w:rPr>
                <w:sz w:val="20"/>
                <w:szCs w:val="20"/>
                <w:color w:val="auto"/>
              </w:rPr>
            </w:pPr>
            <w:r>
              <w:rPr>
                <w:rFonts w:ascii="Arial" w:cs="Arial" w:eastAsia="Arial" w:hAnsi="Arial"/>
                <w:sz w:val="14"/>
                <w:szCs w:val="14"/>
                <w:b w:val="1"/>
                <w:bCs w:val="1"/>
                <w:color w:val="auto"/>
              </w:rPr>
              <w:t>Objectives</w:t>
            </w: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Other Benefits</w:t>
            </w:r>
          </w:p>
        </w:tc>
        <w:tc>
          <w:tcPr>
            <w:tcW w:w="4300" w:type="dxa"/>
            <w:vAlign w:val="bottom"/>
          </w:tcPr>
          <w:p>
            <w:pPr>
              <w:ind w:left="280"/>
              <w:spacing w:after="0"/>
              <w:rPr>
                <w:sz w:val="20"/>
                <w:szCs w:val="20"/>
                <w:color w:val="auto"/>
              </w:rPr>
            </w:pPr>
            <w:r>
              <w:rPr>
                <w:rFonts w:ascii="Arial" w:cs="Arial" w:eastAsia="Arial" w:hAnsi="Arial"/>
                <w:sz w:val="18"/>
                <w:szCs w:val="18"/>
                <w:color w:val="auto"/>
              </w:rPr>
              <w:t>·   Broad-based benefits provided to company</w:t>
            </w:r>
          </w:p>
        </w:tc>
        <w:tc>
          <w:tcPr>
            <w:tcW w:w="4700" w:type="dxa"/>
            <w:vAlign w:val="bottom"/>
          </w:tcPr>
          <w:p>
            <w:pPr>
              <w:ind w:left="300"/>
              <w:spacing w:after="0"/>
              <w:rPr>
                <w:sz w:val="20"/>
                <w:szCs w:val="20"/>
                <w:color w:val="auto"/>
              </w:rPr>
            </w:pPr>
            <w:r>
              <w:rPr>
                <w:rFonts w:ascii="Arial" w:cs="Arial" w:eastAsia="Arial" w:hAnsi="Arial"/>
                <w:sz w:val="18"/>
                <w:szCs w:val="18"/>
                <w:color w:val="auto"/>
              </w:rPr>
              <w:t>·   Provide a total compensation package that is</w:t>
            </w: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sectPr>
      </w:pPr>
    </w:p>
    <w:p>
      <w:pPr>
        <w:ind w:left="3020"/>
        <w:spacing w:after="0" w:line="234" w:lineRule="auto"/>
        <w:rPr>
          <w:sz w:val="20"/>
          <w:szCs w:val="20"/>
          <w:color w:val="auto"/>
        </w:rPr>
      </w:pPr>
      <w:r>
        <w:rPr>
          <w:rFonts w:ascii="Arial" w:cs="Arial" w:eastAsia="Arial" w:hAnsi="Arial"/>
          <w:sz w:val="18"/>
          <w:szCs w:val="18"/>
          <w:color w:val="auto"/>
        </w:rPr>
        <w:t>employees (e.g., health and group</w:t>
      </w:r>
    </w:p>
    <w:p>
      <w:pPr>
        <w:ind w:left="3020"/>
        <w:spacing w:after="0" w:line="235" w:lineRule="auto"/>
        <w:rPr>
          <w:sz w:val="20"/>
          <w:szCs w:val="20"/>
          <w:color w:val="auto"/>
        </w:rPr>
      </w:pPr>
      <w:r>
        <w:rPr>
          <w:rFonts w:ascii="Arial" w:cs="Arial" w:eastAsia="Arial" w:hAnsi="Arial"/>
          <w:sz w:val="18"/>
          <w:szCs w:val="18"/>
          <w:color w:val="auto"/>
        </w:rPr>
        <w:t>insurance), a retirement savings plan and</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other personal benefits where appropriate.</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Arial" w:cs="Arial" w:eastAsia="Arial" w:hAnsi="Arial"/>
          <w:sz w:val="17"/>
          <w:szCs w:val="17"/>
          <w:color w:val="auto"/>
        </w:rPr>
        <w:t>competitive with the marketplace and addresses unique needs, especially for overseas executives.</w:t>
      </w:r>
    </w:p>
    <w:p>
      <w:pPr>
        <w:spacing w:after="0" w:line="153" w:lineRule="exact"/>
        <w:rPr>
          <w:sz w:val="20"/>
          <w:szCs w:val="20"/>
          <w:color w:val="auto"/>
        </w:rPr>
      </w:pPr>
    </w:p>
    <w:p>
      <w:pPr>
        <w:sectPr>
          <w:pgSz w:w="11900" w:h="16838" w:orient="portrait"/>
          <w:cols w:equalWidth="0" w:num="2">
            <w:col w:w="6620" w:space="720"/>
            <w:col w:w="408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420" w:type="dxa"/>
            <w:vAlign w:val="bottom"/>
            <w:shd w:val="clear" w:color="auto" w:fill="C6D9F1"/>
          </w:tcPr>
          <w:p>
            <w:pPr>
              <w:ind w:left="180"/>
              <w:spacing w:after="0" w:line="188" w:lineRule="exact"/>
              <w:rPr>
                <w:sz w:val="20"/>
                <w:szCs w:val="20"/>
                <w:color w:val="auto"/>
              </w:rPr>
            </w:pPr>
            <w:r>
              <w:rPr>
                <w:rFonts w:ascii="Arial" w:cs="Arial" w:eastAsia="Arial" w:hAnsi="Arial"/>
                <w:sz w:val="18"/>
                <w:szCs w:val="18"/>
                <w:b w:val="1"/>
                <w:bCs w:val="1"/>
                <w:color w:val="auto"/>
              </w:rPr>
              <w:t>Severance and Change</w:t>
            </w:r>
          </w:p>
        </w:tc>
        <w:tc>
          <w:tcPr>
            <w:tcW w:w="440" w:type="dxa"/>
            <w:vAlign w:val="bottom"/>
            <w:shd w:val="clear" w:color="auto" w:fill="C6D9F1"/>
          </w:tcPr>
          <w:p>
            <w:pPr>
              <w:jc w:val="right"/>
              <w:ind w:right="30"/>
              <w:spacing w:after="0" w:line="188" w:lineRule="exact"/>
              <w:rPr>
                <w:sz w:val="20"/>
                <w:szCs w:val="20"/>
                <w:color w:val="auto"/>
              </w:rPr>
            </w:pPr>
            <w:r>
              <w:rPr>
                <w:rFonts w:ascii="Arial" w:cs="Arial" w:eastAsia="Arial" w:hAnsi="Arial"/>
                <w:sz w:val="18"/>
                <w:szCs w:val="18"/>
                <w:color w:val="auto"/>
              </w:rPr>
              <w:t>·</w:t>
            </w:r>
          </w:p>
        </w:tc>
        <w:tc>
          <w:tcPr>
            <w:tcW w:w="3640" w:type="dxa"/>
            <w:vAlign w:val="bottom"/>
            <w:shd w:val="clear" w:color="auto" w:fill="C6D9F1"/>
          </w:tcPr>
          <w:p>
            <w:pPr>
              <w:ind w:left="140"/>
              <w:spacing w:after="0" w:line="188" w:lineRule="exact"/>
              <w:rPr>
                <w:sz w:val="20"/>
                <w:szCs w:val="20"/>
                <w:color w:val="auto"/>
              </w:rPr>
            </w:pPr>
            <w:r>
              <w:rPr>
                <w:rFonts w:ascii="Arial" w:cs="Arial" w:eastAsia="Arial" w:hAnsi="Arial"/>
                <w:sz w:val="18"/>
                <w:szCs w:val="18"/>
                <w:color w:val="auto"/>
              </w:rPr>
              <w:t>Protect executives during potentially</w:t>
            </w:r>
          </w:p>
        </w:tc>
        <w:tc>
          <w:tcPr>
            <w:tcW w:w="4920" w:type="dxa"/>
            <w:vAlign w:val="bottom"/>
            <w:shd w:val="clear" w:color="auto" w:fill="C6D9F1"/>
          </w:tcPr>
          <w:p>
            <w:pPr>
              <w:ind w:left="520"/>
              <w:spacing w:after="0" w:line="188" w:lineRule="exact"/>
              <w:rPr>
                <w:sz w:val="20"/>
                <w:szCs w:val="20"/>
                <w:color w:val="auto"/>
              </w:rPr>
            </w:pPr>
            <w:r>
              <w:rPr>
                <w:rFonts w:ascii="Arial" w:cs="Arial" w:eastAsia="Arial" w:hAnsi="Arial"/>
                <w:sz w:val="18"/>
                <w:szCs w:val="18"/>
                <w:color w:val="auto"/>
              </w:rPr>
              <w:t>·   Allow executives to focus on generating</w:t>
            </w:r>
          </w:p>
        </w:tc>
        <w:tc>
          <w:tcPr>
            <w:tcW w:w="0" w:type="dxa"/>
            <w:vAlign w:val="bottom"/>
          </w:tcPr>
          <w:p>
            <w:pPr>
              <w:spacing w:after="0"/>
              <w:rPr>
                <w:sz w:val="1"/>
                <w:szCs w:val="1"/>
                <w:color w:val="auto"/>
              </w:rPr>
            </w:pPr>
          </w:p>
        </w:tc>
      </w:tr>
      <w:tr>
        <w:trPr>
          <w:trHeight w:val="238"/>
        </w:trPr>
        <w:tc>
          <w:tcPr>
            <w:tcW w:w="2420" w:type="dxa"/>
            <w:vAlign w:val="bottom"/>
            <w:shd w:val="clear" w:color="auto" w:fill="C6D9F1"/>
          </w:tcPr>
          <w:p>
            <w:pPr>
              <w:ind w:left="180"/>
              <w:spacing w:after="0"/>
              <w:rPr>
                <w:sz w:val="20"/>
                <w:szCs w:val="20"/>
                <w:color w:val="auto"/>
              </w:rPr>
            </w:pPr>
            <w:r>
              <w:rPr>
                <w:rFonts w:ascii="Arial" w:cs="Arial" w:eastAsia="Arial" w:hAnsi="Arial"/>
                <w:sz w:val="18"/>
                <w:szCs w:val="18"/>
                <w:b w:val="1"/>
                <w:bCs w:val="1"/>
                <w:color w:val="auto"/>
              </w:rPr>
              <w:t>in Control Protections</w:t>
            </w:r>
          </w:p>
        </w:tc>
        <w:tc>
          <w:tcPr>
            <w:tcW w:w="440" w:type="dxa"/>
            <w:vAlign w:val="bottom"/>
            <w:vMerge w:val="restart"/>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6D9F1"/>
          </w:tcPr>
          <w:p>
            <w:pPr>
              <w:ind w:left="160"/>
              <w:spacing w:after="0"/>
              <w:rPr>
                <w:sz w:val="20"/>
                <w:szCs w:val="20"/>
                <w:color w:val="auto"/>
              </w:rPr>
            </w:pPr>
            <w:r>
              <w:rPr>
                <w:rFonts w:ascii="Arial" w:cs="Arial" w:eastAsia="Arial" w:hAnsi="Arial"/>
                <w:sz w:val="18"/>
                <w:szCs w:val="18"/>
                <w:color w:val="auto"/>
              </w:rPr>
              <w:t>tumultuous corporate transaction.</w:t>
            </w:r>
          </w:p>
        </w:tc>
        <w:tc>
          <w:tcPr>
            <w:tcW w:w="4920" w:type="dxa"/>
            <w:vAlign w:val="bottom"/>
            <w:shd w:val="clear" w:color="auto" w:fill="C6D9F1"/>
          </w:tcPr>
          <w:p>
            <w:pPr>
              <w:ind w:left="840"/>
              <w:spacing w:after="0"/>
              <w:rPr>
                <w:sz w:val="20"/>
                <w:szCs w:val="20"/>
                <w:color w:val="auto"/>
              </w:rPr>
            </w:pPr>
            <w:r>
              <w:rPr>
                <w:rFonts w:ascii="Arial" w:cs="Arial" w:eastAsia="Arial" w:hAnsi="Arial"/>
                <w:sz w:val="18"/>
                <w:szCs w:val="18"/>
                <w:color w:val="auto"/>
              </w:rPr>
              <w:t>stockholder value during a change in control</w:t>
            </w:r>
          </w:p>
        </w:tc>
        <w:tc>
          <w:tcPr>
            <w:tcW w:w="0" w:type="dxa"/>
            <w:vAlign w:val="bottom"/>
          </w:tcPr>
          <w:p>
            <w:pPr>
              <w:spacing w:after="0"/>
              <w:rPr>
                <w:sz w:val="1"/>
                <w:szCs w:val="1"/>
                <w:color w:val="auto"/>
              </w:rPr>
            </w:pPr>
          </w:p>
        </w:tc>
      </w:tr>
      <w:tr>
        <w:trPr>
          <w:trHeight w:val="189"/>
        </w:trPr>
        <w:tc>
          <w:tcPr>
            <w:tcW w:w="2420" w:type="dxa"/>
            <w:vAlign w:val="bottom"/>
            <w:shd w:val="clear" w:color="auto" w:fill="C6D9F1"/>
          </w:tcPr>
          <w:p>
            <w:pPr>
              <w:spacing w:after="0"/>
              <w:rPr>
                <w:sz w:val="16"/>
                <w:szCs w:val="16"/>
                <w:color w:val="auto"/>
              </w:rPr>
            </w:pPr>
          </w:p>
        </w:tc>
        <w:tc>
          <w:tcPr>
            <w:tcW w:w="440" w:type="dxa"/>
            <w:vAlign w:val="bottom"/>
            <w:vMerge w:val="continue"/>
            <w:shd w:val="clear" w:color="auto" w:fill="C6D9F1"/>
          </w:tcPr>
          <w:p>
            <w:pPr>
              <w:spacing w:after="0"/>
              <w:rPr>
                <w:sz w:val="16"/>
                <w:szCs w:val="16"/>
                <w:color w:val="auto"/>
              </w:rPr>
            </w:pPr>
          </w:p>
        </w:tc>
        <w:tc>
          <w:tcPr>
            <w:tcW w:w="3640" w:type="dxa"/>
            <w:vAlign w:val="bottom"/>
            <w:shd w:val="clear" w:color="auto" w:fill="C6D9F1"/>
          </w:tcPr>
          <w:p>
            <w:pPr>
              <w:ind w:left="140"/>
              <w:spacing w:after="0" w:line="189" w:lineRule="exact"/>
              <w:rPr>
                <w:sz w:val="20"/>
                <w:szCs w:val="20"/>
                <w:color w:val="auto"/>
              </w:rPr>
            </w:pPr>
            <w:r>
              <w:rPr>
                <w:rFonts w:ascii="Arial" w:cs="Arial" w:eastAsia="Arial" w:hAnsi="Arial"/>
                <w:sz w:val="18"/>
                <w:szCs w:val="18"/>
                <w:color w:val="auto"/>
              </w:rPr>
              <w:t>Provide reduced post-employment</w:t>
            </w:r>
          </w:p>
        </w:tc>
        <w:tc>
          <w:tcPr>
            <w:tcW w:w="4920" w:type="dxa"/>
            <w:vAlign w:val="bottom"/>
            <w:shd w:val="clear" w:color="auto" w:fill="C6D9F1"/>
          </w:tcPr>
          <w:p>
            <w:pPr>
              <w:ind w:left="840"/>
              <w:spacing w:after="0" w:line="189" w:lineRule="exact"/>
              <w:rPr>
                <w:sz w:val="20"/>
                <w:szCs w:val="20"/>
                <w:color w:val="auto"/>
              </w:rPr>
            </w:pPr>
            <w:r>
              <w:rPr>
                <w:rFonts w:ascii="Arial" w:cs="Arial" w:eastAsia="Arial" w:hAnsi="Arial"/>
                <w:sz w:val="18"/>
                <w:szCs w:val="18"/>
                <w:color w:val="auto"/>
              </w:rPr>
              <w:t>transaction.</w:t>
            </w:r>
          </w:p>
        </w:tc>
        <w:tc>
          <w:tcPr>
            <w:tcW w:w="0" w:type="dxa"/>
            <w:vAlign w:val="bottom"/>
          </w:tcPr>
          <w:p>
            <w:pPr>
              <w:spacing w:after="0"/>
              <w:rPr>
                <w:sz w:val="1"/>
                <w:szCs w:val="1"/>
                <w:color w:val="auto"/>
              </w:rPr>
            </w:pPr>
          </w:p>
        </w:tc>
      </w:tr>
      <w:tr>
        <w:trPr>
          <w:trHeight w:val="230"/>
        </w:trPr>
        <w:tc>
          <w:tcPr>
            <w:tcW w:w="2420" w:type="dxa"/>
            <w:vAlign w:val="bottom"/>
            <w:shd w:val="clear" w:color="auto" w:fill="C6D9F1"/>
          </w:tcPr>
          <w:p>
            <w:pPr>
              <w:spacing w:after="0"/>
              <w:rPr>
                <w:sz w:val="19"/>
                <w:szCs w:val="19"/>
                <w:color w:val="auto"/>
              </w:rPr>
            </w:pPr>
          </w:p>
        </w:tc>
        <w:tc>
          <w:tcPr>
            <w:tcW w:w="440" w:type="dxa"/>
            <w:vAlign w:val="bottom"/>
            <w:shd w:val="clear" w:color="auto" w:fill="C6D9F1"/>
          </w:tcPr>
          <w:p>
            <w:pPr>
              <w:spacing w:after="0"/>
              <w:rPr>
                <w:sz w:val="19"/>
                <w:szCs w:val="19"/>
                <w:color w:val="auto"/>
              </w:rPr>
            </w:pPr>
          </w:p>
        </w:tc>
        <w:tc>
          <w:tcPr>
            <w:tcW w:w="3640" w:type="dxa"/>
            <w:vAlign w:val="bottom"/>
            <w:shd w:val="clear" w:color="auto" w:fill="C6D9F1"/>
          </w:tcPr>
          <w:p>
            <w:pPr>
              <w:ind w:left="160"/>
              <w:spacing w:after="0"/>
              <w:rPr>
                <w:sz w:val="20"/>
                <w:szCs w:val="20"/>
                <w:color w:val="auto"/>
              </w:rPr>
            </w:pPr>
            <w:r>
              <w:rPr>
                <w:rFonts w:ascii="Arial" w:cs="Arial" w:eastAsia="Arial" w:hAnsi="Arial"/>
                <w:sz w:val="18"/>
                <w:szCs w:val="18"/>
                <w:color w:val="auto"/>
              </w:rPr>
              <w:t>compensation upon other involuntary</w:t>
            </w:r>
          </w:p>
        </w:tc>
        <w:tc>
          <w:tcPr>
            <w:tcW w:w="4920" w:type="dxa"/>
            <w:vAlign w:val="bottom"/>
            <w:shd w:val="clear" w:color="auto" w:fill="C6D9F1"/>
          </w:tcPr>
          <w:p>
            <w:pPr>
              <w:ind w:left="520"/>
              <w:spacing w:after="0"/>
              <w:rPr>
                <w:sz w:val="20"/>
                <w:szCs w:val="20"/>
                <w:color w:val="auto"/>
              </w:rPr>
            </w:pPr>
            <w:r>
              <w:rPr>
                <w:rFonts w:ascii="Arial" w:cs="Arial" w:eastAsia="Arial" w:hAnsi="Arial"/>
                <w:sz w:val="18"/>
                <w:szCs w:val="18"/>
                <w:color w:val="auto"/>
              </w:rPr>
              <w:t>·   Provide market-competitive post-employment</w:t>
            </w:r>
          </w:p>
        </w:tc>
        <w:tc>
          <w:tcPr>
            <w:tcW w:w="0" w:type="dxa"/>
            <w:vAlign w:val="bottom"/>
          </w:tcPr>
          <w:p>
            <w:pPr>
              <w:spacing w:after="0"/>
              <w:rPr>
                <w:sz w:val="1"/>
                <w:szCs w:val="1"/>
                <w:color w:val="auto"/>
              </w:rPr>
            </w:pPr>
          </w:p>
        </w:tc>
      </w:tr>
      <w:tr>
        <w:trPr>
          <w:trHeight w:val="203"/>
        </w:trPr>
        <w:tc>
          <w:tcPr>
            <w:tcW w:w="2420" w:type="dxa"/>
            <w:vAlign w:val="bottom"/>
            <w:shd w:val="clear" w:color="auto" w:fill="C6D9F1"/>
          </w:tcPr>
          <w:p>
            <w:pPr>
              <w:spacing w:after="0"/>
              <w:rPr>
                <w:sz w:val="17"/>
                <w:szCs w:val="17"/>
                <w:color w:val="auto"/>
              </w:rPr>
            </w:pPr>
          </w:p>
        </w:tc>
        <w:tc>
          <w:tcPr>
            <w:tcW w:w="440" w:type="dxa"/>
            <w:vAlign w:val="bottom"/>
            <w:shd w:val="clear" w:color="auto" w:fill="C6D9F1"/>
          </w:tcPr>
          <w:p>
            <w:pPr>
              <w:spacing w:after="0"/>
              <w:rPr>
                <w:sz w:val="17"/>
                <w:szCs w:val="17"/>
                <w:color w:val="auto"/>
              </w:rPr>
            </w:pPr>
          </w:p>
        </w:tc>
        <w:tc>
          <w:tcPr>
            <w:tcW w:w="3640" w:type="dxa"/>
            <w:vAlign w:val="bottom"/>
            <w:shd w:val="clear" w:color="auto" w:fill="C6D9F1"/>
          </w:tcPr>
          <w:p>
            <w:pPr>
              <w:ind w:left="160"/>
              <w:spacing w:after="0" w:line="202" w:lineRule="exact"/>
              <w:rPr>
                <w:sz w:val="20"/>
                <w:szCs w:val="20"/>
                <w:color w:val="auto"/>
              </w:rPr>
            </w:pPr>
            <w:r>
              <w:rPr>
                <w:rFonts w:ascii="Arial" w:cs="Arial" w:eastAsia="Arial" w:hAnsi="Arial"/>
                <w:sz w:val="18"/>
                <w:szCs w:val="18"/>
                <w:color w:val="auto"/>
              </w:rPr>
              <w:t>terminations.</w:t>
            </w:r>
          </w:p>
        </w:tc>
        <w:tc>
          <w:tcPr>
            <w:tcW w:w="4920" w:type="dxa"/>
            <w:vAlign w:val="bottom"/>
            <w:shd w:val="clear" w:color="auto" w:fill="C6D9F1"/>
          </w:tcPr>
          <w:p>
            <w:pPr>
              <w:ind w:left="840"/>
              <w:spacing w:after="0" w:line="202" w:lineRule="exact"/>
              <w:rPr>
                <w:sz w:val="20"/>
                <w:szCs w:val="20"/>
                <w:color w:val="auto"/>
              </w:rPr>
            </w:pPr>
            <w:r>
              <w:rPr>
                <w:rFonts w:ascii="Arial" w:cs="Arial" w:eastAsia="Arial" w:hAnsi="Arial"/>
                <w:sz w:val="18"/>
                <w:szCs w:val="18"/>
                <w:color w:val="auto"/>
              </w:rPr>
              <w:t>compensation recognizing executives likely require</w:t>
            </w:r>
          </w:p>
        </w:tc>
        <w:tc>
          <w:tcPr>
            <w:tcW w:w="0" w:type="dxa"/>
            <w:vAlign w:val="bottom"/>
          </w:tcPr>
          <w:p>
            <w:pPr>
              <w:spacing w:after="0"/>
              <w:rPr>
                <w:sz w:val="1"/>
                <w:szCs w:val="1"/>
                <w:color w:val="auto"/>
              </w:rPr>
            </w:pPr>
          </w:p>
        </w:tc>
      </w:tr>
      <w:tr>
        <w:trPr>
          <w:trHeight w:val="203"/>
        </w:trPr>
        <w:tc>
          <w:tcPr>
            <w:tcW w:w="2420" w:type="dxa"/>
            <w:vAlign w:val="bottom"/>
            <w:shd w:val="clear" w:color="auto" w:fill="C6D9F1"/>
          </w:tcPr>
          <w:p>
            <w:pPr>
              <w:spacing w:after="0"/>
              <w:rPr>
                <w:sz w:val="17"/>
                <w:szCs w:val="17"/>
                <w:color w:val="auto"/>
              </w:rPr>
            </w:pPr>
          </w:p>
        </w:tc>
        <w:tc>
          <w:tcPr>
            <w:tcW w:w="440" w:type="dxa"/>
            <w:vAlign w:val="bottom"/>
            <w:shd w:val="clear" w:color="auto" w:fill="C6D9F1"/>
          </w:tcPr>
          <w:p>
            <w:pPr>
              <w:spacing w:after="0"/>
              <w:rPr>
                <w:sz w:val="17"/>
                <w:szCs w:val="17"/>
                <w:color w:val="auto"/>
              </w:rPr>
            </w:pPr>
          </w:p>
        </w:tc>
        <w:tc>
          <w:tcPr>
            <w:tcW w:w="3640" w:type="dxa"/>
            <w:vAlign w:val="bottom"/>
            <w:shd w:val="clear" w:color="auto" w:fill="C6D9F1"/>
          </w:tcPr>
          <w:p>
            <w:pPr>
              <w:spacing w:after="0"/>
              <w:rPr>
                <w:sz w:val="17"/>
                <w:szCs w:val="17"/>
                <w:color w:val="auto"/>
              </w:rPr>
            </w:pPr>
          </w:p>
        </w:tc>
        <w:tc>
          <w:tcPr>
            <w:tcW w:w="4920" w:type="dxa"/>
            <w:vAlign w:val="bottom"/>
            <w:shd w:val="clear" w:color="auto" w:fill="C6D9F1"/>
          </w:tcPr>
          <w:p>
            <w:pPr>
              <w:ind w:left="840"/>
              <w:spacing w:after="0" w:line="203" w:lineRule="exact"/>
              <w:rPr>
                <w:sz w:val="20"/>
                <w:szCs w:val="20"/>
                <w:color w:val="auto"/>
              </w:rPr>
            </w:pPr>
            <w:r>
              <w:rPr>
                <w:rFonts w:ascii="Arial" w:cs="Arial" w:eastAsia="Arial" w:hAnsi="Arial"/>
                <w:sz w:val="18"/>
                <w:szCs w:val="18"/>
                <w:color w:val="auto"/>
              </w:rPr>
              <w:t>more time to find subsequent employment.</w:t>
            </w:r>
          </w:p>
        </w:tc>
        <w:tc>
          <w:tcPr>
            <w:tcW w:w="0" w:type="dxa"/>
            <w:vAlign w:val="bottom"/>
          </w:tcPr>
          <w:p>
            <w:pPr>
              <w:spacing w:after="0"/>
              <w:rPr>
                <w:sz w:val="1"/>
                <w:szCs w:val="1"/>
                <w:color w:val="auto"/>
              </w:rPr>
            </w:pPr>
          </w:p>
        </w:tc>
      </w:tr>
      <w:tr>
        <w:trPr>
          <w:trHeight w:val="419"/>
        </w:trPr>
        <w:tc>
          <w:tcPr>
            <w:tcW w:w="2420" w:type="dxa"/>
            <w:vAlign w:val="bottom"/>
          </w:tcPr>
          <w:p>
            <w:pPr>
              <w:spacing w:after="0"/>
              <w:rPr>
                <w:sz w:val="20"/>
                <w:szCs w:val="20"/>
                <w:color w:val="auto"/>
              </w:rPr>
            </w:pPr>
            <w:r>
              <w:rPr>
                <w:rFonts w:ascii="Arial" w:cs="Arial" w:eastAsia="Arial" w:hAnsi="Arial"/>
                <w:sz w:val="18"/>
                <w:szCs w:val="18"/>
                <w:i w:val="1"/>
                <w:iCs w:val="1"/>
                <w:color w:val="auto"/>
              </w:rPr>
              <w:t>Compensation Mix</w:t>
            </w:r>
          </w:p>
        </w:tc>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2015 fiscal year. We have excluded the restricted stock units attributable to the 2014 fiscal year annual incentive program as those units do not relate to our fiscal year 2015 compensation program.</w:t>
      </w:r>
    </w:p>
    <w:p>
      <w:pPr>
        <w:spacing w:after="0" w:line="188"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48" w:lineRule="exact"/>
        <w:rPr>
          <w:sz w:val="20"/>
          <w:szCs w:val="20"/>
          <w:color w:val="auto"/>
        </w:rPr>
      </w:pPr>
    </w:p>
    <w:tbl>
      <w:tblPr>
        <w:tblLayout w:type="fixed"/>
        <w:tblInd w:w="1560" w:type="dxa"/>
        <w:tblCellMar>
          <w:top w:w="0" w:type="dxa"/>
          <w:left w:w="0" w:type="dxa"/>
          <w:bottom w:w="0" w:type="dxa"/>
          <w:right w:w="0" w:type="dxa"/>
        </w:tblCellMar>
      </w:tblPr>
      <w:tr>
        <w:trPr>
          <w:trHeight w:val="345"/>
        </w:trPr>
        <w:tc>
          <w:tcPr>
            <w:tcW w:w="5040" w:type="dxa"/>
            <w:vAlign w:val="bottom"/>
          </w:tcPr>
          <w:p>
            <w:pPr>
              <w:spacing w:after="0"/>
              <w:rPr>
                <w:sz w:val="20"/>
                <w:szCs w:val="20"/>
                <w:color w:val="auto"/>
              </w:rPr>
            </w:pPr>
            <w:r>
              <w:rPr>
                <w:rFonts w:ascii="Arial" w:cs="Arial" w:eastAsia="Arial" w:hAnsi="Arial"/>
                <w:sz w:val="18"/>
                <w:szCs w:val="18"/>
                <w:b w:val="1"/>
                <w:bCs w:val="1"/>
                <w:color w:val="auto"/>
              </w:rPr>
              <w:t xml:space="preserve">Vice Chairman &amp; CEO Compensation Mix </w:t>
            </w:r>
            <w:r>
              <w:rPr>
                <w:rFonts w:ascii="Arial" w:cs="Arial" w:eastAsia="Arial" w:hAnsi="Arial"/>
                <w:sz w:val="30"/>
                <w:szCs w:val="30"/>
                <w:b w:val="1"/>
                <w:bCs w:val="1"/>
                <w:color w:val="auto"/>
                <w:vertAlign w:val="superscript"/>
              </w:rPr>
              <w:t>(1)</w:t>
            </w:r>
          </w:p>
        </w:tc>
        <w:tc>
          <w:tcPr>
            <w:tcW w:w="38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NEOs’ Compensation Mix</w:t>
            </w:r>
          </w:p>
        </w:tc>
      </w:tr>
      <w:tr>
        <w:trPr>
          <w:trHeight w:val="239"/>
        </w:trPr>
        <w:tc>
          <w:tcPr>
            <w:tcW w:w="5040" w:type="dxa"/>
            <w:vAlign w:val="bottom"/>
          </w:tcPr>
          <w:p>
            <w:pPr>
              <w:spacing w:after="0"/>
              <w:rPr>
                <w:sz w:val="20"/>
                <w:szCs w:val="20"/>
                <w:color w:val="auto"/>
              </w:rPr>
            </w:pPr>
          </w:p>
        </w:tc>
        <w:tc>
          <w:tcPr>
            <w:tcW w:w="38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(Excluding Vice Chair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-13970</wp:posOffset>
            </wp:positionV>
            <wp:extent cx="6054725" cy="1929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72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(1) Mr. Kapoor’s equity component includes his one-time Stock Price Performance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18"/>
          <w:szCs w:val="18"/>
          <w:i w:val="1"/>
          <w:iCs w:val="1"/>
          <w:color w:val="auto"/>
        </w:rPr>
        <w:t>Detailed Review of Compensation Components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16"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2015, our Compensation Committee considered: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Individual Performance</w:t>
            </w: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Ø  The degree to which the executive met and exceeded expectations.</w:t>
            </w:r>
          </w:p>
        </w:tc>
      </w:tr>
      <w:tr>
        <w:trPr>
          <w:trHeight w:val="419"/>
        </w:trPr>
        <w:tc>
          <w:tcPr>
            <w:tcW w:w="2520" w:type="dxa"/>
            <w:vAlign w:val="bottom"/>
          </w:tcPr>
          <w:p>
            <w:pPr>
              <w:spacing w:after="0"/>
              <w:rPr>
                <w:sz w:val="20"/>
                <w:szCs w:val="20"/>
                <w:color w:val="auto"/>
              </w:rPr>
            </w:pPr>
            <w:r>
              <w:rPr>
                <w:rFonts w:ascii="Arial" w:cs="Arial" w:eastAsia="Arial" w:hAnsi="Arial"/>
                <w:sz w:val="18"/>
                <w:szCs w:val="18"/>
                <w:color w:val="auto"/>
              </w:rPr>
              <w:t>Market Data</w:t>
            </w:r>
          </w:p>
        </w:tc>
        <w:tc>
          <w:tcPr>
            <w:tcW w:w="640" w:type="dxa"/>
            <w:vAlign w:val="bottom"/>
          </w:tcPr>
          <w:p>
            <w:pPr>
              <w:ind w:left="420"/>
              <w:spacing w:after="0"/>
              <w:rPr>
                <w:sz w:val="20"/>
                <w:szCs w:val="20"/>
                <w:color w:val="auto"/>
              </w:rPr>
            </w:pPr>
            <w:r>
              <w:rPr>
                <w:rFonts w:ascii="Arial" w:cs="Arial" w:eastAsia="Arial" w:hAnsi="Arial"/>
                <w:sz w:val="18"/>
                <w:szCs w:val="18"/>
                <w:color w:val="auto"/>
              </w:rPr>
              <w:t>Ø</w:t>
            </w:r>
          </w:p>
        </w:tc>
        <w:tc>
          <w:tcPr>
            <w:tcW w:w="7100" w:type="dxa"/>
            <w:vAlign w:val="bottom"/>
          </w:tcPr>
          <w:p>
            <w:pPr>
              <w:ind w:left="80"/>
              <w:spacing w:after="0"/>
              <w:rPr>
                <w:sz w:val="20"/>
                <w:szCs w:val="20"/>
                <w:color w:val="auto"/>
              </w:rPr>
            </w:pPr>
            <w:r>
              <w:rPr>
                <w:rFonts w:ascii="Arial" w:cs="Arial" w:eastAsia="Arial" w:hAnsi="Arial"/>
                <w:sz w:val="18"/>
                <w:szCs w:val="18"/>
                <w:color w:val="auto"/>
              </w:rPr>
              <w:t>Geographical and market data to test reasonableness of compensation.</w:t>
            </w: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Overall Compensation Mix</w:t>
            </w:r>
          </w:p>
        </w:tc>
        <w:tc>
          <w:tcPr>
            <w:tcW w:w="640" w:type="dxa"/>
            <w:vAlign w:val="bottom"/>
          </w:tcPr>
          <w:p>
            <w:pPr>
              <w:ind w:left="420"/>
              <w:spacing w:after="0"/>
              <w:rPr>
                <w:sz w:val="20"/>
                <w:szCs w:val="20"/>
                <w:color w:val="auto"/>
              </w:rPr>
            </w:pPr>
            <w:r>
              <w:rPr>
                <w:rFonts w:ascii="Arial" w:cs="Arial" w:eastAsia="Arial" w:hAnsi="Arial"/>
                <w:sz w:val="18"/>
                <w:szCs w:val="18"/>
                <w:color w:val="auto"/>
              </w:rPr>
              <w:t>Ø</w:t>
            </w:r>
          </w:p>
        </w:tc>
        <w:tc>
          <w:tcPr>
            <w:tcW w:w="7100" w:type="dxa"/>
            <w:vAlign w:val="bottom"/>
          </w:tcPr>
          <w:p>
            <w:pPr>
              <w:ind w:left="80"/>
              <w:spacing w:after="0"/>
              <w:rPr>
                <w:sz w:val="20"/>
                <w:szCs w:val="20"/>
                <w:color w:val="auto"/>
              </w:rPr>
            </w:pPr>
            <w:r>
              <w:rPr>
                <w:rFonts w:ascii="Arial" w:cs="Arial" w:eastAsia="Arial" w:hAnsi="Arial"/>
                <w:sz w:val="18"/>
                <w:szCs w:val="18"/>
                <w:color w:val="auto"/>
                <w:w w:val="99"/>
              </w:rPr>
              <w:t>Senior employees should have a greater portion of their compensation tied to increasing</w:t>
            </w:r>
          </w:p>
        </w:tc>
      </w:tr>
      <w:tr>
        <w:trPr>
          <w:trHeight w:val="217"/>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stockholder value.</w:t>
            </w:r>
          </w:p>
        </w:tc>
      </w:tr>
    </w:tbl>
    <w:p>
      <w:pPr>
        <w:spacing w:after="0" w:line="18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Upon completing its review and as shown in the table below, the Compensation Committee determined that it was appropriate to change Mr. Kapoor’s base salary in recognition of his many individual accomplishments and the Company’s performance. In addition, the Compensation Committee determined to increase the base salaries of Messrs. Chhibbar and Bagai due to their individual contributions and the Company’s performance. Mr. Schweppe’s and Mr. Miglani’s salaries remained the same as their 2014 salary, which were set late that year. The fixed compensation paid to Messrs. Chhibbar and Bagai is paid in Indian Rupees and we have included the percentage increase with respect to their fixed compensation in their home currency (INR). Further, these amounts cover not only base salary for Messrs. Chhibbar and Bagai, but also amounts available as a travel allowance, an automobile allowance, a housing allowance, a medical allowance and a cash supplementary allowance, consistent with compensation practices in India.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spacing w:after="0"/>
              <w:rPr>
                <w:sz w:val="14"/>
                <w:szCs w:val="14"/>
                <w:color w:val="auto"/>
              </w:rPr>
            </w:pP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78"/>
              <w:spacing w:after="0"/>
              <w:rPr>
                <w:sz w:val="20"/>
                <w:szCs w:val="20"/>
                <w:color w:val="auto"/>
              </w:rPr>
            </w:pPr>
            <w:r>
              <w:rPr>
                <w:rFonts w:ascii="Arial" w:cs="Arial" w:eastAsia="Arial" w:hAnsi="Arial"/>
                <w:sz w:val="14"/>
                <w:szCs w:val="14"/>
                <w:b w:val="1"/>
                <w:bCs w:val="1"/>
                <w:color w:val="auto"/>
              </w:rPr>
              <w:t>2015 Base Salary /</w:t>
            </w:r>
          </w:p>
        </w:tc>
        <w:tc>
          <w:tcPr>
            <w:tcW w:w="2020" w:type="dxa"/>
            <w:vAlign w:val="bottom"/>
            <w:shd w:val="clear" w:color="auto" w:fill="5591C7"/>
          </w:tcPr>
          <w:p>
            <w:pPr>
              <w:spacing w:after="0"/>
              <w:rPr>
                <w:sz w:val="14"/>
                <w:szCs w:val="14"/>
                <w:color w:val="auto"/>
              </w:rPr>
            </w:pPr>
          </w:p>
        </w:tc>
      </w:tr>
      <w:tr>
        <w:trPr>
          <w:trHeight w:val="162"/>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jc w:val="center"/>
              <w:ind w:right="417"/>
              <w:spacing w:after="0"/>
              <w:rPr>
                <w:sz w:val="20"/>
                <w:szCs w:val="20"/>
                <w:color w:val="auto"/>
              </w:rPr>
            </w:pPr>
            <w:r>
              <w:rPr>
                <w:rFonts w:ascii="Arial" w:cs="Arial" w:eastAsia="Arial" w:hAnsi="Arial"/>
                <w:sz w:val="14"/>
                <w:szCs w:val="14"/>
                <w:b w:val="1"/>
                <w:bCs w:val="1"/>
                <w:color w:val="auto"/>
              </w:rPr>
              <w:t>2014 Base Salary /</w:t>
            </w: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38"/>
              <w:spacing w:after="0"/>
              <w:rPr>
                <w:sz w:val="20"/>
                <w:szCs w:val="20"/>
                <w:color w:val="auto"/>
              </w:rPr>
            </w:pPr>
            <w:r>
              <w:rPr>
                <w:rFonts w:ascii="Arial" w:cs="Arial" w:eastAsia="Arial" w:hAnsi="Arial"/>
                <w:sz w:val="14"/>
                <w:szCs w:val="14"/>
                <w:b w:val="1"/>
                <w:bCs w:val="1"/>
                <w:color w:val="auto"/>
              </w:rPr>
              <w:t>Annual Fixed</w:t>
            </w:r>
          </w:p>
        </w:tc>
        <w:tc>
          <w:tcPr>
            <w:tcW w:w="2020" w:type="dxa"/>
            <w:vAlign w:val="bottom"/>
            <w:shd w:val="clear" w:color="auto" w:fill="5591C7"/>
          </w:tcPr>
          <w:p>
            <w:pPr>
              <w:spacing w:after="0"/>
              <w:rPr>
                <w:sz w:val="14"/>
                <w:szCs w:val="14"/>
                <w:color w:val="auto"/>
              </w:rPr>
            </w:pPr>
          </w:p>
        </w:tc>
      </w:tr>
      <w:tr>
        <w:trPr>
          <w:trHeight w:val="162"/>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jc w:val="center"/>
              <w:ind w:right="377"/>
              <w:spacing w:after="0"/>
              <w:rPr>
                <w:sz w:val="20"/>
                <w:szCs w:val="20"/>
                <w:color w:val="auto"/>
              </w:rPr>
            </w:pPr>
            <w:r>
              <w:rPr>
                <w:rFonts w:ascii="Arial" w:cs="Arial" w:eastAsia="Arial" w:hAnsi="Arial"/>
                <w:sz w:val="14"/>
                <w:szCs w:val="14"/>
                <w:b w:val="1"/>
                <w:bCs w:val="1"/>
                <w:color w:val="auto"/>
              </w:rPr>
              <w:t>Annual Fixed</w:t>
            </w: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58"/>
              <w:spacing w:after="0"/>
              <w:rPr>
                <w:sz w:val="20"/>
                <w:szCs w:val="20"/>
                <w:color w:val="auto"/>
              </w:rPr>
            </w:pPr>
            <w:r>
              <w:rPr>
                <w:rFonts w:ascii="Arial" w:cs="Arial" w:eastAsia="Arial" w:hAnsi="Arial"/>
                <w:sz w:val="14"/>
                <w:szCs w:val="14"/>
                <w:b w:val="1"/>
                <w:bCs w:val="1"/>
                <w:color w:val="auto"/>
              </w:rPr>
              <w:t>Compensation</w:t>
            </w:r>
          </w:p>
        </w:tc>
        <w:tc>
          <w:tcPr>
            <w:tcW w:w="2020" w:type="dxa"/>
            <w:vAlign w:val="bottom"/>
            <w:shd w:val="clear" w:color="auto" w:fill="5591C7"/>
          </w:tcPr>
          <w:p>
            <w:pPr>
              <w:jc w:val="center"/>
              <w:ind w:right="214"/>
              <w:spacing w:after="0"/>
              <w:rPr>
                <w:sz w:val="20"/>
                <w:szCs w:val="20"/>
                <w:color w:val="auto"/>
              </w:rPr>
            </w:pPr>
            <w:r>
              <w:rPr>
                <w:rFonts w:ascii="Arial" w:cs="Arial" w:eastAsia="Arial" w:hAnsi="Arial"/>
                <w:sz w:val="14"/>
                <w:szCs w:val="14"/>
                <w:b w:val="1"/>
                <w:bCs w:val="1"/>
                <w:color w:val="auto"/>
              </w:rPr>
              <w:t>% Increase /</w:t>
            </w:r>
          </w:p>
        </w:tc>
      </w:tr>
      <w:tr>
        <w:trPr>
          <w:trHeight w:val="175"/>
        </w:trPr>
        <w:tc>
          <w:tcPr>
            <w:tcW w:w="2980" w:type="dxa"/>
            <w:vAlign w:val="bottom"/>
            <w:tcBorders>
              <w:bottom w:val="single" w:sz="8" w:color="auto"/>
            </w:tcBorders>
            <w:shd w:val="clear" w:color="auto" w:fill="5591C7"/>
          </w:tcPr>
          <w:p>
            <w:pPr>
              <w:ind w:left="1660"/>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auto"/>
            </w:tcBorders>
            <w:shd w:val="clear" w:color="auto" w:fill="5591C7"/>
          </w:tcPr>
          <w:p>
            <w:pPr>
              <w:spacing w:after="0"/>
              <w:rPr>
                <w:sz w:val="15"/>
                <w:szCs w:val="15"/>
                <w:color w:val="auto"/>
              </w:rPr>
            </w:pPr>
          </w:p>
        </w:tc>
        <w:tc>
          <w:tcPr>
            <w:tcW w:w="2160" w:type="dxa"/>
            <w:vAlign w:val="bottom"/>
            <w:tcBorders>
              <w:bottom w:val="single" w:sz="8" w:color="auto"/>
            </w:tcBorders>
            <w:shd w:val="clear" w:color="auto" w:fill="5591C7"/>
          </w:tcPr>
          <w:p>
            <w:pPr>
              <w:jc w:val="center"/>
              <w:ind w:right="397"/>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Borders>
              <w:bottom w:val="single" w:sz="8" w:color="auto"/>
            </w:tcBorders>
            <w:shd w:val="clear" w:color="auto" w:fill="5591C7"/>
          </w:tcPr>
          <w:p>
            <w:pPr>
              <w:spacing w:after="0"/>
              <w:rPr>
                <w:sz w:val="15"/>
                <w:szCs w:val="15"/>
                <w:color w:val="auto"/>
              </w:rPr>
            </w:pPr>
          </w:p>
        </w:tc>
        <w:tc>
          <w:tcPr>
            <w:tcW w:w="2640" w:type="dxa"/>
            <w:vAlign w:val="bottom"/>
            <w:tcBorders>
              <w:bottom w:val="single" w:sz="8" w:color="auto"/>
            </w:tcBorders>
            <w:shd w:val="clear" w:color="auto" w:fill="5591C7"/>
          </w:tcPr>
          <w:p>
            <w:pPr>
              <w:jc w:val="center"/>
              <w:ind w:right="738"/>
              <w:spacing w:after="0"/>
              <w:rPr>
                <w:sz w:val="20"/>
                <w:szCs w:val="20"/>
                <w:color w:val="auto"/>
              </w:rPr>
            </w:pPr>
            <w:r>
              <w:rPr>
                <w:rFonts w:ascii="Arial" w:cs="Arial" w:eastAsia="Arial" w:hAnsi="Arial"/>
                <w:sz w:val="14"/>
                <w:szCs w:val="14"/>
                <w:b w:val="1"/>
                <w:bCs w:val="1"/>
                <w:color w:val="auto"/>
              </w:rPr>
              <w:t>(Effective April 1, 2015)</w:t>
            </w:r>
          </w:p>
        </w:tc>
        <w:tc>
          <w:tcPr>
            <w:tcW w:w="2020" w:type="dxa"/>
            <w:vAlign w:val="bottom"/>
            <w:tcBorders>
              <w:bottom w:val="single" w:sz="8" w:color="auto"/>
            </w:tcBorders>
            <w:shd w:val="clear" w:color="auto" w:fill="5591C7"/>
          </w:tcPr>
          <w:p>
            <w:pPr>
              <w:jc w:val="center"/>
              <w:ind w:right="174"/>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2980" w:type="dxa"/>
            <w:vAlign w:val="bottom"/>
            <w:shd w:val="clear" w:color="auto" w:fill="C6D9F1"/>
          </w:tcPr>
          <w:p>
            <w:pPr>
              <w:ind w:left="160"/>
              <w:spacing w:after="0"/>
              <w:rPr>
                <w:sz w:val="20"/>
                <w:szCs w:val="20"/>
                <w:color w:val="auto"/>
              </w:rPr>
            </w:pPr>
            <w:r>
              <w:rPr>
                <w:rFonts w:ascii="Arial" w:cs="Arial" w:eastAsia="Arial" w:hAnsi="Arial"/>
                <w:sz w:val="18"/>
                <w:szCs w:val="18"/>
                <w:color w:val="auto"/>
              </w:rPr>
              <w:t>Rohit Kapoor</w:t>
            </w:r>
          </w:p>
        </w:tc>
        <w:tc>
          <w:tcPr>
            <w:tcW w:w="1220" w:type="dxa"/>
            <w:vAlign w:val="bottom"/>
            <w:shd w:val="clear" w:color="auto" w:fill="C6D9F1"/>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rPr>
                <w:sz w:val="20"/>
                <w:szCs w:val="20"/>
                <w:color w:val="auto"/>
              </w:rPr>
            </w:pPr>
            <w:r>
              <w:rPr>
                <w:rFonts w:ascii="Arial" w:cs="Arial" w:eastAsia="Arial" w:hAnsi="Arial"/>
                <w:sz w:val="18"/>
                <w:szCs w:val="18"/>
                <w:color w:val="auto"/>
              </w:rPr>
              <w:t>565,000</w:t>
            </w:r>
          </w:p>
        </w:tc>
        <w:tc>
          <w:tcPr>
            <w:tcW w:w="40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rPr>
                <w:sz w:val="20"/>
                <w:szCs w:val="20"/>
                <w:color w:val="auto"/>
              </w:rPr>
            </w:pPr>
            <w:r>
              <w:rPr>
                <w:rFonts w:ascii="Arial" w:cs="Arial" w:eastAsia="Arial" w:hAnsi="Arial"/>
                <w:sz w:val="18"/>
                <w:szCs w:val="18"/>
                <w:color w:val="auto"/>
              </w:rPr>
              <w:t>600,000</w:t>
            </w:r>
            <w:r>
              <w:rPr>
                <w:rFonts w:ascii="Arial" w:cs="Arial" w:eastAsia="Arial" w:hAnsi="Arial"/>
                <w:sz w:val="15"/>
                <w:szCs w:val="15"/>
                <w:color w:val="auto"/>
              </w:rPr>
              <w:t>(1)</w:t>
            </w:r>
          </w:p>
        </w:tc>
        <w:tc>
          <w:tcPr>
            <w:tcW w:w="2020" w:type="dxa"/>
            <w:vAlign w:val="bottom"/>
            <w:shd w:val="clear" w:color="auto" w:fill="C6D9F1"/>
          </w:tcPr>
          <w:p>
            <w:pPr>
              <w:jc w:val="center"/>
              <w:ind w:right="174"/>
              <w:spacing w:after="0"/>
              <w:rPr>
                <w:sz w:val="20"/>
                <w:szCs w:val="20"/>
                <w:color w:val="auto"/>
              </w:rPr>
            </w:pPr>
            <w:r>
              <w:rPr>
                <w:rFonts w:ascii="Arial" w:cs="Arial" w:eastAsia="Arial" w:hAnsi="Arial"/>
                <w:sz w:val="18"/>
                <w:szCs w:val="18"/>
                <w:color w:val="auto"/>
                <w:w w:val="97"/>
              </w:rPr>
              <w:t>6.2%</w:t>
            </w:r>
          </w:p>
        </w:tc>
      </w:tr>
      <w:tr>
        <w:trPr>
          <w:trHeight w:val="202"/>
        </w:trPr>
        <w:tc>
          <w:tcPr>
            <w:tcW w:w="2980" w:type="dxa"/>
            <w:vAlign w:val="bottom"/>
          </w:tcPr>
          <w:p>
            <w:pPr>
              <w:ind w:left="160"/>
              <w:spacing w:after="0" w:line="201" w:lineRule="exact"/>
              <w:rPr>
                <w:sz w:val="20"/>
                <w:szCs w:val="20"/>
                <w:color w:val="auto"/>
              </w:rPr>
            </w:pPr>
            <w:r>
              <w:rPr>
                <w:rFonts w:ascii="Arial" w:cs="Arial" w:eastAsia="Arial" w:hAnsi="Arial"/>
                <w:sz w:val="18"/>
                <w:szCs w:val="18"/>
                <w:color w:val="auto"/>
              </w:rPr>
              <w:t>Vishal Chhibbar</w:t>
            </w:r>
          </w:p>
        </w:tc>
        <w:tc>
          <w:tcPr>
            <w:tcW w:w="12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2160" w:type="dxa"/>
            <w:vAlign w:val="bottom"/>
          </w:tcPr>
          <w:p>
            <w:pPr>
              <w:jc w:val="right"/>
              <w:ind w:right="77"/>
              <w:spacing w:after="0" w:line="201" w:lineRule="exact"/>
              <w:rPr>
                <w:sz w:val="20"/>
                <w:szCs w:val="20"/>
                <w:color w:val="auto"/>
              </w:rPr>
            </w:pPr>
            <w:r>
              <w:rPr>
                <w:rFonts w:ascii="Arial" w:cs="Arial" w:eastAsia="Arial" w:hAnsi="Arial"/>
                <w:sz w:val="18"/>
                <w:szCs w:val="18"/>
                <w:color w:val="auto"/>
              </w:rPr>
              <w:t>298,387</w:t>
            </w:r>
          </w:p>
        </w:tc>
        <w:tc>
          <w:tcPr>
            <w:tcW w:w="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640" w:type="dxa"/>
            <w:vAlign w:val="bottom"/>
          </w:tcPr>
          <w:p>
            <w:pPr>
              <w:ind w:left="1380"/>
              <w:spacing w:after="0" w:line="201" w:lineRule="exact"/>
              <w:rPr>
                <w:sz w:val="20"/>
                <w:szCs w:val="20"/>
                <w:color w:val="auto"/>
              </w:rPr>
            </w:pPr>
            <w:r>
              <w:rPr>
                <w:rFonts w:ascii="Arial" w:cs="Arial" w:eastAsia="Arial" w:hAnsi="Arial"/>
                <w:sz w:val="18"/>
                <w:szCs w:val="18"/>
                <w:color w:val="auto"/>
              </w:rPr>
              <w:t>309,376</w:t>
            </w:r>
          </w:p>
        </w:tc>
        <w:tc>
          <w:tcPr>
            <w:tcW w:w="2020" w:type="dxa"/>
            <w:vAlign w:val="bottom"/>
          </w:tcPr>
          <w:p>
            <w:pPr>
              <w:jc w:val="center"/>
              <w:ind w:right="174"/>
              <w:spacing w:after="0" w:line="201" w:lineRule="exact"/>
              <w:rPr>
                <w:sz w:val="20"/>
                <w:szCs w:val="20"/>
                <w:color w:val="auto"/>
              </w:rPr>
            </w:pPr>
            <w:r>
              <w:rPr>
                <w:rFonts w:ascii="Arial" w:cs="Arial" w:eastAsia="Arial" w:hAnsi="Arial"/>
                <w:sz w:val="18"/>
                <w:szCs w:val="18"/>
                <w:color w:val="auto"/>
                <w:w w:val="97"/>
              </w:rPr>
              <w:t>3.7%</w:t>
            </w:r>
          </w:p>
        </w:tc>
      </w:tr>
      <w:tr>
        <w:trPr>
          <w:trHeight w:val="203"/>
        </w:trPr>
        <w:tc>
          <w:tcPr>
            <w:tcW w:w="2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20" w:type="dxa"/>
            <w:vAlign w:val="bottom"/>
          </w:tcPr>
          <w:p>
            <w:pPr>
              <w:jc w:val="center"/>
              <w:ind w:right="174"/>
              <w:spacing w:after="0" w:line="203" w:lineRule="exact"/>
              <w:rPr>
                <w:sz w:val="20"/>
                <w:szCs w:val="20"/>
                <w:color w:val="auto"/>
              </w:rPr>
            </w:pPr>
            <w:r>
              <w:rPr>
                <w:rFonts w:ascii="Arial" w:cs="Arial" w:eastAsia="Arial" w:hAnsi="Arial"/>
                <w:sz w:val="18"/>
                <w:szCs w:val="18"/>
                <w:color w:val="auto"/>
                <w:w w:val="98"/>
              </w:rPr>
              <w:t>(5.4% INR)</w:t>
            </w:r>
          </w:p>
        </w:tc>
      </w:tr>
      <w:tr>
        <w:trPr>
          <w:trHeight w:val="202"/>
        </w:trPr>
        <w:tc>
          <w:tcPr>
            <w:tcW w:w="2980" w:type="dxa"/>
            <w:vAlign w:val="bottom"/>
            <w:shd w:val="clear" w:color="auto" w:fill="C6D9F1"/>
          </w:tcPr>
          <w:p>
            <w:pPr>
              <w:ind w:left="160"/>
              <w:spacing w:after="0" w:line="201" w:lineRule="exact"/>
              <w:rPr>
                <w:sz w:val="20"/>
                <w:szCs w:val="20"/>
                <w:color w:val="auto"/>
              </w:rPr>
            </w:pPr>
            <w:r>
              <w:rPr>
                <w:rFonts w:ascii="Arial" w:cs="Arial" w:eastAsia="Arial" w:hAnsi="Arial"/>
                <w:sz w:val="18"/>
                <w:szCs w:val="18"/>
                <w:color w:val="auto"/>
              </w:rPr>
              <w:t>Pavan Bagai</w:t>
            </w:r>
          </w:p>
        </w:tc>
        <w:tc>
          <w:tcPr>
            <w:tcW w:w="1220" w:type="dxa"/>
            <w:vAlign w:val="bottom"/>
            <w:shd w:val="clear" w:color="auto" w:fill="C6D9F1"/>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line="201" w:lineRule="exact"/>
              <w:rPr>
                <w:sz w:val="20"/>
                <w:szCs w:val="20"/>
                <w:color w:val="auto"/>
              </w:rPr>
            </w:pPr>
            <w:r>
              <w:rPr>
                <w:rFonts w:ascii="Arial" w:cs="Arial" w:eastAsia="Arial" w:hAnsi="Arial"/>
                <w:sz w:val="18"/>
                <w:szCs w:val="18"/>
                <w:color w:val="auto"/>
              </w:rPr>
              <w:t>322,581</w:t>
            </w:r>
          </w:p>
        </w:tc>
        <w:tc>
          <w:tcPr>
            <w:tcW w:w="400" w:type="dxa"/>
            <w:vAlign w:val="bottom"/>
            <w:shd w:val="clear" w:color="auto" w:fill="C6D9F1"/>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line="201" w:lineRule="exact"/>
              <w:rPr>
                <w:sz w:val="20"/>
                <w:szCs w:val="20"/>
                <w:color w:val="auto"/>
              </w:rPr>
            </w:pPr>
            <w:r>
              <w:rPr>
                <w:rFonts w:ascii="Arial" w:cs="Arial" w:eastAsia="Arial" w:hAnsi="Arial"/>
                <w:sz w:val="18"/>
                <w:szCs w:val="18"/>
                <w:color w:val="auto"/>
              </w:rPr>
              <w:t>337,934</w:t>
            </w:r>
          </w:p>
        </w:tc>
        <w:tc>
          <w:tcPr>
            <w:tcW w:w="2020" w:type="dxa"/>
            <w:vAlign w:val="bottom"/>
            <w:shd w:val="clear" w:color="auto" w:fill="C6D9F1"/>
          </w:tcPr>
          <w:p>
            <w:pPr>
              <w:jc w:val="center"/>
              <w:ind w:right="174"/>
              <w:spacing w:after="0" w:line="201" w:lineRule="exact"/>
              <w:rPr>
                <w:sz w:val="20"/>
                <w:szCs w:val="20"/>
                <w:color w:val="auto"/>
              </w:rPr>
            </w:pPr>
            <w:r>
              <w:rPr>
                <w:rFonts w:ascii="Arial" w:cs="Arial" w:eastAsia="Arial" w:hAnsi="Arial"/>
                <w:sz w:val="18"/>
                <w:szCs w:val="18"/>
                <w:color w:val="auto"/>
                <w:w w:val="97"/>
              </w:rPr>
              <w:t>4.8%</w:t>
            </w:r>
          </w:p>
        </w:tc>
      </w:tr>
      <w:tr>
        <w:trPr>
          <w:trHeight w:val="203"/>
        </w:trPr>
        <w:tc>
          <w:tcPr>
            <w:tcW w:w="2980" w:type="dxa"/>
            <w:vAlign w:val="bottom"/>
            <w:shd w:val="clear" w:color="auto" w:fill="C6D9F1"/>
          </w:tcPr>
          <w:p>
            <w:pPr>
              <w:spacing w:after="0"/>
              <w:rPr>
                <w:sz w:val="17"/>
                <w:szCs w:val="17"/>
                <w:color w:val="auto"/>
              </w:rPr>
            </w:pPr>
          </w:p>
        </w:tc>
        <w:tc>
          <w:tcPr>
            <w:tcW w:w="1220" w:type="dxa"/>
            <w:vAlign w:val="bottom"/>
            <w:shd w:val="clear" w:color="auto" w:fill="C6D9F1"/>
          </w:tcPr>
          <w:p>
            <w:pPr>
              <w:spacing w:after="0"/>
              <w:rPr>
                <w:sz w:val="17"/>
                <w:szCs w:val="17"/>
                <w:color w:val="auto"/>
              </w:rPr>
            </w:pPr>
          </w:p>
        </w:tc>
        <w:tc>
          <w:tcPr>
            <w:tcW w:w="2160" w:type="dxa"/>
            <w:vAlign w:val="bottom"/>
            <w:shd w:val="clear" w:color="auto" w:fill="C6D9F1"/>
          </w:tcPr>
          <w:p>
            <w:pPr>
              <w:spacing w:after="0"/>
              <w:rPr>
                <w:sz w:val="17"/>
                <w:szCs w:val="17"/>
                <w:color w:val="auto"/>
              </w:rPr>
            </w:pPr>
          </w:p>
        </w:tc>
        <w:tc>
          <w:tcPr>
            <w:tcW w:w="400" w:type="dxa"/>
            <w:vAlign w:val="bottom"/>
            <w:shd w:val="clear" w:color="auto" w:fill="C6D9F1"/>
          </w:tcPr>
          <w:p>
            <w:pPr>
              <w:spacing w:after="0"/>
              <w:rPr>
                <w:sz w:val="17"/>
                <w:szCs w:val="17"/>
                <w:color w:val="auto"/>
              </w:rPr>
            </w:pPr>
          </w:p>
        </w:tc>
        <w:tc>
          <w:tcPr>
            <w:tcW w:w="2640" w:type="dxa"/>
            <w:vAlign w:val="bottom"/>
            <w:shd w:val="clear" w:color="auto" w:fill="C6D9F1"/>
          </w:tcPr>
          <w:p>
            <w:pPr>
              <w:spacing w:after="0"/>
              <w:rPr>
                <w:sz w:val="17"/>
                <w:szCs w:val="17"/>
                <w:color w:val="auto"/>
              </w:rPr>
            </w:pPr>
          </w:p>
        </w:tc>
        <w:tc>
          <w:tcPr>
            <w:tcW w:w="2020" w:type="dxa"/>
            <w:vAlign w:val="bottom"/>
            <w:shd w:val="clear" w:color="auto" w:fill="C6D9F1"/>
          </w:tcPr>
          <w:p>
            <w:pPr>
              <w:jc w:val="center"/>
              <w:ind w:right="174"/>
              <w:spacing w:after="0" w:line="203" w:lineRule="exact"/>
              <w:rPr>
                <w:sz w:val="20"/>
                <w:szCs w:val="20"/>
                <w:color w:val="auto"/>
              </w:rPr>
            </w:pPr>
            <w:r>
              <w:rPr>
                <w:rFonts w:ascii="Arial" w:cs="Arial" w:eastAsia="Arial" w:hAnsi="Arial"/>
                <w:sz w:val="18"/>
                <w:szCs w:val="18"/>
                <w:color w:val="auto"/>
                <w:w w:val="98"/>
              </w:rPr>
              <w:t>(6.5% INR)</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Nalin Miglani</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
              <w:spacing w:after="0"/>
              <w:rPr>
                <w:sz w:val="20"/>
                <w:szCs w:val="20"/>
                <w:color w:val="auto"/>
              </w:rPr>
            </w:pPr>
            <w:r>
              <w:rPr>
                <w:rFonts w:ascii="Arial" w:cs="Arial" w:eastAsia="Arial" w:hAnsi="Arial"/>
                <w:sz w:val="18"/>
                <w:szCs w:val="18"/>
                <w:color w:val="auto"/>
              </w:rPr>
              <w:t>400,000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tcPr>
          <w:p>
            <w:pPr>
              <w:ind w:left="1380"/>
              <w:spacing w:after="0"/>
              <w:rPr>
                <w:sz w:val="20"/>
                <w:szCs w:val="20"/>
                <w:color w:val="auto"/>
              </w:rPr>
            </w:pPr>
            <w:r>
              <w:rPr>
                <w:rFonts w:ascii="Arial" w:cs="Arial" w:eastAsia="Arial" w:hAnsi="Arial"/>
                <w:sz w:val="18"/>
                <w:szCs w:val="18"/>
                <w:color w:val="auto"/>
              </w:rPr>
              <w:t>400,000</w:t>
            </w:r>
          </w:p>
        </w:tc>
        <w:tc>
          <w:tcPr>
            <w:tcW w:w="2020" w:type="dxa"/>
            <w:vAlign w:val="bottom"/>
          </w:tcPr>
          <w:p>
            <w:pPr>
              <w:jc w:val="center"/>
              <w:ind w:right="174"/>
              <w:spacing w:after="0"/>
              <w:rPr>
                <w:sz w:val="20"/>
                <w:szCs w:val="20"/>
                <w:color w:val="auto"/>
              </w:rPr>
            </w:pPr>
            <w:r>
              <w:rPr>
                <w:rFonts w:ascii="Arial" w:cs="Arial" w:eastAsia="Arial" w:hAnsi="Arial"/>
                <w:sz w:val="18"/>
                <w:szCs w:val="18"/>
                <w:color w:val="auto"/>
                <w:w w:val="97"/>
              </w:rPr>
              <w:t>0.0%</w:t>
            </w:r>
          </w:p>
        </w:tc>
      </w:tr>
      <w:tr>
        <w:trPr>
          <w:trHeight w:val="216"/>
        </w:trPr>
        <w:tc>
          <w:tcPr>
            <w:tcW w:w="2980" w:type="dxa"/>
            <w:vAlign w:val="bottom"/>
            <w:shd w:val="clear" w:color="auto" w:fill="C6D9F1"/>
          </w:tcPr>
          <w:p>
            <w:pPr>
              <w:ind w:left="160"/>
              <w:spacing w:after="0"/>
              <w:rPr>
                <w:sz w:val="20"/>
                <w:szCs w:val="20"/>
                <w:color w:val="auto"/>
              </w:rPr>
            </w:pPr>
            <w:r>
              <w:rPr>
                <w:rFonts w:ascii="Arial" w:cs="Arial" w:eastAsia="Arial" w:hAnsi="Arial"/>
                <w:sz w:val="18"/>
                <w:szCs w:val="18"/>
                <w:color w:val="auto"/>
              </w:rPr>
              <w:t>Henry Schweppe</w:t>
            </w:r>
          </w:p>
        </w:tc>
        <w:tc>
          <w:tcPr>
            <w:tcW w:w="1220" w:type="dxa"/>
            <w:vAlign w:val="bottom"/>
            <w:shd w:val="clear" w:color="auto" w:fill="C6D9F1"/>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rPr>
                <w:sz w:val="20"/>
                <w:szCs w:val="20"/>
                <w:color w:val="auto"/>
              </w:rPr>
            </w:pPr>
            <w:r>
              <w:rPr>
                <w:rFonts w:ascii="Arial" w:cs="Arial" w:eastAsia="Arial" w:hAnsi="Arial"/>
                <w:sz w:val="18"/>
                <w:szCs w:val="18"/>
                <w:color w:val="auto"/>
              </w:rPr>
              <w:t>450,000</w:t>
            </w:r>
          </w:p>
        </w:tc>
        <w:tc>
          <w:tcPr>
            <w:tcW w:w="40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rPr>
                <w:sz w:val="20"/>
                <w:szCs w:val="20"/>
                <w:color w:val="auto"/>
              </w:rPr>
            </w:pPr>
            <w:r>
              <w:rPr>
                <w:rFonts w:ascii="Arial" w:cs="Arial" w:eastAsia="Arial" w:hAnsi="Arial"/>
                <w:sz w:val="18"/>
                <w:szCs w:val="18"/>
                <w:color w:val="auto"/>
              </w:rPr>
              <w:t>450,000</w:t>
            </w:r>
          </w:p>
        </w:tc>
        <w:tc>
          <w:tcPr>
            <w:tcW w:w="2020" w:type="dxa"/>
            <w:vAlign w:val="bottom"/>
            <w:shd w:val="clear" w:color="auto" w:fill="C6D9F1"/>
          </w:tcPr>
          <w:p>
            <w:pPr>
              <w:jc w:val="center"/>
              <w:ind w:right="174"/>
              <w:spacing w:after="0"/>
              <w:rPr>
                <w:sz w:val="20"/>
                <w:szCs w:val="20"/>
                <w:color w:val="auto"/>
              </w:rPr>
            </w:pPr>
            <w:r>
              <w:rPr>
                <w:rFonts w:ascii="Arial" w:cs="Arial" w:eastAsia="Arial" w:hAnsi="Arial"/>
                <w:sz w:val="18"/>
                <w:szCs w:val="18"/>
                <w:color w:val="auto"/>
                <w:w w:val="97"/>
              </w:rPr>
              <w:t>0.0%</w:t>
            </w:r>
          </w:p>
        </w:tc>
      </w:tr>
    </w:tbl>
    <w:p>
      <w:pPr>
        <w:spacing w:after="0" w:line="207"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4"/>
          <w:szCs w:val="14"/>
          <w:color w:val="auto"/>
        </w:rPr>
        <w:t>(1)</w:t>
        <w:tab/>
        <w:t>Mr. Kapoor’s base salary, along with his employment agreement, became effective January 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Bonus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2014 for the year 2015 for bonuses payable in respect of 2015 performance. Under the program, bonus target amounts, expressed as a percentage of base salary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6" w:name="page37"/>
    <w:bookmarkEnd w:id="36"/>
    <w:p>
      <w:pPr>
        <w:spacing w:after="0" w:line="237" w:lineRule="auto"/>
        <w:rPr>
          <w:sz w:val="20"/>
          <w:szCs w:val="20"/>
          <w:color w:val="auto"/>
        </w:rPr>
      </w:pPr>
      <w:r>
        <w:rPr>
          <w:rFonts w:ascii="Arial" w:cs="Arial" w:eastAsia="Arial" w:hAnsi="Arial"/>
          <w:sz w:val="18"/>
          <w:szCs w:val="18"/>
          <w:color w:val="auto"/>
        </w:rPr>
        <w:t>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considered the following when establishing the awards for 2015:</w:t>
      </w:r>
    </w:p>
    <w:p>
      <w:pPr>
        <w:spacing w:after="0" w:line="180" w:lineRule="exact"/>
        <w:rPr>
          <w:sz w:val="20"/>
          <w:szCs w:val="20"/>
          <w:color w:val="auto"/>
        </w:rPr>
      </w:pPr>
    </w:p>
    <w:p>
      <w:pPr>
        <w:ind w:left="340" w:right="80" w:hanging="332"/>
        <w:spacing w:after="0" w:line="24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Bonus Targets</w:t>
      </w:r>
      <w:r>
        <w:rPr>
          <w:rFonts w:ascii="Arial" w:cs="Arial" w:eastAsia="Arial" w:hAnsi="Arial"/>
          <w:sz w:val="18"/>
          <w:szCs w:val="18"/>
          <w:color w:val="auto"/>
        </w:rPr>
        <w:t>. Bonus targets were established based on job responsibilities and comparable market data. Our objective was to set bonus</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2015, our Compensation Committee established the following bonus targets (expressed as a percentage of base salary or annual fixed compensation) as well as maximum bonus targets for each named executive officer.</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700" w:type="dxa"/>
            <w:vAlign w:val="bottom"/>
            <w:gridSpan w:val="2"/>
            <w:shd w:val="clear" w:color="auto" w:fill="5591C7"/>
          </w:tcPr>
          <w:p>
            <w:pPr>
              <w:ind w:left="1500"/>
              <w:spacing w:after="0"/>
              <w:rPr>
                <w:sz w:val="20"/>
                <w:szCs w:val="20"/>
                <w:color w:val="auto"/>
              </w:rPr>
            </w:pPr>
            <w:r>
              <w:rPr>
                <w:rFonts w:ascii="Arial" w:cs="Arial" w:eastAsia="Arial" w:hAnsi="Arial"/>
                <w:sz w:val="14"/>
                <w:szCs w:val="14"/>
                <w:b w:val="1"/>
                <w:bCs w:val="1"/>
                <w:color w:val="auto"/>
              </w:rPr>
              <w:t>Name</w:t>
            </w:r>
          </w:p>
        </w:tc>
        <w:tc>
          <w:tcPr>
            <w:tcW w:w="3720" w:type="dxa"/>
            <w:vAlign w:val="bottom"/>
            <w:gridSpan w:val="2"/>
            <w:shd w:val="clear" w:color="auto" w:fill="5591C7"/>
          </w:tcPr>
          <w:p>
            <w:pPr>
              <w:ind w:left="1240"/>
              <w:spacing w:after="0"/>
              <w:rPr>
                <w:sz w:val="20"/>
                <w:szCs w:val="20"/>
                <w:color w:val="auto"/>
              </w:rPr>
            </w:pPr>
            <w:r>
              <w:rPr>
                <w:rFonts w:ascii="Arial" w:cs="Arial" w:eastAsia="Arial" w:hAnsi="Arial"/>
                <w:sz w:val="14"/>
                <w:szCs w:val="14"/>
                <w:b w:val="1"/>
                <w:bCs w:val="1"/>
                <w:color w:val="auto"/>
              </w:rPr>
              <w:t>Bonus Target</w:t>
            </w:r>
          </w:p>
        </w:tc>
        <w:tc>
          <w:tcPr>
            <w:tcW w:w="3400" w:type="dxa"/>
            <w:vAlign w:val="bottom"/>
            <w:shd w:val="clear" w:color="auto" w:fill="5591C7"/>
          </w:tcPr>
          <w:p>
            <w:pPr>
              <w:ind w:left="1120"/>
              <w:spacing w:after="0"/>
              <w:rPr>
                <w:sz w:val="20"/>
                <w:szCs w:val="20"/>
                <w:color w:val="auto"/>
              </w:rPr>
            </w:pPr>
            <w:r>
              <w:rPr>
                <w:rFonts w:ascii="Arial" w:cs="Arial" w:eastAsia="Arial" w:hAnsi="Arial"/>
                <w:sz w:val="14"/>
                <w:szCs w:val="14"/>
                <w:b w:val="1"/>
                <w:bCs w:val="1"/>
                <w:color w:val="auto"/>
              </w:rPr>
              <w:t>Bonus Maximum</w:t>
            </w:r>
          </w:p>
        </w:tc>
      </w:tr>
      <w:tr>
        <w:trPr>
          <w:trHeight w:val="196"/>
        </w:trPr>
        <w:tc>
          <w:tcPr>
            <w:tcW w:w="3380" w:type="dxa"/>
            <w:vAlign w:val="bottom"/>
            <w:tcBorders>
              <w:top w:val="single" w:sz="8" w:color="auto"/>
            </w:tcBorders>
            <w:shd w:val="clear" w:color="auto" w:fill="C6D9F1"/>
          </w:tcPr>
          <w:p>
            <w:pPr>
              <w:ind w:left="80"/>
              <w:spacing w:after="0" w:line="196" w:lineRule="exact"/>
              <w:rPr>
                <w:sz w:val="20"/>
                <w:szCs w:val="20"/>
                <w:color w:val="auto"/>
              </w:rPr>
            </w:pPr>
            <w:r>
              <w:rPr>
                <w:rFonts w:ascii="Arial" w:cs="Arial" w:eastAsia="Arial" w:hAnsi="Arial"/>
                <w:sz w:val="18"/>
                <w:szCs w:val="18"/>
                <w:color w:val="auto"/>
              </w:rPr>
              <w:t>Rohit Kapoor</w:t>
            </w:r>
          </w:p>
        </w:tc>
        <w:tc>
          <w:tcPr>
            <w:tcW w:w="320" w:type="dxa"/>
            <w:vAlign w:val="bottom"/>
            <w:tcBorders>
              <w:top w:val="single" w:sz="8" w:color="C6D9F1"/>
            </w:tcBorders>
            <w:shd w:val="clear" w:color="auto" w:fill="C6D9F1"/>
          </w:tcPr>
          <w:p>
            <w:pPr>
              <w:spacing w:after="0"/>
              <w:rPr>
                <w:sz w:val="17"/>
                <w:szCs w:val="17"/>
                <w:color w:val="auto"/>
              </w:rPr>
            </w:pPr>
          </w:p>
        </w:tc>
        <w:tc>
          <w:tcPr>
            <w:tcW w:w="3400" w:type="dxa"/>
            <w:vAlign w:val="bottom"/>
            <w:tcBorders>
              <w:top w:val="single" w:sz="8" w:color="auto"/>
            </w:tcBorders>
            <w:shd w:val="clear" w:color="auto" w:fill="C6D9F1"/>
          </w:tcPr>
          <w:p>
            <w:pPr>
              <w:ind w:left="100"/>
              <w:spacing w:after="0" w:line="196" w:lineRule="exact"/>
              <w:rPr>
                <w:sz w:val="20"/>
                <w:szCs w:val="20"/>
                <w:color w:val="auto"/>
              </w:rPr>
            </w:pPr>
            <w:r>
              <w:rPr>
                <w:rFonts w:ascii="Arial" w:cs="Arial" w:eastAsia="Arial" w:hAnsi="Arial"/>
                <w:sz w:val="18"/>
                <w:szCs w:val="18"/>
                <w:color w:val="auto"/>
              </w:rPr>
              <w:t>100% of base salary</w:t>
            </w:r>
          </w:p>
        </w:tc>
        <w:tc>
          <w:tcPr>
            <w:tcW w:w="320" w:type="dxa"/>
            <w:vAlign w:val="bottom"/>
            <w:tcBorders>
              <w:top w:val="single" w:sz="8" w:color="C6D9F1"/>
            </w:tcBorders>
            <w:shd w:val="clear" w:color="auto" w:fill="C6D9F1"/>
          </w:tcPr>
          <w:p>
            <w:pPr>
              <w:spacing w:after="0"/>
              <w:rPr>
                <w:sz w:val="17"/>
                <w:szCs w:val="17"/>
                <w:color w:val="auto"/>
              </w:rPr>
            </w:pPr>
          </w:p>
        </w:tc>
        <w:tc>
          <w:tcPr>
            <w:tcW w:w="3400" w:type="dxa"/>
            <w:vAlign w:val="bottom"/>
            <w:tcBorders>
              <w:top w:val="single" w:sz="8" w:color="auto"/>
            </w:tcBorders>
            <w:shd w:val="clear" w:color="auto" w:fill="C6D9F1"/>
          </w:tcPr>
          <w:p>
            <w:pPr>
              <w:ind w:left="100"/>
              <w:spacing w:after="0" w:line="196" w:lineRule="exact"/>
              <w:rPr>
                <w:sz w:val="20"/>
                <w:szCs w:val="20"/>
                <w:color w:val="auto"/>
              </w:rPr>
            </w:pPr>
            <w:r>
              <w:rPr>
                <w:rFonts w:ascii="Arial" w:cs="Arial" w:eastAsia="Arial" w:hAnsi="Arial"/>
                <w:sz w:val="18"/>
                <w:szCs w:val="18"/>
                <w:color w:val="auto"/>
              </w:rPr>
              <w:t>200% of base salary</w:t>
            </w:r>
          </w:p>
        </w:tc>
      </w:tr>
      <w:tr>
        <w:trPr>
          <w:trHeight w:val="203"/>
        </w:trPr>
        <w:tc>
          <w:tcPr>
            <w:tcW w:w="3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Vishal Chhibbar</w:t>
            </w:r>
          </w:p>
        </w:tc>
        <w:tc>
          <w:tcPr>
            <w:tcW w:w="3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50% of annual fixed compensation</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100% of annual fixed compensation</w:t>
            </w:r>
          </w:p>
        </w:tc>
      </w:tr>
      <w:tr>
        <w:trPr>
          <w:trHeight w:val="203"/>
        </w:trPr>
        <w:tc>
          <w:tcPr>
            <w:tcW w:w="370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Pavan Bagai</w:t>
            </w:r>
          </w:p>
        </w:tc>
        <w:tc>
          <w:tcPr>
            <w:tcW w:w="3720" w:type="dxa"/>
            <w:vAlign w:val="bottom"/>
            <w:gridSpan w:val="2"/>
            <w:shd w:val="clear" w:color="auto" w:fill="C6D9F1"/>
          </w:tcPr>
          <w:p>
            <w:pPr>
              <w:ind w:left="100"/>
              <w:spacing w:after="0" w:line="202" w:lineRule="exact"/>
              <w:rPr>
                <w:sz w:val="20"/>
                <w:szCs w:val="20"/>
                <w:color w:val="auto"/>
              </w:rPr>
            </w:pPr>
            <w:r>
              <w:rPr>
                <w:rFonts w:ascii="Arial" w:cs="Arial" w:eastAsia="Arial" w:hAnsi="Arial"/>
                <w:sz w:val="18"/>
                <w:szCs w:val="18"/>
                <w:color w:val="auto"/>
              </w:rPr>
              <w:t>75% of annual fixed compensation</w:t>
            </w:r>
          </w:p>
        </w:tc>
        <w:tc>
          <w:tcPr>
            <w:tcW w:w="34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150% of annual fixed compensation</w:t>
            </w:r>
          </w:p>
        </w:tc>
      </w:tr>
      <w:tr>
        <w:trPr>
          <w:trHeight w:val="203"/>
        </w:trPr>
        <w:tc>
          <w:tcPr>
            <w:tcW w:w="3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Nalin Miglani</w:t>
            </w:r>
          </w:p>
        </w:tc>
        <w:tc>
          <w:tcPr>
            <w:tcW w:w="3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60% of base salary</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120% of base salary</w:t>
            </w:r>
          </w:p>
        </w:tc>
      </w:tr>
      <w:tr>
        <w:trPr>
          <w:trHeight w:val="203"/>
        </w:trPr>
        <w:tc>
          <w:tcPr>
            <w:tcW w:w="370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Henry Schweppe</w:t>
            </w:r>
          </w:p>
        </w:tc>
        <w:tc>
          <w:tcPr>
            <w:tcW w:w="3720" w:type="dxa"/>
            <w:vAlign w:val="bottom"/>
            <w:gridSpan w:val="2"/>
            <w:shd w:val="clear" w:color="auto" w:fill="C6D9F1"/>
          </w:tcPr>
          <w:p>
            <w:pPr>
              <w:ind w:left="100"/>
              <w:spacing w:after="0" w:line="202" w:lineRule="exact"/>
              <w:rPr>
                <w:sz w:val="20"/>
                <w:szCs w:val="20"/>
                <w:color w:val="auto"/>
              </w:rPr>
            </w:pPr>
            <w:r>
              <w:rPr>
                <w:rFonts w:ascii="Arial" w:cs="Arial" w:eastAsia="Arial" w:hAnsi="Arial"/>
                <w:sz w:val="18"/>
                <w:szCs w:val="18"/>
                <w:color w:val="auto"/>
              </w:rPr>
              <w:t>75% of base salary</w:t>
            </w:r>
          </w:p>
        </w:tc>
        <w:tc>
          <w:tcPr>
            <w:tcW w:w="34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150% of base salary</w:t>
            </w:r>
          </w:p>
        </w:tc>
      </w:tr>
    </w:tbl>
    <w:p>
      <w:pPr>
        <w:spacing w:after="0" w:line="224" w:lineRule="exact"/>
        <w:rPr>
          <w:sz w:val="20"/>
          <w:szCs w:val="20"/>
          <w:color w:val="auto"/>
        </w:rPr>
      </w:pPr>
    </w:p>
    <w:p>
      <w:pPr>
        <w:ind w:left="340" w:right="280" w:hanging="332"/>
        <w:spacing w:after="0" w:line="25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Annual Bonuses Exclusively Denominated in Cash. </w:t>
      </w:r>
      <w:r>
        <w:rPr>
          <w:rFonts w:ascii="Arial" w:cs="Arial" w:eastAsia="Arial" w:hAnsi="Arial"/>
          <w:sz w:val="18"/>
          <w:szCs w:val="18"/>
          <w:color w:val="auto"/>
        </w:rPr>
        <w:t>The Committee believes cash bonuses clearly align with market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make the Company’s overall compensation program more competitive. The long-term retention and performance features associated with equity grants continue to be an important part of the Company’s compensation mix, as described below.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37" w:name="page38"/>
    <w:bookmarkEnd w:id="37"/>
    <w:p>
      <w:pPr>
        <w:jc w:val="both"/>
        <w:ind w:left="340" w:right="20" w:hanging="332"/>
        <w:spacing w:after="0" w:line="297"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Performance Measures</w:t>
      </w:r>
      <w:r>
        <w:rPr>
          <w:rFonts w:ascii="Arial" w:cs="Arial" w:eastAsia="Arial" w:hAnsi="Arial"/>
          <w:sz w:val="17"/>
          <w:szCs w:val="17"/>
          <w:color w:val="auto"/>
        </w:rPr>
        <w:t>. Our executives were eligible to earn annual bonuses based on their achievement of company-wide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metrics, business line or other company performance metrics and, in some cases, individual performance, as described in the tables below.</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040" w:type="dxa"/>
            <w:vAlign w:val="bottom"/>
            <w:shd w:val="clear" w:color="auto" w:fill="5591C7"/>
          </w:tcPr>
          <w:p>
            <w:pPr>
              <w:spacing w:after="0"/>
              <w:rPr>
                <w:sz w:val="14"/>
                <w:szCs w:val="14"/>
                <w:color w:val="auto"/>
              </w:rPr>
            </w:pPr>
          </w:p>
        </w:tc>
        <w:tc>
          <w:tcPr>
            <w:tcW w:w="260" w:type="dxa"/>
            <w:vAlign w:val="bottom"/>
            <w:shd w:val="clear" w:color="auto" w:fill="5591C7"/>
          </w:tcPr>
          <w:p>
            <w:pPr>
              <w:spacing w:after="0"/>
              <w:rPr>
                <w:sz w:val="14"/>
                <w:szCs w:val="14"/>
                <w:color w:val="auto"/>
              </w:rPr>
            </w:pPr>
          </w:p>
        </w:tc>
        <w:tc>
          <w:tcPr>
            <w:tcW w:w="2640" w:type="dxa"/>
            <w:vAlign w:val="bottom"/>
            <w:gridSpan w:val="2"/>
            <w:vMerge w:val="restart"/>
            <w:shd w:val="clear" w:color="auto" w:fill="5591C7"/>
          </w:tcPr>
          <w:p>
            <w:pPr>
              <w:jc w:val="center"/>
              <w:ind w:right="320"/>
              <w:spacing w:after="0"/>
              <w:rPr>
                <w:sz w:val="20"/>
                <w:szCs w:val="20"/>
                <w:color w:val="auto"/>
              </w:rPr>
            </w:pPr>
            <w:r>
              <w:rPr>
                <w:rFonts w:ascii="Arial" w:cs="Arial" w:eastAsia="Arial" w:hAnsi="Arial"/>
                <w:sz w:val="14"/>
                <w:szCs w:val="14"/>
                <w:b w:val="1"/>
                <w:bCs w:val="1"/>
                <w:color w:val="auto"/>
              </w:rPr>
              <w:t>Company-Wide</w:t>
            </w:r>
          </w:p>
        </w:tc>
        <w:tc>
          <w:tcPr>
            <w:tcW w:w="2240" w:type="dxa"/>
            <w:vAlign w:val="bottom"/>
            <w:shd w:val="clear" w:color="auto" w:fill="5591C7"/>
          </w:tcPr>
          <w:p>
            <w:pPr>
              <w:spacing w:after="0"/>
              <w:rPr>
                <w:sz w:val="14"/>
                <w:szCs w:val="14"/>
                <w:color w:val="auto"/>
              </w:rPr>
            </w:pPr>
          </w:p>
        </w:tc>
        <w:tc>
          <w:tcPr>
            <w:tcW w:w="260" w:type="dxa"/>
            <w:vAlign w:val="bottom"/>
            <w:shd w:val="clear" w:color="auto" w:fill="5591C7"/>
          </w:tcPr>
          <w:p>
            <w:pPr>
              <w:spacing w:after="0"/>
              <w:rPr>
                <w:sz w:val="14"/>
                <w:szCs w:val="14"/>
                <w:color w:val="auto"/>
              </w:rPr>
            </w:pPr>
          </w:p>
        </w:tc>
        <w:tc>
          <w:tcPr>
            <w:tcW w:w="24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Business Line or</w:t>
            </w:r>
          </w:p>
        </w:tc>
        <w:tc>
          <w:tcPr>
            <w:tcW w:w="0" w:type="dxa"/>
            <w:vAlign w:val="bottom"/>
          </w:tcPr>
          <w:p>
            <w:pPr>
              <w:spacing w:after="0"/>
              <w:rPr>
                <w:sz w:val="1"/>
                <w:szCs w:val="1"/>
                <w:color w:val="auto"/>
              </w:rPr>
            </w:pPr>
          </w:p>
        </w:tc>
      </w:tr>
      <w:tr>
        <w:trPr>
          <w:trHeight w:val="148"/>
        </w:trPr>
        <w:tc>
          <w:tcPr>
            <w:tcW w:w="3040" w:type="dxa"/>
            <w:vAlign w:val="bottom"/>
            <w:shd w:val="clear" w:color="auto" w:fill="5591C7"/>
          </w:tcPr>
          <w:p>
            <w:pPr>
              <w:spacing w:after="0"/>
              <w:rPr>
                <w:sz w:val="12"/>
                <w:szCs w:val="12"/>
                <w:color w:val="auto"/>
              </w:rPr>
            </w:pPr>
          </w:p>
        </w:tc>
        <w:tc>
          <w:tcPr>
            <w:tcW w:w="260" w:type="dxa"/>
            <w:vAlign w:val="bottom"/>
            <w:shd w:val="clear" w:color="auto" w:fill="5591C7"/>
          </w:tcPr>
          <w:p>
            <w:pPr>
              <w:spacing w:after="0"/>
              <w:rPr>
                <w:sz w:val="12"/>
                <w:szCs w:val="12"/>
                <w:color w:val="auto"/>
              </w:rPr>
            </w:pPr>
          </w:p>
        </w:tc>
        <w:tc>
          <w:tcPr>
            <w:tcW w:w="2640" w:type="dxa"/>
            <w:vAlign w:val="bottom"/>
            <w:gridSpan w:val="2"/>
            <w:vMerge w:val="continue"/>
            <w:shd w:val="clear" w:color="auto" w:fill="5591C7"/>
          </w:tcPr>
          <w:p>
            <w:pPr>
              <w:spacing w:after="0"/>
              <w:rPr>
                <w:sz w:val="12"/>
                <w:szCs w:val="12"/>
                <w:color w:val="auto"/>
              </w:rPr>
            </w:pPr>
          </w:p>
        </w:tc>
        <w:tc>
          <w:tcPr>
            <w:tcW w:w="2500" w:type="dxa"/>
            <w:vAlign w:val="bottom"/>
            <w:gridSpan w:val="2"/>
            <w:shd w:val="clear" w:color="auto" w:fill="5591C7"/>
          </w:tcPr>
          <w:p>
            <w:pPr>
              <w:jc w:val="center"/>
              <w:ind w:right="280"/>
              <w:spacing w:after="0" w:line="149" w:lineRule="exact"/>
              <w:rPr>
                <w:sz w:val="20"/>
                <w:szCs w:val="20"/>
                <w:color w:val="auto"/>
              </w:rPr>
            </w:pPr>
            <w:r>
              <w:rPr>
                <w:rFonts w:ascii="Arial" w:cs="Arial" w:eastAsia="Arial" w:hAnsi="Arial"/>
                <w:sz w:val="14"/>
                <w:szCs w:val="14"/>
                <w:b w:val="1"/>
                <w:bCs w:val="1"/>
                <w:color w:val="auto"/>
              </w:rPr>
              <w:t>Individual</w:t>
            </w:r>
          </w:p>
        </w:tc>
        <w:tc>
          <w:tcPr>
            <w:tcW w:w="2400" w:type="dxa"/>
            <w:vAlign w:val="bottom"/>
            <w:shd w:val="clear" w:color="auto" w:fill="5591C7"/>
          </w:tcPr>
          <w:p>
            <w:pPr>
              <w:jc w:val="center"/>
              <w:spacing w:after="0" w:line="149" w:lineRule="exact"/>
              <w:rPr>
                <w:sz w:val="20"/>
                <w:szCs w:val="20"/>
                <w:color w:val="auto"/>
              </w:rPr>
            </w:pPr>
            <w:r>
              <w:rPr>
                <w:rFonts w:ascii="Arial" w:cs="Arial" w:eastAsia="Arial" w:hAnsi="Arial"/>
                <w:sz w:val="14"/>
                <w:szCs w:val="14"/>
                <w:b w:val="1"/>
                <w:bCs w:val="1"/>
                <w:color w:val="auto"/>
              </w:rPr>
              <w:t>Other Company</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shd w:val="clear" w:color="auto" w:fill="5591C7"/>
          </w:tcPr>
          <w:p>
            <w:pPr>
              <w:ind w:left="1320"/>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C6D9F1"/>
            </w:tcBorders>
            <w:shd w:val="clear" w:color="auto" w:fill="5591C7"/>
          </w:tcPr>
          <w:p>
            <w:pPr>
              <w:spacing w:after="0"/>
              <w:rPr>
                <w:sz w:val="17"/>
                <w:szCs w:val="17"/>
                <w:color w:val="auto"/>
              </w:rPr>
            </w:pPr>
          </w:p>
        </w:tc>
        <w:tc>
          <w:tcPr>
            <w:tcW w:w="2360" w:type="dxa"/>
            <w:vAlign w:val="bottom"/>
            <w:tcBorders>
              <w:bottom w:val="single" w:sz="8" w:color="auto"/>
            </w:tcBorders>
            <w:shd w:val="clear" w:color="auto" w:fill="5591C7"/>
          </w:tcPr>
          <w:p>
            <w:pPr>
              <w:jc w:val="center"/>
              <w:spacing w:after="0" w:line="202" w:lineRule="exact"/>
              <w:rPr>
                <w:sz w:val="20"/>
                <w:szCs w:val="20"/>
                <w:color w:val="auto"/>
              </w:rPr>
            </w:pPr>
            <w:r>
              <w:rPr>
                <w:rFonts w:ascii="Arial" w:cs="Arial" w:eastAsia="Arial" w:hAnsi="Arial"/>
                <w:sz w:val="14"/>
                <w:szCs w:val="14"/>
                <w:b w:val="1"/>
                <w:bCs w:val="1"/>
                <w:color w:val="auto"/>
                <w:w w:val="97"/>
              </w:rPr>
              <w:t>Performance</w:t>
            </w:r>
            <w:r>
              <w:rPr>
                <w:rFonts w:ascii="Arial" w:cs="Arial" w:eastAsia="Arial" w:hAnsi="Arial"/>
                <w:sz w:val="23"/>
                <w:szCs w:val="23"/>
                <w:b w:val="1"/>
                <w:bCs w:val="1"/>
                <w:color w:val="auto"/>
                <w:w w:val="97"/>
                <w:vertAlign w:val="superscript"/>
              </w:rPr>
              <w:t>(1)</w:t>
            </w:r>
          </w:p>
        </w:tc>
        <w:tc>
          <w:tcPr>
            <w:tcW w:w="280" w:type="dxa"/>
            <w:vAlign w:val="bottom"/>
            <w:tcBorders>
              <w:bottom w:val="single" w:sz="8" w:color="C6D9F1"/>
            </w:tcBorders>
            <w:shd w:val="clear" w:color="auto" w:fill="5591C7"/>
          </w:tcPr>
          <w:p>
            <w:pPr>
              <w:spacing w:after="0"/>
              <w:rPr>
                <w:sz w:val="17"/>
                <w:szCs w:val="17"/>
                <w:color w:val="auto"/>
              </w:rPr>
            </w:pPr>
          </w:p>
        </w:tc>
        <w:tc>
          <w:tcPr>
            <w:tcW w:w="2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c>
          <w:tcPr>
            <w:tcW w:w="260" w:type="dxa"/>
            <w:vAlign w:val="bottom"/>
            <w:tcBorders>
              <w:bottom w:val="single" w:sz="8" w:color="C6D9F1"/>
            </w:tcBorders>
            <w:shd w:val="clear" w:color="auto" w:fill="5591C7"/>
          </w:tcPr>
          <w:p>
            <w:pPr>
              <w:spacing w:after="0"/>
              <w:rPr>
                <w:sz w:val="17"/>
                <w:szCs w:val="17"/>
                <w:color w:val="auto"/>
              </w:rPr>
            </w:pPr>
          </w:p>
        </w:tc>
        <w:tc>
          <w:tcPr>
            <w:tcW w:w="24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23"/>
        </w:trPr>
        <w:tc>
          <w:tcPr>
            <w:tcW w:w="30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Rohit Kapoor</w:t>
            </w:r>
          </w:p>
        </w:tc>
        <w:tc>
          <w:tcPr>
            <w:tcW w:w="260" w:type="dxa"/>
            <w:vAlign w:val="bottom"/>
            <w:shd w:val="clear" w:color="auto" w:fill="C6D9F1"/>
          </w:tcPr>
          <w:p>
            <w:pPr>
              <w:spacing w:after="0"/>
              <w:rPr>
                <w:sz w:val="19"/>
                <w:szCs w:val="19"/>
                <w:color w:val="auto"/>
              </w:rPr>
            </w:pP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Vishal Chhibbar</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Pavan Bagai</w:t>
            </w: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Nalin Miglani</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Henry Schweppe</w:t>
            </w: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820" w:right="220" w:hanging="326"/>
        <w:spacing w:after="0" w:line="250" w:lineRule="auto"/>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50% on the Company’s Adjusted EPS goal and 50% on the Company’s revenues goal, for all employees whose incentive bonus is linked to Company-wide financial performance, including our named executive officers. The Company-wide performance component for Messrs. Kapoor, Bagai and Schweppe was reduced from 100% to 80% for 2015.</w:t>
      </w:r>
    </w:p>
    <w:p>
      <w:pPr>
        <w:spacing w:after="0" w:line="180" w:lineRule="exact"/>
        <w:rPr>
          <w:sz w:val="20"/>
          <w:szCs w:val="20"/>
          <w:color w:val="auto"/>
        </w:rPr>
      </w:pPr>
    </w:p>
    <w:p>
      <w:pPr>
        <w:ind w:left="340" w:right="20" w:firstLine="486"/>
        <w:spacing w:after="0" w:line="236" w:lineRule="auto"/>
        <w:rPr>
          <w:sz w:val="20"/>
          <w:szCs w:val="20"/>
          <w:color w:val="auto"/>
        </w:rPr>
      </w:pPr>
      <w:r>
        <w:rPr>
          <w:rFonts w:ascii="Arial" w:cs="Arial" w:eastAsia="Arial" w:hAnsi="Arial"/>
          <w:sz w:val="18"/>
          <w:szCs w:val="18"/>
          <w:color w:val="auto"/>
        </w:rPr>
        <w:t>For 2015, the Compensation Committee believed Messrs. Kapoor’s, Bagai’s and Schweppe’s annual bonus should be 80% based on the Company’s Adjusted EPS and revenues goals and 20% based on the aggregated performance of all Business Units Revenue and Adjusted EPS due to the nature of their positions as Vice Chairman and CEO, President and Chief Operating Officer, and President, Global Business and Marketing respectively. The Committee believed it was important to set the business line and other Company performance goals as well as the individual performance goals described above for Messrs. Chhibbar and Miglani to ensure the executives were properly focused on both the Company’s Adjusted EPS and revenue goals, aggregate of business units performance on revenue and Adjusted EPS goals and other areas of performance that are unique to their positions within the organization. The Compensation Committee believes achievement of these performance metrics will drive our business and, in turn, lead to increased stockholder value.</w:t>
      </w:r>
    </w:p>
    <w:p>
      <w:pPr>
        <w:spacing w:after="0" w:line="177" w:lineRule="exact"/>
        <w:rPr>
          <w:sz w:val="20"/>
          <w:szCs w:val="20"/>
          <w:color w:val="auto"/>
        </w:rPr>
      </w:pPr>
    </w:p>
    <w:p>
      <w:pPr>
        <w:ind w:left="340" w:right="280" w:hanging="332"/>
        <w:spacing w:after="0" w:line="297"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Determination of Financial Performance Achievement</w:t>
      </w:r>
      <w:r>
        <w:rPr>
          <w:rFonts w:ascii="Arial" w:cs="Arial" w:eastAsia="Arial" w:hAnsi="Arial"/>
          <w:sz w:val="17"/>
          <w:szCs w:val="17"/>
          <w:color w:val="auto"/>
        </w:rPr>
        <w:t>. In 2015, the portion of incentive bonus payments that were subject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measures could have ranged from zero to 200% of target depending on the achievement of performance goals,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Borders>
              <w:bottom w:val="single" w:sz="8" w:color="auto"/>
            </w:tcBorders>
            <w:gridSpan w:val="2"/>
            <w:shd w:val="clear" w:color="auto" w:fill="5591C7"/>
          </w:tcPr>
          <w:p>
            <w:pPr>
              <w:jc w:val="right"/>
              <w:ind w:right="2133"/>
              <w:spacing w:after="0"/>
              <w:rPr>
                <w:sz w:val="20"/>
                <w:szCs w:val="20"/>
                <w:color w:val="auto"/>
              </w:rPr>
            </w:pPr>
            <w:r>
              <w:rPr>
                <w:rFonts w:ascii="Arial" w:cs="Arial" w:eastAsia="Arial" w:hAnsi="Arial"/>
                <w:sz w:val="14"/>
                <w:szCs w:val="14"/>
                <w:b w:val="1"/>
                <w:bCs w:val="1"/>
                <w:color w:val="auto"/>
              </w:rPr>
              <w:t>Adjusted EPS Goals</w:t>
            </w:r>
          </w:p>
        </w:tc>
        <w:tc>
          <w:tcPr>
            <w:tcW w:w="240" w:type="dxa"/>
            <w:vAlign w:val="bottom"/>
          </w:tcPr>
          <w:p>
            <w:pPr>
              <w:spacing w:after="0"/>
              <w:rPr>
                <w:sz w:val="15"/>
                <w:szCs w:val="15"/>
                <w:color w:val="auto"/>
              </w:rPr>
            </w:pPr>
          </w:p>
        </w:tc>
        <w:tc>
          <w:tcPr>
            <w:tcW w:w="2140" w:type="dxa"/>
            <w:vAlign w:val="bottom"/>
            <w:tcBorders>
              <w:bottom w:val="single" w:sz="8" w:color="auto"/>
            </w:tcBorders>
            <w:shd w:val="clear" w:color="auto" w:fill="5591C7"/>
          </w:tcPr>
          <w:p>
            <w:pPr>
              <w:spacing w:after="0"/>
              <w:rPr>
                <w:sz w:val="15"/>
                <w:szCs w:val="15"/>
                <w:color w:val="auto"/>
              </w:rPr>
            </w:pPr>
          </w:p>
        </w:tc>
        <w:tc>
          <w:tcPr>
            <w:tcW w:w="3200" w:type="dxa"/>
            <w:vAlign w:val="bottom"/>
            <w:tcBorders>
              <w:bottom w:val="single" w:sz="8" w:color="auto"/>
            </w:tcBorders>
            <w:gridSpan w:val="2"/>
            <w:shd w:val="clear" w:color="auto" w:fill="5591C7"/>
          </w:tcPr>
          <w:p>
            <w:pPr>
              <w:spacing w:after="0"/>
              <w:rPr>
                <w:sz w:val="20"/>
                <w:szCs w:val="20"/>
                <w:color w:val="auto"/>
              </w:rPr>
            </w:pPr>
            <w:r>
              <w:rPr>
                <w:rFonts w:ascii="Arial" w:cs="Arial" w:eastAsia="Arial" w:hAnsi="Arial"/>
                <w:sz w:val="14"/>
                <w:szCs w:val="14"/>
                <w:b w:val="1"/>
                <w:bCs w:val="1"/>
                <w:color w:val="auto"/>
              </w:rPr>
              <w:t>Revenue Goals</w:t>
            </w:r>
          </w:p>
        </w:tc>
        <w:tc>
          <w:tcPr>
            <w:tcW w:w="0" w:type="dxa"/>
            <w:vAlign w:val="bottom"/>
          </w:tcPr>
          <w:p>
            <w:pPr>
              <w:spacing w:after="0"/>
              <w:rPr>
                <w:sz w:val="1"/>
                <w:szCs w:val="1"/>
                <w:color w:val="auto"/>
              </w:rPr>
            </w:pPr>
          </w:p>
        </w:tc>
      </w:tr>
      <w:tr>
        <w:trPr>
          <w:trHeight w:val="169"/>
        </w:trPr>
        <w:tc>
          <w:tcPr>
            <w:tcW w:w="2760" w:type="dxa"/>
            <w:vAlign w:val="bottom"/>
            <w:shd w:val="clear" w:color="auto" w:fill="5591C7"/>
          </w:tcPr>
          <w:p>
            <w:pPr>
              <w:jc w:val="center"/>
              <w:ind w:left="237"/>
              <w:spacing w:after="0"/>
              <w:rPr>
                <w:sz w:val="20"/>
                <w:szCs w:val="20"/>
                <w:color w:val="auto"/>
              </w:rPr>
            </w:pPr>
            <w:r>
              <w:rPr>
                <w:rFonts w:ascii="Arial" w:cs="Arial" w:eastAsia="Arial" w:hAnsi="Arial"/>
                <w:sz w:val="14"/>
                <w:szCs w:val="14"/>
                <w:b w:val="1"/>
                <w:bCs w:val="1"/>
                <w:color w:val="auto"/>
              </w:rPr>
              <w:t>% of Adjusted EPS</w:t>
            </w:r>
          </w:p>
        </w:tc>
        <w:tc>
          <w:tcPr>
            <w:tcW w:w="3080" w:type="dxa"/>
            <w:vAlign w:val="bottom"/>
            <w:shd w:val="clear" w:color="auto" w:fill="5591C7"/>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shd w:val="clear" w:color="auto" w:fill="5591C7"/>
          </w:tcPr>
          <w:p>
            <w:pPr>
              <w:jc w:val="center"/>
              <w:ind w:left="476"/>
              <w:spacing w:after="0"/>
              <w:rPr>
                <w:sz w:val="20"/>
                <w:szCs w:val="20"/>
                <w:color w:val="auto"/>
              </w:rPr>
            </w:pPr>
            <w:r>
              <w:rPr>
                <w:rFonts w:ascii="Arial" w:cs="Arial" w:eastAsia="Arial" w:hAnsi="Arial"/>
                <w:sz w:val="14"/>
                <w:szCs w:val="14"/>
                <w:b w:val="1"/>
                <w:bCs w:val="1"/>
                <w:color w:val="auto"/>
              </w:rPr>
              <w:t>% of Revenues</w:t>
            </w:r>
          </w:p>
        </w:tc>
        <w:tc>
          <w:tcPr>
            <w:tcW w:w="3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5591C7"/>
          </w:tcPr>
          <w:p>
            <w:pPr>
              <w:jc w:val="center"/>
              <w:ind w:left="237"/>
              <w:spacing w:after="0"/>
              <w:rPr>
                <w:sz w:val="20"/>
                <w:szCs w:val="20"/>
                <w:color w:val="auto"/>
              </w:rPr>
            </w:pPr>
            <w:r>
              <w:rPr>
                <w:rFonts w:ascii="Arial" w:cs="Arial" w:eastAsia="Arial" w:hAnsi="Arial"/>
                <w:sz w:val="14"/>
                <w:szCs w:val="14"/>
                <w:b w:val="1"/>
                <w:bCs w:val="1"/>
                <w:color w:val="auto"/>
              </w:rPr>
              <w:t>Achieved Compared to</w:t>
            </w:r>
          </w:p>
        </w:tc>
        <w:tc>
          <w:tcPr>
            <w:tcW w:w="3080" w:type="dxa"/>
            <w:vAlign w:val="bottom"/>
            <w:shd w:val="clear" w:color="auto" w:fill="5591C7"/>
          </w:tcPr>
          <w:p>
            <w:pPr>
              <w:jc w:val="center"/>
              <w:ind w:left="253"/>
              <w:spacing w:after="0"/>
              <w:rPr>
                <w:sz w:val="20"/>
                <w:szCs w:val="20"/>
                <w:color w:val="auto"/>
              </w:rPr>
            </w:pPr>
            <w:r>
              <w:rPr>
                <w:rFonts w:ascii="Arial" w:cs="Arial" w:eastAsia="Arial" w:hAnsi="Arial"/>
                <w:sz w:val="14"/>
                <w:szCs w:val="14"/>
                <w:b w:val="1"/>
                <w:bCs w:val="1"/>
                <w:color w:val="auto"/>
              </w:rPr>
              <w:t>% of Target Portion</w:t>
            </w:r>
          </w:p>
        </w:tc>
        <w:tc>
          <w:tcPr>
            <w:tcW w:w="240" w:type="dxa"/>
            <w:vAlign w:val="bottom"/>
          </w:tcPr>
          <w:p>
            <w:pPr>
              <w:spacing w:after="0"/>
              <w:rPr>
                <w:sz w:val="14"/>
                <w:szCs w:val="14"/>
                <w:color w:val="auto"/>
              </w:rPr>
            </w:pPr>
          </w:p>
        </w:tc>
        <w:tc>
          <w:tcPr>
            <w:tcW w:w="2140" w:type="dxa"/>
            <w:vAlign w:val="bottom"/>
            <w:shd w:val="clear" w:color="auto" w:fill="5591C7"/>
          </w:tcPr>
          <w:p>
            <w:pPr>
              <w:jc w:val="center"/>
              <w:ind w:left="456"/>
              <w:spacing w:after="0"/>
              <w:rPr>
                <w:sz w:val="20"/>
                <w:szCs w:val="20"/>
                <w:color w:val="auto"/>
              </w:rPr>
            </w:pPr>
            <w:r>
              <w:rPr>
                <w:rFonts w:ascii="Arial" w:cs="Arial" w:eastAsia="Arial" w:hAnsi="Arial"/>
                <w:sz w:val="14"/>
                <w:szCs w:val="14"/>
                <w:b w:val="1"/>
                <w:bCs w:val="1"/>
                <w:color w:val="auto"/>
              </w:rPr>
              <w:t>Achieved Compared to</w:t>
            </w:r>
          </w:p>
        </w:tc>
        <w:tc>
          <w:tcPr>
            <w:tcW w:w="320" w:type="dxa"/>
            <w:vAlign w:val="bottom"/>
            <w:shd w:val="clear" w:color="auto" w:fill="5591C7"/>
          </w:tcPr>
          <w:p>
            <w:pPr>
              <w:spacing w:after="0"/>
              <w:rPr>
                <w:sz w:val="14"/>
                <w:szCs w:val="14"/>
                <w:color w:val="auto"/>
              </w:rPr>
            </w:pPr>
          </w:p>
        </w:tc>
        <w:tc>
          <w:tcPr>
            <w:tcW w:w="2880" w:type="dxa"/>
            <w:vAlign w:val="bottom"/>
            <w:shd w:val="clear" w:color="auto" w:fill="5591C7"/>
          </w:tcPr>
          <w:p>
            <w:pPr>
              <w:jc w:val="center"/>
              <w:ind w:left="174"/>
              <w:spacing w:after="0"/>
              <w:rPr>
                <w:sz w:val="20"/>
                <w:szCs w:val="20"/>
                <w:color w:val="auto"/>
              </w:rPr>
            </w:pPr>
            <w:r>
              <w:rPr>
                <w:rFonts w:ascii="Arial" w:cs="Arial" w:eastAsia="Arial" w:hAnsi="Arial"/>
                <w:sz w:val="14"/>
                <w:szCs w:val="14"/>
                <w:b w:val="1"/>
                <w:bCs w:val="1"/>
                <w:color w:val="auto"/>
              </w:rPr>
              <w:t>% of Target Portion</w:t>
            </w:r>
          </w:p>
        </w:tc>
        <w:tc>
          <w:tcPr>
            <w:tcW w:w="0" w:type="dxa"/>
            <w:vAlign w:val="bottom"/>
          </w:tcPr>
          <w:p>
            <w:pPr>
              <w:spacing w:after="0"/>
              <w:rPr>
                <w:sz w:val="1"/>
                <w:szCs w:val="1"/>
                <w:color w:val="auto"/>
              </w:rPr>
            </w:pPr>
          </w:p>
        </w:tc>
      </w:tr>
      <w:tr>
        <w:trPr>
          <w:trHeight w:val="189"/>
        </w:trPr>
        <w:tc>
          <w:tcPr>
            <w:tcW w:w="2760" w:type="dxa"/>
            <w:vAlign w:val="bottom"/>
            <w:shd w:val="clear" w:color="auto" w:fill="5591C7"/>
          </w:tcPr>
          <w:p>
            <w:pPr>
              <w:jc w:val="center"/>
              <w:ind w:left="257"/>
              <w:spacing w:after="0"/>
              <w:rPr>
                <w:sz w:val="20"/>
                <w:szCs w:val="20"/>
                <w:color w:val="auto"/>
              </w:rPr>
            </w:pPr>
            <w:r>
              <w:rPr>
                <w:rFonts w:ascii="Arial" w:cs="Arial" w:eastAsia="Arial" w:hAnsi="Arial"/>
                <w:sz w:val="14"/>
                <w:szCs w:val="14"/>
                <w:b w:val="1"/>
                <w:bCs w:val="1"/>
                <w:color w:val="auto"/>
              </w:rPr>
              <w:t>Target Goal</w:t>
            </w:r>
          </w:p>
        </w:tc>
        <w:tc>
          <w:tcPr>
            <w:tcW w:w="3080" w:type="dxa"/>
            <w:vAlign w:val="bottom"/>
            <w:shd w:val="clear" w:color="auto" w:fill="5591C7"/>
          </w:tcPr>
          <w:p>
            <w:pPr>
              <w:jc w:val="center"/>
              <w:ind w:left="273"/>
              <w:spacing w:after="0"/>
              <w:rPr>
                <w:sz w:val="20"/>
                <w:szCs w:val="20"/>
                <w:color w:val="auto"/>
              </w:rPr>
            </w:pPr>
            <w:r>
              <w:rPr>
                <w:rFonts w:ascii="Arial" w:cs="Arial" w:eastAsia="Arial" w:hAnsi="Arial"/>
                <w:sz w:val="14"/>
                <w:szCs w:val="14"/>
                <w:b w:val="1"/>
                <w:bCs w:val="1"/>
                <w:color w:val="auto"/>
              </w:rPr>
              <w:t>Funded</w:t>
            </w:r>
          </w:p>
        </w:tc>
        <w:tc>
          <w:tcPr>
            <w:tcW w:w="240" w:type="dxa"/>
            <w:vAlign w:val="bottom"/>
          </w:tcPr>
          <w:p>
            <w:pPr>
              <w:spacing w:after="0"/>
              <w:rPr>
                <w:sz w:val="16"/>
                <w:szCs w:val="16"/>
                <w:color w:val="auto"/>
              </w:rPr>
            </w:pPr>
          </w:p>
        </w:tc>
        <w:tc>
          <w:tcPr>
            <w:tcW w:w="2140" w:type="dxa"/>
            <w:vAlign w:val="bottom"/>
            <w:shd w:val="clear" w:color="auto" w:fill="5591C7"/>
          </w:tcPr>
          <w:p>
            <w:pPr>
              <w:jc w:val="center"/>
              <w:ind w:left="496"/>
              <w:spacing w:after="0"/>
              <w:rPr>
                <w:sz w:val="20"/>
                <w:szCs w:val="20"/>
                <w:color w:val="auto"/>
              </w:rPr>
            </w:pPr>
            <w:r>
              <w:rPr>
                <w:rFonts w:ascii="Arial" w:cs="Arial" w:eastAsia="Arial" w:hAnsi="Arial"/>
                <w:sz w:val="14"/>
                <w:szCs w:val="14"/>
                <w:b w:val="1"/>
                <w:bCs w:val="1"/>
                <w:color w:val="auto"/>
              </w:rPr>
              <w:t>Target Goal</w:t>
            </w:r>
          </w:p>
        </w:tc>
        <w:tc>
          <w:tcPr>
            <w:tcW w:w="320" w:type="dxa"/>
            <w:vAlign w:val="bottom"/>
            <w:shd w:val="clear" w:color="auto" w:fill="5591C7"/>
          </w:tcPr>
          <w:p>
            <w:pPr>
              <w:spacing w:after="0"/>
              <w:rPr>
                <w:sz w:val="16"/>
                <w:szCs w:val="16"/>
                <w:color w:val="auto"/>
              </w:rPr>
            </w:pPr>
          </w:p>
        </w:tc>
        <w:tc>
          <w:tcPr>
            <w:tcW w:w="2880" w:type="dxa"/>
            <w:vAlign w:val="bottom"/>
            <w:shd w:val="clear" w:color="auto" w:fill="5591C7"/>
          </w:tcPr>
          <w:p>
            <w:pPr>
              <w:jc w:val="center"/>
              <w:ind w:left="174"/>
              <w:spacing w:after="0"/>
              <w:rPr>
                <w:sz w:val="20"/>
                <w:szCs w:val="20"/>
                <w:color w:val="auto"/>
              </w:rPr>
            </w:pPr>
            <w:r>
              <w:rPr>
                <w:rFonts w:ascii="Arial" w:cs="Arial" w:eastAsia="Arial" w:hAnsi="Arial"/>
                <w:sz w:val="14"/>
                <w:szCs w:val="14"/>
                <w:b w:val="1"/>
                <w:bCs w:val="1"/>
                <w:color w:val="auto"/>
                <w:w w:val="98"/>
              </w:rPr>
              <w:t>Funded</w:t>
            </w:r>
          </w:p>
        </w:tc>
        <w:tc>
          <w:tcPr>
            <w:tcW w:w="0" w:type="dxa"/>
            <w:vAlign w:val="bottom"/>
          </w:tcPr>
          <w:p>
            <w:pPr>
              <w:spacing w:after="0"/>
              <w:rPr>
                <w:sz w:val="1"/>
                <w:szCs w:val="1"/>
                <w:color w:val="auto"/>
              </w:rPr>
            </w:pPr>
          </w:p>
        </w:tc>
      </w:tr>
      <w:tr>
        <w:trPr>
          <w:trHeight w:val="230"/>
        </w:trPr>
        <w:tc>
          <w:tcPr>
            <w:tcW w:w="2760" w:type="dxa"/>
            <w:vAlign w:val="bottom"/>
            <w:shd w:val="clear" w:color="auto" w:fill="C6D9F1"/>
          </w:tcPr>
          <w:p>
            <w:pPr>
              <w:jc w:val="center"/>
              <w:ind w:left="257"/>
              <w:spacing w:after="0"/>
              <w:rPr>
                <w:sz w:val="20"/>
                <w:szCs w:val="20"/>
                <w:color w:val="auto"/>
              </w:rPr>
            </w:pPr>
            <w:r>
              <w:rPr>
                <w:rFonts w:ascii="Arial" w:cs="Arial" w:eastAsia="Arial" w:hAnsi="Arial"/>
                <w:sz w:val="18"/>
                <w:szCs w:val="18"/>
                <w:color w:val="auto"/>
                <w:w w:val="99"/>
              </w:rPr>
              <w:t>Less than 90%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9"/>
                <w:szCs w:val="19"/>
                <w:color w:val="auto"/>
              </w:rPr>
            </w:pPr>
          </w:p>
        </w:tc>
        <w:tc>
          <w:tcPr>
            <w:tcW w:w="2140" w:type="dxa"/>
            <w:vAlign w:val="bottom"/>
            <w:shd w:val="clear" w:color="auto" w:fill="C6D9F1"/>
          </w:tcPr>
          <w:p>
            <w:pPr>
              <w:jc w:val="center"/>
              <w:ind w:left="496"/>
              <w:spacing w:after="0"/>
              <w:rPr>
                <w:sz w:val="20"/>
                <w:szCs w:val="20"/>
                <w:color w:val="auto"/>
              </w:rPr>
            </w:pPr>
            <w:r>
              <w:rPr>
                <w:rFonts w:ascii="Arial" w:cs="Arial" w:eastAsia="Arial" w:hAnsi="Arial"/>
                <w:sz w:val="18"/>
                <w:szCs w:val="18"/>
                <w:color w:val="auto"/>
              </w:rPr>
              <w:t>Less than 90%</w:t>
            </w:r>
          </w:p>
        </w:tc>
        <w:tc>
          <w:tcPr>
            <w:tcW w:w="320" w:type="dxa"/>
            <w:vAlign w:val="bottom"/>
            <w:shd w:val="clear" w:color="auto" w:fill="C6D9F1"/>
          </w:tcPr>
          <w:p>
            <w:pPr>
              <w:spacing w:after="0"/>
              <w:rPr>
                <w:sz w:val="19"/>
                <w:szCs w:val="19"/>
                <w:color w:val="auto"/>
              </w:rPr>
            </w:pP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760" w:type="dxa"/>
            <w:vAlign w:val="bottom"/>
          </w:tcPr>
          <w:p>
            <w:pPr>
              <w:jc w:val="center"/>
              <w:ind w:left="257"/>
              <w:spacing w:after="0"/>
              <w:rPr>
                <w:sz w:val="20"/>
                <w:szCs w:val="20"/>
                <w:color w:val="auto"/>
              </w:rPr>
            </w:pPr>
            <w:r>
              <w:rPr>
                <w:rFonts w:ascii="Arial" w:cs="Arial" w:eastAsia="Arial" w:hAnsi="Arial"/>
                <w:sz w:val="18"/>
                <w:szCs w:val="18"/>
                <w:color w:val="auto"/>
                <w:w w:val="99"/>
              </w:rPr>
              <w:t>At 90%</w:t>
            </w:r>
          </w:p>
        </w:tc>
        <w:tc>
          <w:tcPr>
            <w:tcW w:w="3080" w:type="dxa"/>
            <w:vAlign w:val="bottom"/>
          </w:tcPr>
          <w:p>
            <w:pPr>
              <w:jc w:val="center"/>
              <w:ind w:left="273"/>
              <w:spacing w:after="0"/>
              <w:rPr>
                <w:sz w:val="20"/>
                <w:szCs w:val="20"/>
                <w:color w:val="auto"/>
              </w:rPr>
            </w:pPr>
            <w:r>
              <w:rPr>
                <w:rFonts w:ascii="Arial" w:cs="Arial" w:eastAsia="Arial" w:hAnsi="Arial"/>
                <w:sz w:val="18"/>
                <w:szCs w:val="18"/>
                <w:color w:val="auto"/>
                <w:w w:val="99"/>
              </w:rPr>
              <w:t>25%</w:t>
            </w:r>
          </w:p>
        </w:tc>
        <w:tc>
          <w:tcPr>
            <w:tcW w:w="240" w:type="dxa"/>
            <w:vAlign w:val="bottom"/>
          </w:tcPr>
          <w:p>
            <w:pPr>
              <w:spacing w:after="0"/>
              <w:rPr>
                <w:sz w:val="19"/>
                <w:szCs w:val="19"/>
                <w:color w:val="auto"/>
              </w:rPr>
            </w:pPr>
          </w:p>
        </w:tc>
        <w:tc>
          <w:tcPr>
            <w:tcW w:w="2140" w:type="dxa"/>
            <w:vAlign w:val="bottom"/>
          </w:tcPr>
          <w:p>
            <w:pPr>
              <w:jc w:val="center"/>
              <w:ind w:left="476"/>
              <w:spacing w:after="0"/>
              <w:rPr>
                <w:sz w:val="20"/>
                <w:szCs w:val="20"/>
                <w:color w:val="auto"/>
              </w:rPr>
            </w:pPr>
            <w:r>
              <w:rPr>
                <w:rFonts w:ascii="Arial" w:cs="Arial" w:eastAsia="Arial" w:hAnsi="Arial"/>
                <w:sz w:val="18"/>
                <w:szCs w:val="18"/>
                <w:color w:val="auto"/>
                <w:w w:val="99"/>
              </w:rPr>
              <w:t>At 90%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2760" w:type="dxa"/>
            <w:vAlign w:val="bottom"/>
            <w:vMerge w:val="restart"/>
            <w:shd w:val="clear" w:color="auto" w:fill="C6D9F1"/>
          </w:tcPr>
          <w:p>
            <w:pPr>
              <w:jc w:val="center"/>
              <w:ind w:left="257"/>
              <w:spacing w:after="0"/>
              <w:rPr>
                <w:sz w:val="20"/>
                <w:szCs w:val="20"/>
                <w:color w:val="auto"/>
              </w:rPr>
            </w:pPr>
            <w:r>
              <w:rPr>
                <w:rFonts w:ascii="Arial" w:cs="Arial" w:eastAsia="Arial" w:hAnsi="Arial"/>
                <w:sz w:val="18"/>
                <w:szCs w:val="18"/>
                <w:color w:val="auto"/>
                <w:w w:val="99"/>
              </w:rPr>
              <w:t>From 90% to 100%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w w:val="99"/>
              </w:rPr>
              <w:t>Linear interpolation from 25% to</w:t>
            </w:r>
          </w:p>
        </w:tc>
        <w:tc>
          <w:tcPr>
            <w:tcW w:w="240" w:type="dxa"/>
            <w:vAlign w:val="bottom"/>
          </w:tcPr>
          <w:p>
            <w:pPr>
              <w:spacing w:after="0"/>
              <w:rPr>
                <w:sz w:val="18"/>
                <w:szCs w:val="18"/>
                <w:color w:val="auto"/>
              </w:rPr>
            </w:pPr>
          </w:p>
        </w:tc>
        <w:tc>
          <w:tcPr>
            <w:tcW w:w="2140" w:type="dxa"/>
            <w:vAlign w:val="bottom"/>
            <w:vMerge w:val="restart"/>
            <w:shd w:val="clear" w:color="auto" w:fill="C6D9F1"/>
          </w:tcPr>
          <w:p>
            <w:pPr>
              <w:jc w:val="center"/>
              <w:ind w:left="476"/>
              <w:spacing w:after="0"/>
              <w:rPr>
                <w:sz w:val="20"/>
                <w:szCs w:val="20"/>
                <w:color w:val="auto"/>
              </w:rPr>
            </w:pPr>
            <w:r>
              <w:rPr>
                <w:rFonts w:ascii="Arial" w:cs="Arial" w:eastAsia="Arial" w:hAnsi="Arial"/>
                <w:sz w:val="18"/>
                <w:szCs w:val="18"/>
                <w:color w:val="auto"/>
                <w:w w:val="99"/>
              </w:rPr>
              <w:t>From 90% to 100%</w:t>
            </w:r>
          </w:p>
        </w:tc>
        <w:tc>
          <w:tcPr>
            <w:tcW w:w="320" w:type="dxa"/>
            <w:vAlign w:val="bottom"/>
            <w:shd w:val="clear" w:color="auto" w:fill="C6D9F1"/>
          </w:tcPr>
          <w:p>
            <w:pPr>
              <w:spacing w:after="0"/>
              <w:rPr>
                <w:sz w:val="18"/>
                <w:szCs w:val="18"/>
                <w:color w:val="auto"/>
              </w:rPr>
            </w:pP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w w:val="99"/>
              </w:rPr>
              <w:t>Linear interpolation from 25% to</w:t>
            </w:r>
          </w:p>
        </w:tc>
        <w:tc>
          <w:tcPr>
            <w:tcW w:w="0" w:type="dxa"/>
            <w:vAlign w:val="bottom"/>
          </w:tcPr>
          <w:p>
            <w:pPr>
              <w:spacing w:after="0"/>
              <w:rPr>
                <w:sz w:val="1"/>
                <w:szCs w:val="1"/>
                <w:color w:val="auto"/>
              </w:rPr>
            </w:pPr>
          </w:p>
        </w:tc>
      </w:tr>
      <w:tr>
        <w:trPr>
          <w:trHeight w:val="109"/>
        </w:trPr>
        <w:tc>
          <w:tcPr>
            <w:tcW w:w="2760" w:type="dxa"/>
            <w:vAlign w:val="bottom"/>
            <w:vMerge w:val="continue"/>
            <w:shd w:val="clear" w:color="auto" w:fill="C6D9F1"/>
          </w:tcPr>
          <w:p>
            <w:pPr>
              <w:spacing w:after="0"/>
              <w:rPr>
                <w:sz w:val="9"/>
                <w:szCs w:val="9"/>
                <w:color w:val="auto"/>
              </w:rPr>
            </w:pPr>
          </w:p>
        </w:tc>
        <w:tc>
          <w:tcPr>
            <w:tcW w:w="3080" w:type="dxa"/>
            <w:vAlign w:val="bottom"/>
            <w:vMerge w:val="restart"/>
            <w:shd w:val="clear" w:color="auto" w:fill="C6D9F1"/>
          </w:tcPr>
          <w:p>
            <w:pPr>
              <w:jc w:val="center"/>
              <w:ind w:left="253"/>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9"/>
                <w:szCs w:val="9"/>
                <w:color w:val="auto"/>
              </w:rPr>
            </w:pPr>
          </w:p>
        </w:tc>
        <w:tc>
          <w:tcPr>
            <w:tcW w:w="2140" w:type="dxa"/>
            <w:vAlign w:val="bottom"/>
            <w:vMerge w:val="continue"/>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restart"/>
            <w:shd w:val="clear" w:color="auto" w:fill="C6D9F1"/>
          </w:tcPr>
          <w:p>
            <w:pPr>
              <w:jc w:val="center"/>
              <w:ind w:left="174"/>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08"/>
        </w:trPr>
        <w:tc>
          <w:tcPr>
            <w:tcW w:w="2760" w:type="dxa"/>
            <w:vAlign w:val="bottom"/>
            <w:shd w:val="clear" w:color="auto" w:fill="C6D9F1"/>
          </w:tcPr>
          <w:p>
            <w:pPr>
              <w:spacing w:after="0"/>
              <w:rPr>
                <w:sz w:val="9"/>
                <w:szCs w:val="9"/>
                <w:color w:val="auto"/>
              </w:rPr>
            </w:pPr>
          </w:p>
        </w:tc>
        <w:tc>
          <w:tcPr>
            <w:tcW w:w="3080" w:type="dxa"/>
            <w:vAlign w:val="bottom"/>
            <w:vMerge w:val="continue"/>
            <w:shd w:val="clear" w:color="auto" w:fill="C6D9F1"/>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ind w:left="277"/>
              <w:spacing w:after="0"/>
              <w:rPr>
                <w:sz w:val="20"/>
                <w:szCs w:val="20"/>
                <w:color w:val="auto"/>
              </w:rPr>
            </w:pPr>
            <w:r>
              <w:rPr>
                <w:rFonts w:ascii="Arial" w:cs="Arial" w:eastAsia="Arial" w:hAnsi="Arial"/>
                <w:sz w:val="18"/>
                <w:szCs w:val="18"/>
                <w:color w:val="auto"/>
                <w:w w:val="99"/>
              </w:rPr>
              <w:t>At 100%</w:t>
            </w:r>
          </w:p>
        </w:tc>
        <w:tc>
          <w:tcPr>
            <w:tcW w:w="3080" w:type="dxa"/>
            <w:vAlign w:val="bottom"/>
          </w:tcPr>
          <w:p>
            <w:pPr>
              <w:jc w:val="center"/>
              <w:ind w:left="253"/>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19"/>
                <w:szCs w:val="19"/>
                <w:color w:val="auto"/>
              </w:rPr>
            </w:pPr>
          </w:p>
        </w:tc>
        <w:tc>
          <w:tcPr>
            <w:tcW w:w="2140" w:type="dxa"/>
            <w:vAlign w:val="bottom"/>
          </w:tcPr>
          <w:p>
            <w:pPr>
              <w:jc w:val="center"/>
              <w:ind w:left="496"/>
              <w:spacing w:after="0"/>
              <w:rPr>
                <w:sz w:val="20"/>
                <w:szCs w:val="20"/>
                <w:color w:val="auto"/>
              </w:rPr>
            </w:pPr>
            <w:r>
              <w:rPr>
                <w:rFonts w:ascii="Arial" w:cs="Arial" w:eastAsia="Arial" w:hAnsi="Arial"/>
                <w:sz w:val="18"/>
                <w:szCs w:val="18"/>
                <w:color w:val="auto"/>
                <w:w w:val="99"/>
              </w:rPr>
              <w:t>At 100%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5"/>
        </w:trPr>
        <w:tc>
          <w:tcPr>
            <w:tcW w:w="2760" w:type="dxa"/>
            <w:vAlign w:val="bottom"/>
            <w:vMerge w:val="restart"/>
            <w:shd w:val="clear" w:color="auto" w:fill="C6D9F1"/>
          </w:tcPr>
          <w:p>
            <w:pPr>
              <w:jc w:val="center"/>
              <w:ind w:left="277"/>
              <w:spacing w:after="0"/>
              <w:rPr>
                <w:sz w:val="20"/>
                <w:szCs w:val="20"/>
                <w:color w:val="auto"/>
              </w:rPr>
            </w:pPr>
            <w:r>
              <w:rPr>
                <w:rFonts w:ascii="Arial" w:cs="Arial" w:eastAsia="Arial" w:hAnsi="Arial"/>
                <w:sz w:val="18"/>
                <w:szCs w:val="18"/>
                <w:color w:val="auto"/>
                <w:w w:val="99"/>
              </w:rPr>
              <w:t>From 100% to 110%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rPr>
              <w:t>Linear interpolation from 100% to</w:t>
            </w:r>
          </w:p>
        </w:tc>
        <w:tc>
          <w:tcPr>
            <w:tcW w:w="240" w:type="dxa"/>
            <w:vAlign w:val="bottom"/>
          </w:tcPr>
          <w:p>
            <w:pPr>
              <w:spacing w:after="0"/>
              <w:rPr>
                <w:sz w:val="18"/>
                <w:szCs w:val="18"/>
                <w:color w:val="auto"/>
              </w:rPr>
            </w:pPr>
          </w:p>
        </w:tc>
        <w:tc>
          <w:tcPr>
            <w:tcW w:w="2460" w:type="dxa"/>
            <w:vAlign w:val="bottom"/>
            <w:gridSpan w:val="2"/>
            <w:vMerge w:val="restart"/>
            <w:shd w:val="clear" w:color="auto" w:fill="C6D9F1"/>
          </w:tcPr>
          <w:p>
            <w:pPr>
              <w:jc w:val="center"/>
              <w:ind w:left="176"/>
              <w:spacing w:after="0"/>
              <w:rPr>
                <w:sz w:val="20"/>
                <w:szCs w:val="20"/>
                <w:color w:val="auto"/>
              </w:rPr>
            </w:pPr>
            <w:r>
              <w:rPr>
                <w:rFonts w:ascii="Arial" w:cs="Arial" w:eastAsia="Arial" w:hAnsi="Arial"/>
                <w:sz w:val="18"/>
                <w:szCs w:val="18"/>
                <w:color w:val="auto"/>
                <w:w w:val="99"/>
              </w:rPr>
              <w:t>From 100% to 110%</w:t>
            </w: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rPr>
              <w:t>Linear interpolation from 100%</w:t>
            </w:r>
          </w:p>
        </w:tc>
        <w:tc>
          <w:tcPr>
            <w:tcW w:w="0" w:type="dxa"/>
            <w:vAlign w:val="bottom"/>
          </w:tcPr>
          <w:p>
            <w:pPr>
              <w:spacing w:after="0"/>
              <w:rPr>
                <w:sz w:val="1"/>
                <w:szCs w:val="1"/>
                <w:color w:val="auto"/>
              </w:rPr>
            </w:pPr>
          </w:p>
        </w:tc>
      </w:tr>
      <w:tr>
        <w:trPr>
          <w:trHeight w:val="109"/>
        </w:trPr>
        <w:tc>
          <w:tcPr>
            <w:tcW w:w="2760" w:type="dxa"/>
            <w:vAlign w:val="bottom"/>
            <w:vMerge w:val="continue"/>
            <w:shd w:val="clear" w:color="auto" w:fill="C6D9F1"/>
          </w:tcPr>
          <w:p>
            <w:pPr>
              <w:spacing w:after="0"/>
              <w:rPr>
                <w:sz w:val="9"/>
                <w:szCs w:val="9"/>
                <w:color w:val="auto"/>
              </w:rPr>
            </w:pPr>
          </w:p>
        </w:tc>
        <w:tc>
          <w:tcPr>
            <w:tcW w:w="3080" w:type="dxa"/>
            <w:vAlign w:val="bottom"/>
            <w:vMerge w:val="restart"/>
            <w:shd w:val="clear" w:color="auto" w:fill="C6D9F1"/>
          </w:tcPr>
          <w:p>
            <w:pPr>
              <w:jc w:val="center"/>
              <w:ind w:left="253"/>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9"/>
                <w:szCs w:val="9"/>
                <w:color w:val="auto"/>
              </w:rPr>
            </w:pPr>
          </w:p>
        </w:tc>
        <w:tc>
          <w:tcPr>
            <w:tcW w:w="2460" w:type="dxa"/>
            <w:vAlign w:val="bottom"/>
            <w:gridSpan w:val="2"/>
            <w:vMerge w:val="continue"/>
            <w:shd w:val="clear" w:color="auto" w:fill="C6D9F1"/>
          </w:tcPr>
          <w:p>
            <w:pPr>
              <w:spacing w:after="0"/>
              <w:rPr>
                <w:sz w:val="9"/>
                <w:szCs w:val="9"/>
                <w:color w:val="auto"/>
              </w:rPr>
            </w:pPr>
          </w:p>
        </w:tc>
        <w:tc>
          <w:tcPr>
            <w:tcW w:w="2880" w:type="dxa"/>
            <w:vAlign w:val="bottom"/>
            <w:vMerge w:val="restart"/>
            <w:shd w:val="clear" w:color="auto" w:fill="C6D9F1"/>
          </w:tcPr>
          <w:p>
            <w:pPr>
              <w:jc w:val="center"/>
              <w:ind w:left="174"/>
              <w:spacing w:after="0"/>
              <w:rPr>
                <w:sz w:val="20"/>
                <w:szCs w:val="20"/>
                <w:color w:val="auto"/>
              </w:rPr>
            </w:pPr>
            <w:r>
              <w:rPr>
                <w:rFonts w:ascii="Arial" w:cs="Arial" w:eastAsia="Arial" w:hAnsi="Arial"/>
                <w:sz w:val="18"/>
                <w:szCs w:val="18"/>
                <w:color w:val="auto"/>
                <w:w w:val="99"/>
              </w:rPr>
              <w:t>to 200%</w:t>
            </w:r>
          </w:p>
        </w:tc>
        <w:tc>
          <w:tcPr>
            <w:tcW w:w="0" w:type="dxa"/>
            <w:vAlign w:val="bottom"/>
          </w:tcPr>
          <w:p>
            <w:pPr>
              <w:spacing w:after="0"/>
              <w:rPr>
                <w:sz w:val="1"/>
                <w:szCs w:val="1"/>
                <w:color w:val="auto"/>
              </w:rPr>
            </w:pPr>
          </w:p>
        </w:tc>
      </w:tr>
      <w:tr>
        <w:trPr>
          <w:trHeight w:val="108"/>
        </w:trPr>
        <w:tc>
          <w:tcPr>
            <w:tcW w:w="2760" w:type="dxa"/>
            <w:vAlign w:val="bottom"/>
            <w:shd w:val="clear" w:color="auto" w:fill="C6D9F1"/>
          </w:tcPr>
          <w:p>
            <w:pPr>
              <w:spacing w:after="0"/>
              <w:rPr>
                <w:sz w:val="9"/>
                <w:szCs w:val="9"/>
                <w:color w:val="auto"/>
              </w:rPr>
            </w:pPr>
          </w:p>
        </w:tc>
        <w:tc>
          <w:tcPr>
            <w:tcW w:w="3080" w:type="dxa"/>
            <w:vAlign w:val="bottom"/>
            <w:vMerge w:val="continue"/>
            <w:shd w:val="clear" w:color="auto" w:fill="C6D9F1"/>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ind w:left="257"/>
              <w:spacing w:after="0"/>
              <w:rPr>
                <w:sz w:val="20"/>
                <w:szCs w:val="20"/>
                <w:color w:val="auto"/>
              </w:rPr>
            </w:pPr>
            <w:r>
              <w:rPr>
                <w:rFonts w:ascii="Arial" w:cs="Arial" w:eastAsia="Arial" w:hAnsi="Arial"/>
                <w:sz w:val="18"/>
                <w:szCs w:val="18"/>
                <w:color w:val="auto"/>
                <w:w w:val="99"/>
              </w:rPr>
              <w:t>Above 110%</w:t>
            </w:r>
          </w:p>
        </w:tc>
        <w:tc>
          <w:tcPr>
            <w:tcW w:w="3080" w:type="dxa"/>
            <w:vAlign w:val="bottom"/>
          </w:tcPr>
          <w:p>
            <w:pPr>
              <w:jc w:val="center"/>
              <w:ind w:left="253"/>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19"/>
                <w:szCs w:val="19"/>
                <w:color w:val="auto"/>
              </w:rPr>
            </w:pPr>
          </w:p>
        </w:tc>
        <w:tc>
          <w:tcPr>
            <w:tcW w:w="2140" w:type="dxa"/>
            <w:vAlign w:val="bottom"/>
          </w:tcPr>
          <w:p>
            <w:pPr>
              <w:jc w:val="center"/>
              <w:ind w:left="476"/>
              <w:spacing w:after="0"/>
              <w:rPr>
                <w:sz w:val="20"/>
                <w:szCs w:val="20"/>
                <w:color w:val="auto"/>
              </w:rPr>
            </w:pPr>
            <w:r>
              <w:rPr>
                <w:rFonts w:ascii="Arial" w:cs="Arial" w:eastAsia="Arial" w:hAnsi="Arial"/>
                <w:sz w:val="18"/>
                <w:szCs w:val="18"/>
                <w:color w:val="auto"/>
                <w:w w:val="99"/>
              </w:rPr>
              <w:t>Above 110%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621"/>
        </w:trPr>
        <w:tc>
          <w:tcPr>
            <w:tcW w:w="27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4" w:right="239" w:bottom="1440" w:gutter="0" w:footer="0" w:header="0"/>
        </w:sectPr>
      </w:pPr>
    </w:p>
    <w:bookmarkStart w:id="38" w:name="page39"/>
    <w:bookmarkEnd w:id="38"/>
    <w:p>
      <w:pPr>
        <w:ind w:left="340" w:right="140" w:firstLine="492"/>
        <w:spacing w:after="0" w:line="246" w:lineRule="auto"/>
        <w:rPr>
          <w:sz w:val="20"/>
          <w:szCs w:val="20"/>
          <w:color w:val="auto"/>
        </w:rPr>
      </w:pPr>
      <w:r>
        <w:rPr>
          <w:rFonts w:ascii="Arial" w:cs="Arial" w:eastAsia="Arial" w:hAnsi="Arial"/>
          <w:sz w:val="18"/>
          <w:szCs w:val="18"/>
          <w:color w:val="auto"/>
        </w:rPr>
        <w:t>In 2015, our Compensation Committee established an Adjusted EPS target of $1.96 and a revenue target of $592 million. Based on our performance during the 2015 fiscal year, we achieved 100% of our Adjusted EPS target, and 102.2% of our revenue target.</w:t>
      </w:r>
    </w:p>
    <w:p>
      <w:pPr>
        <w:spacing w:after="0" w:line="183" w:lineRule="exact"/>
        <w:rPr>
          <w:sz w:val="20"/>
          <w:szCs w:val="20"/>
          <w:color w:val="auto"/>
        </w:rPr>
      </w:pPr>
    </w:p>
    <w:p>
      <w:pPr>
        <w:ind w:left="340" w:right="20" w:firstLine="486"/>
        <w:spacing w:after="0" w:line="246"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65" w:lineRule="exact"/>
        <w:rPr>
          <w:sz w:val="20"/>
          <w:szCs w:val="20"/>
          <w:color w:val="auto"/>
        </w:rPr>
      </w:pPr>
    </w:p>
    <w:p>
      <w:pPr>
        <w:ind w:left="340" w:right="40" w:hanging="332"/>
        <w:spacing w:after="0" w:line="24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Individual Performance Measures</w:t>
      </w:r>
      <w:r>
        <w:rPr>
          <w:rFonts w:ascii="Arial" w:cs="Arial" w:eastAsia="Arial" w:hAnsi="Arial"/>
          <w:sz w:val="18"/>
          <w:szCs w:val="18"/>
          <w:color w:val="auto"/>
        </w:rPr>
        <w:t>. As discussed above, Messrs. Chhibbar and Miglani earn a portion of their respective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certain other goals, such as client and employee satisfaction metrics, are capable of objective measurement. The individual performance measures were generally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2"/>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600" w:type="dxa"/>
            <w:vAlign w:val="bottom"/>
            <w:shd w:val="clear" w:color="auto" w:fill="5591C7"/>
          </w:tcPr>
          <w:p>
            <w:pPr>
              <w:spacing w:after="0"/>
              <w:rPr>
                <w:sz w:val="19"/>
                <w:szCs w:val="19"/>
                <w:color w:val="auto"/>
              </w:rPr>
            </w:pPr>
          </w:p>
        </w:tc>
        <w:tc>
          <w:tcPr>
            <w:tcW w:w="7560" w:type="dxa"/>
            <w:vAlign w:val="bottom"/>
            <w:shd w:val="clear" w:color="auto" w:fill="5591C7"/>
          </w:tcPr>
          <w:p>
            <w:pPr>
              <w:ind w:left="2460"/>
              <w:spacing w:after="0"/>
              <w:rPr>
                <w:sz w:val="20"/>
                <w:szCs w:val="20"/>
                <w:color w:val="auto"/>
              </w:rPr>
            </w:pPr>
            <w:r>
              <w:rPr>
                <w:rFonts w:ascii="Arial" w:cs="Arial" w:eastAsia="Arial" w:hAnsi="Arial"/>
                <w:sz w:val="14"/>
                <w:szCs w:val="14"/>
                <w:b w:val="1"/>
                <w:bCs w:val="1"/>
                <w:color w:val="auto"/>
              </w:rPr>
              <w:t>Individual Performance Goals</w:t>
            </w:r>
          </w:p>
        </w:tc>
      </w:tr>
      <w:tr>
        <w:trPr>
          <w:trHeight w:val="209"/>
        </w:trPr>
        <w:tc>
          <w:tcPr>
            <w:tcW w:w="2500" w:type="dxa"/>
            <w:vAlign w:val="bottom"/>
            <w:tcBorders>
              <w:top w:val="single" w:sz="8" w:color="auto"/>
            </w:tcBorders>
            <w:shd w:val="clear" w:color="auto" w:fill="C6D9F1"/>
          </w:tcPr>
          <w:p>
            <w:pPr>
              <w:ind w:left="100"/>
              <w:spacing w:after="0"/>
              <w:rPr>
                <w:sz w:val="20"/>
                <w:szCs w:val="20"/>
                <w:color w:val="auto"/>
              </w:rPr>
            </w:pPr>
            <w:r>
              <w:rPr>
                <w:rFonts w:ascii="Arial" w:cs="Arial" w:eastAsia="Arial" w:hAnsi="Arial"/>
                <w:sz w:val="18"/>
                <w:szCs w:val="18"/>
                <w:color w:val="auto"/>
              </w:rPr>
              <w:t>Vishal Chhibbar</w:t>
            </w:r>
          </w:p>
        </w:tc>
        <w:tc>
          <w:tcPr>
            <w:tcW w:w="760" w:type="dxa"/>
            <w:vAlign w:val="bottom"/>
            <w:tcBorders>
              <w:top w:val="single" w:sz="8" w:color="C6D9F1"/>
            </w:tcBorders>
            <w:shd w:val="clear" w:color="auto" w:fill="C6D9F1"/>
          </w:tcPr>
          <w:p>
            <w:pPr>
              <w:spacing w:after="0"/>
              <w:rPr>
                <w:sz w:val="18"/>
                <w:szCs w:val="18"/>
                <w:color w:val="auto"/>
              </w:rPr>
            </w:pPr>
          </w:p>
        </w:tc>
        <w:tc>
          <w:tcPr>
            <w:tcW w:w="8160" w:type="dxa"/>
            <w:vAlign w:val="bottom"/>
            <w:tcBorders>
              <w:top w:val="single" w:sz="8" w:color="auto"/>
            </w:tcBorders>
            <w:gridSpan w:val="2"/>
            <w:shd w:val="clear" w:color="auto" w:fill="C6D9F1"/>
          </w:tcPr>
          <w:p>
            <w:pPr>
              <w:ind w:left="440"/>
              <w:spacing w:after="0"/>
              <w:rPr>
                <w:sz w:val="20"/>
                <w:szCs w:val="20"/>
                <w:color w:val="auto"/>
              </w:rPr>
            </w:pPr>
            <w:r>
              <w:rPr>
                <w:rFonts w:ascii="Arial" w:cs="Arial" w:eastAsia="Arial" w:hAnsi="Arial"/>
                <w:sz w:val="18"/>
                <w:szCs w:val="18"/>
                <w:color w:val="auto"/>
              </w:rPr>
              <w:t>·   Achievement of corporate financial targets</w:t>
            </w:r>
          </w:p>
        </w:tc>
      </w:tr>
      <w:tr>
        <w:trPr>
          <w:trHeight w:val="216"/>
        </w:trPr>
        <w:tc>
          <w:tcPr>
            <w:tcW w:w="2500" w:type="dxa"/>
            <w:vAlign w:val="bottom"/>
            <w:shd w:val="clear" w:color="auto" w:fill="C6D9F1"/>
          </w:tcPr>
          <w:p>
            <w:pPr>
              <w:spacing w:after="0"/>
              <w:rPr>
                <w:sz w:val="18"/>
                <w:szCs w:val="18"/>
                <w:color w:val="auto"/>
              </w:rPr>
            </w:pPr>
          </w:p>
        </w:tc>
        <w:tc>
          <w:tcPr>
            <w:tcW w:w="760" w:type="dxa"/>
            <w:vAlign w:val="bottom"/>
            <w:shd w:val="clear" w:color="auto" w:fill="C6D9F1"/>
          </w:tcPr>
          <w:p>
            <w:pPr>
              <w:spacing w:after="0"/>
              <w:rPr>
                <w:sz w:val="18"/>
                <w:szCs w:val="18"/>
                <w:color w:val="auto"/>
              </w:rPr>
            </w:pPr>
          </w:p>
        </w:tc>
        <w:tc>
          <w:tcPr>
            <w:tcW w:w="8160" w:type="dxa"/>
            <w:vAlign w:val="bottom"/>
            <w:gridSpan w:val="2"/>
            <w:shd w:val="clear" w:color="auto" w:fill="C6D9F1"/>
          </w:tcPr>
          <w:p>
            <w:pPr>
              <w:ind w:left="440"/>
              <w:spacing w:after="0"/>
              <w:rPr>
                <w:sz w:val="20"/>
                <w:szCs w:val="20"/>
                <w:color w:val="auto"/>
              </w:rPr>
            </w:pPr>
            <w:r>
              <w:rPr>
                <w:rFonts w:ascii="Arial" w:cs="Arial" w:eastAsia="Arial" w:hAnsi="Arial"/>
                <w:sz w:val="18"/>
                <w:szCs w:val="18"/>
                <w:color w:val="auto"/>
              </w:rPr>
              <w:t>·   Business growth through strategic acquisitions</w:t>
            </w:r>
          </w:p>
        </w:tc>
      </w:tr>
      <w:tr>
        <w:trPr>
          <w:trHeight w:val="216"/>
        </w:trPr>
        <w:tc>
          <w:tcPr>
            <w:tcW w:w="2500" w:type="dxa"/>
            <w:vAlign w:val="bottom"/>
            <w:shd w:val="clear" w:color="auto" w:fill="C6D9F1"/>
          </w:tcPr>
          <w:p>
            <w:pPr>
              <w:spacing w:after="0"/>
              <w:rPr>
                <w:sz w:val="18"/>
                <w:szCs w:val="18"/>
                <w:color w:val="auto"/>
              </w:rPr>
            </w:pPr>
          </w:p>
        </w:tc>
        <w:tc>
          <w:tcPr>
            <w:tcW w:w="760" w:type="dxa"/>
            <w:vAlign w:val="bottom"/>
            <w:shd w:val="clear" w:color="auto" w:fill="C6D9F1"/>
          </w:tcPr>
          <w:p>
            <w:pPr>
              <w:spacing w:after="0"/>
              <w:rPr>
                <w:sz w:val="18"/>
                <w:szCs w:val="18"/>
                <w:color w:val="auto"/>
              </w:rPr>
            </w:pPr>
          </w:p>
        </w:tc>
        <w:tc>
          <w:tcPr>
            <w:tcW w:w="600" w:type="dxa"/>
            <w:vAlign w:val="bottom"/>
            <w:shd w:val="clear" w:color="auto" w:fill="C6D9F1"/>
          </w:tcPr>
          <w:p>
            <w:pPr>
              <w:ind w:left="440"/>
              <w:spacing w:after="0"/>
              <w:rPr>
                <w:sz w:val="20"/>
                <w:szCs w:val="20"/>
                <w:color w:val="auto"/>
              </w:rPr>
            </w:pPr>
            <w:r>
              <w:rPr>
                <w:rFonts w:ascii="Arial" w:cs="Arial" w:eastAsia="Arial" w:hAnsi="Arial"/>
                <w:sz w:val="18"/>
                <w:szCs w:val="18"/>
                <w:color w:val="auto"/>
              </w:rPr>
              <w:t>·</w:t>
            </w:r>
          </w:p>
        </w:tc>
        <w:tc>
          <w:tcPr>
            <w:tcW w:w="7560" w:type="dxa"/>
            <w:vAlign w:val="bottom"/>
            <w:shd w:val="clear" w:color="auto" w:fill="C6D9F1"/>
          </w:tcPr>
          <w:p>
            <w:pPr>
              <w:ind w:left="120"/>
              <w:spacing w:after="0"/>
              <w:rPr>
                <w:sz w:val="20"/>
                <w:szCs w:val="20"/>
                <w:color w:val="auto"/>
              </w:rPr>
            </w:pPr>
            <w:r>
              <w:rPr>
                <w:rFonts w:ascii="Arial" w:cs="Arial" w:eastAsia="Arial" w:hAnsi="Arial"/>
                <w:sz w:val="18"/>
                <w:szCs w:val="18"/>
                <w:color w:val="auto"/>
              </w:rPr>
              <w:t>Capabilities and strategic initiatives with special focus on profitability</w:t>
            </w:r>
          </w:p>
        </w:tc>
      </w:tr>
      <w:tr>
        <w:trPr>
          <w:trHeight w:val="244"/>
        </w:trPr>
        <w:tc>
          <w:tcPr>
            <w:tcW w:w="2500" w:type="dxa"/>
            <w:vAlign w:val="bottom"/>
            <w:shd w:val="clear" w:color="auto" w:fill="C6D9F1"/>
          </w:tcPr>
          <w:p>
            <w:pPr>
              <w:spacing w:after="0"/>
              <w:rPr>
                <w:sz w:val="21"/>
                <w:szCs w:val="21"/>
                <w:color w:val="auto"/>
              </w:rPr>
            </w:pPr>
          </w:p>
        </w:tc>
        <w:tc>
          <w:tcPr>
            <w:tcW w:w="760" w:type="dxa"/>
            <w:vAlign w:val="bottom"/>
            <w:shd w:val="clear" w:color="auto" w:fill="C6D9F1"/>
          </w:tcPr>
          <w:p>
            <w:pPr>
              <w:spacing w:after="0"/>
              <w:rPr>
                <w:sz w:val="21"/>
                <w:szCs w:val="21"/>
                <w:color w:val="auto"/>
              </w:rPr>
            </w:pPr>
          </w:p>
        </w:tc>
        <w:tc>
          <w:tcPr>
            <w:tcW w:w="600" w:type="dxa"/>
            <w:vAlign w:val="bottom"/>
            <w:shd w:val="clear" w:color="auto" w:fill="C6D9F1"/>
          </w:tcPr>
          <w:p>
            <w:pPr>
              <w:ind w:left="440"/>
              <w:spacing w:after="0"/>
              <w:rPr>
                <w:sz w:val="20"/>
                <w:szCs w:val="20"/>
                <w:color w:val="auto"/>
              </w:rPr>
            </w:pPr>
            <w:r>
              <w:rPr>
                <w:rFonts w:ascii="Arial" w:cs="Arial" w:eastAsia="Arial" w:hAnsi="Arial"/>
                <w:sz w:val="18"/>
                <w:szCs w:val="18"/>
                <w:color w:val="auto"/>
              </w:rPr>
              <w:t>·</w:t>
            </w:r>
          </w:p>
        </w:tc>
        <w:tc>
          <w:tcPr>
            <w:tcW w:w="7560" w:type="dxa"/>
            <w:vAlign w:val="bottom"/>
            <w:shd w:val="clear" w:color="auto" w:fill="C6D9F1"/>
          </w:tcPr>
          <w:p>
            <w:pPr>
              <w:ind w:left="120"/>
              <w:spacing w:after="0"/>
              <w:rPr>
                <w:sz w:val="20"/>
                <w:szCs w:val="20"/>
                <w:color w:val="auto"/>
              </w:rPr>
            </w:pPr>
            <w:r>
              <w:rPr>
                <w:rFonts w:ascii="Arial" w:cs="Arial" w:eastAsia="Arial" w:hAnsi="Arial"/>
                <w:sz w:val="18"/>
                <w:szCs w:val="18"/>
                <w:color w:val="auto"/>
              </w:rPr>
              <w:t>Strengthening finance department leadership, organization and operations</w:t>
            </w:r>
          </w:p>
        </w:tc>
      </w:tr>
    </w:tbl>
    <w:p>
      <w:pPr>
        <w:ind w:left="100"/>
        <w:spacing w:after="0"/>
        <w:tabs>
          <w:tab w:leader="none" w:pos="3680" w:val="left"/>
          <w:tab w:leader="none" w:pos="3960" w:val="left"/>
        </w:tabs>
        <w:rPr>
          <w:sz w:val="20"/>
          <w:szCs w:val="20"/>
          <w:color w:val="auto"/>
        </w:rPr>
      </w:pPr>
      <w:r>
        <w:rPr>
          <w:rFonts w:ascii="Arial" w:cs="Arial" w:eastAsia="Arial" w:hAnsi="Arial"/>
          <w:sz w:val="18"/>
          <w:szCs w:val="18"/>
          <w:color w:val="auto"/>
        </w:rPr>
        <w:t>Nalin Miglani</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Build a high performance organization</w:t>
      </w:r>
    </w:p>
    <w:p>
      <w:pPr>
        <w:spacing w:after="0" w:line="22" w:lineRule="exact"/>
        <w:rPr>
          <w:sz w:val="20"/>
          <w:szCs w:val="20"/>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Develop and implement client-based HR program</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Develop and launch purpose and values program</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Build and implement a program to significantly improve sales capabilities</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Build leadership teams of key business units</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Build global HR team</w:t>
      </w:r>
    </w:p>
    <w:p>
      <w:pPr>
        <w:spacing w:after="0" w:line="20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Determination of Individual Performance Achievement.</w:t>
      </w:r>
    </w:p>
    <w:p>
      <w:pPr>
        <w:spacing w:after="0" w:line="230"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Mr. Kapoor made performance assessments and compensation recommendations for Messrs. Chhibbar and Miglani, and our Compensation Committee approved the recommendations after reviewing similar considerations for such named executive officers. For Mr. Chhibbar, our Compensation Committee noted his role in enabling the Company to keep track of all relevant financial metrics, playing a key role in acquisitions, strengthening the finance department’s personnel and procedures and effectively engaging with investors and the broader investment community. For Mr. Miglani, our Compensation Committee noted his role in managing and executing strategic assignments, creating a strong sense of purpose and values, improving employment engagement, enhancing sales effectiveness and executing various initiatives/programs.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9" w:name="page40"/>
    <w:bookmarkEnd w:id="39"/>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Actual Bonus Payments.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out the 2015 incentive bonuses paid to our named executive officers in March 2016.</w:t>
      </w:r>
    </w:p>
    <w:p>
      <w:pPr>
        <w:spacing w:after="0" w:line="199"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900" w:type="dxa"/>
            <w:vAlign w:val="bottom"/>
            <w:shd w:val="clear" w:color="auto" w:fill="5591C7"/>
          </w:tcPr>
          <w:p>
            <w:pPr>
              <w:spacing w:after="0"/>
              <w:rPr>
                <w:sz w:val="14"/>
                <w:szCs w:val="14"/>
                <w:color w:val="auto"/>
              </w:rPr>
            </w:pPr>
          </w:p>
        </w:tc>
        <w:tc>
          <w:tcPr>
            <w:tcW w:w="340" w:type="dxa"/>
            <w:vAlign w:val="bottom"/>
            <w:shd w:val="clear" w:color="auto" w:fill="5591C7"/>
          </w:tcPr>
          <w:p>
            <w:pPr>
              <w:spacing w:after="0"/>
              <w:rPr>
                <w:sz w:val="14"/>
                <w:szCs w:val="14"/>
                <w:color w:val="auto"/>
              </w:rPr>
            </w:pPr>
          </w:p>
        </w:tc>
        <w:tc>
          <w:tcPr>
            <w:tcW w:w="36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Earned 2015</w:t>
            </w:r>
          </w:p>
        </w:tc>
      </w:tr>
      <w:tr>
        <w:trPr>
          <w:trHeight w:val="162"/>
        </w:trPr>
        <w:tc>
          <w:tcPr>
            <w:tcW w:w="2900" w:type="dxa"/>
            <w:vAlign w:val="bottom"/>
            <w:shd w:val="clear" w:color="auto" w:fill="5591C7"/>
          </w:tcPr>
          <w:p>
            <w:pPr>
              <w:spacing w:after="0"/>
              <w:rPr>
                <w:sz w:val="14"/>
                <w:szCs w:val="14"/>
                <w:color w:val="auto"/>
              </w:rPr>
            </w:pPr>
          </w:p>
        </w:tc>
        <w:tc>
          <w:tcPr>
            <w:tcW w:w="340" w:type="dxa"/>
            <w:vAlign w:val="bottom"/>
            <w:shd w:val="clear" w:color="auto" w:fill="5591C7"/>
          </w:tcPr>
          <w:p>
            <w:pPr>
              <w:spacing w:after="0"/>
              <w:rPr>
                <w:sz w:val="14"/>
                <w:szCs w:val="14"/>
                <w:color w:val="auto"/>
              </w:rPr>
            </w:pPr>
          </w:p>
        </w:tc>
        <w:tc>
          <w:tcPr>
            <w:tcW w:w="36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Incentive Bonus</w:t>
            </w:r>
          </w:p>
        </w:tc>
      </w:tr>
      <w:tr>
        <w:trPr>
          <w:trHeight w:val="189"/>
        </w:trPr>
        <w:tc>
          <w:tcPr>
            <w:tcW w:w="2900" w:type="dxa"/>
            <w:vAlign w:val="bottom"/>
            <w:tcBorders>
              <w:bottom w:val="single" w:sz="8" w:color="auto"/>
            </w:tcBorders>
            <w:shd w:val="clear" w:color="auto" w:fill="5591C7"/>
          </w:tcPr>
          <w:p>
            <w:pPr>
              <w:ind w:left="124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6D9F1"/>
            </w:tcBorders>
            <w:shd w:val="clear" w:color="auto" w:fill="5591C7"/>
          </w:tcPr>
          <w:p>
            <w:pPr>
              <w:spacing w:after="0"/>
              <w:rPr>
                <w:sz w:val="16"/>
                <w:szCs w:val="16"/>
                <w:color w:val="auto"/>
              </w:rPr>
            </w:pPr>
          </w:p>
        </w:tc>
        <w:tc>
          <w:tcPr>
            <w:tcW w:w="36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223"/>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Rohit Kapoor</w:t>
            </w:r>
          </w:p>
        </w:tc>
        <w:tc>
          <w:tcPr>
            <w:tcW w:w="3600" w:type="dxa"/>
            <w:vAlign w:val="bottom"/>
            <w:shd w:val="clear" w:color="auto" w:fill="C6D9F1"/>
          </w:tcPr>
          <w:p>
            <w:pPr>
              <w:ind w:left="2800"/>
              <w:spacing w:after="0"/>
              <w:rPr>
                <w:sz w:val="20"/>
                <w:szCs w:val="20"/>
                <w:color w:val="auto"/>
              </w:rPr>
            </w:pPr>
            <w:r>
              <w:rPr>
                <w:rFonts w:ascii="Arial" w:cs="Arial" w:eastAsia="Arial" w:hAnsi="Arial"/>
                <w:sz w:val="18"/>
                <w:szCs w:val="18"/>
                <w:color w:val="auto"/>
              </w:rPr>
              <w:t>621,129</w:t>
            </w:r>
          </w:p>
        </w:tc>
      </w:tr>
      <w:tr>
        <w:trPr>
          <w:trHeight w:val="243"/>
        </w:trPr>
        <w:tc>
          <w:tcPr>
            <w:tcW w:w="3240" w:type="dxa"/>
            <w:vAlign w:val="bottom"/>
            <w:gridSpan w:val="2"/>
          </w:tcPr>
          <w:p>
            <w:pPr>
              <w:ind w:left="100"/>
              <w:spacing w:after="0"/>
              <w:rPr>
                <w:sz w:val="20"/>
                <w:szCs w:val="20"/>
                <w:color w:val="auto"/>
              </w:rPr>
            </w:pPr>
            <w:r>
              <w:rPr>
                <w:rFonts w:ascii="Arial" w:cs="Arial" w:eastAsia="Arial" w:hAnsi="Arial"/>
                <w:sz w:val="18"/>
                <w:szCs w:val="18"/>
                <w:color w:val="auto"/>
              </w:rPr>
              <w:t>Vishal Chhibbar</w:t>
            </w:r>
          </w:p>
        </w:tc>
        <w:tc>
          <w:tcPr>
            <w:tcW w:w="3600" w:type="dxa"/>
            <w:vAlign w:val="bottom"/>
          </w:tcPr>
          <w:p>
            <w:pPr>
              <w:ind w:left="2760"/>
              <w:spacing w:after="0" w:line="243" w:lineRule="exact"/>
              <w:rPr>
                <w:sz w:val="20"/>
                <w:szCs w:val="20"/>
                <w:color w:val="auto"/>
              </w:rPr>
            </w:pPr>
            <w:r>
              <w:rPr>
                <w:rFonts w:ascii="Arial" w:cs="Arial" w:eastAsia="Arial" w:hAnsi="Arial"/>
                <w:sz w:val="17"/>
                <w:szCs w:val="17"/>
                <w:color w:val="auto"/>
                <w:w w:val="97"/>
              </w:rPr>
              <w:t>157,049</w:t>
            </w:r>
            <w:r>
              <w:rPr>
                <w:rFonts w:ascii="Arial" w:cs="Arial" w:eastAsia="Arial" w:hAnsi="Arial"/>
                <w:sz w:val="28"/>
                <w:szCs w:val="28"/>
                <w:color w:val="auto"/>
                <w:w w:val="97"/>
                <w:vertAlign w:val="superscript"/>
              </w:rPr>
              <w:t>(1)</w:t>
            </w:r>
          </w:p>
        </w:tc>
      </w:tr>
      <w:tr>
        <w:trPr>
          <w:trHeight w:val="243"/>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Pavan Bagai</w:t>
            </w:r>
          </w:p>
        </w:tc>
        <w:tc>
          <w:tcPr>
            <w:tcW w:w="3600" w:type="dxa"/>
            <w:vAlign w:val="bottom"/>
            <w:shd w:val="clear" w:color="auto" w:fill="C6D9F1"/>
          </w:tcPr>
          <w:p>
            <w:pPr>
              <w:ind w:left="2760"/>
              <w:spacing w:after="0" w:line="243" w:lineRule="exact"/>
              <w:rPr>
                <w:sz w:val="20"/>
                <w:szCs w:val="20"/>
                <w:color w:val="auto"/>
              </w:rPr>
            </w:pPr>
            <w:r>
              <w:rPr>
                <w:rFonts w:ascii="Arial" w:cs="Arial" w:eastAsia="Arial" w:hAnsi="Arial"/>
                <w:sz w:val="17"/>
                <w:szCs w:val="17"/>
                <w:color w:val="auto"/>
                <w:w w:val="97"/>
              </w:rPr>
              <w:t>246,239</w:t>
            </w:r>
            <w:r>
              <w:rPr>
                <w:rFonts w:ascii="Arial" w:cs="Arial" w:eastAsia="Arial" w:hAnsi="Arial"/>
                <w:sz w:val="28"/>
                <w:szCs w:val="28"/>
                <w:color w:val="auto"/>
                <w:w w:val="97"/>
                <w:vertAlign w:val="superscript"/>
              </w:rPr>
              <w:t>(1)</w:t>
            </w:r>
          </w:p>
        </w:tc>
      </w:tr>
      <w:tr>
        <w:trPr>
          <w:trHeight w:val="230"/>
        </w:trPr>
        <w:tc>
          <w:tcPr>
            <w:tcW w:w="3240" w:type="dxa"/>
            <w:vAlign w:val="bottom"/>
            <w:gridSpan w:val="2"/>
          </w:tcPr>
          <w:p>
            <w:pPr>
              <w:ind w:left="100"/>
              <w:spacing w:after="0"/>
              <w:rPr>
                <w:sz w:val="20"/>
                <w:szCs w:val="20"/>
                <w:color w:val="auto"/>
              </w:rPr>
            </w:pPr>
            <w:r>
              <w:rPr>
                <w:rFonts w:ascii="Arial" w:cs="Arial" w:eastAsia="Arial" w:hAnsi="Arial"/>
                <w:sz w:val="18"/>
                <w:szCs w:val="18"/>
                <w:color w:val="auto"/>
              </w:rPr>
              <w:t>Nalin Miglani</w:t>
            </w:r>
          </w:p>
        </w:tc>
        <w:tc>
          <w:tcPr>
            <w:tcW w:w="3600" w:type="dxa"/>
            <w:vAlign w:val="bottom"/>
          </w:tcPr>
          <w:p>
            <w:pPr>
              <w:ind w:left="2780"/>
              <w:spacing w:after="0"/>
              <w:rPr>
                <w:sz w:val="20"/>
                <w:szCs w:val="20"/>
                <w:color w:val="auto"/>
              </w:rPr>
            </w:pPr>
            <w:r>
              <w:rPr>
                <w:rFonts w:ascii="Arial" w:cs="Arial" w:eastAsia="Arial" w:hAnsi="Arial"/>
                <w:sz w:val="18"/>
                <w:szCs w:val="18"/>
                <w:color w:val="auto"/>
              </w:rPr>
              <w:t>274,840</w:t>
            </w:r>
          </w:p>
        </w:tc>
      </w:tr>
      <w:tr>
        <w:trPr>
          <w:trHeight w:val="230"/>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Henry Schweppe</w:t>
            </w:r>
          </w:p>
        </w:tc>
        <w:tc>
          <w:tcPr>
            <w:tcW w:w="3600" w:type="dxa"/>
            <w:vAlign w:val="bottom"/>
            <w:shd w:val="clear" w:color="auto" w:fill="C6D9F1"/>
          </w:tcPr>
          <w:p>
            <w:pPr>
              <w:ind w:left="2780"/>
              <w:spacing w:after="0"/>
              <w:rPr>
                <w:sz w:val="20"/>
                <w:szCs w:val="20"/>
                <w:color w:val="auto"/>
              </w:rPr>
            </w:pPr>
            <w:r>
              <w:rPr>
                <w:rFonts w:ascii="Arial" w:cs="Arial" w:eastAsia="Arial" w:hAnsi="Arial"/>
                <w:sz w:val="18"/>
                <w:szCs w:val="18"/>
                <w:color w:val="auto"/>
              </w:rPr>
              <w:t>349,385</w:t>
            </w:r>
          </w:p>
        </w:tc>
      </w:tr>
    </w:tbl>
    <w:p>
      <w:pPr>
        <w:spacing w:after="0" w:line="207" w:lineRule="exact"/>
        <w:rPr>
          <w:sz w:val="20"/>
          <w:szCs w:val="20"/>
          <w:color w:val="auto"/>
        </w:rPr>
      </w:pPr>
    </w:p>
    <w:p>
      <w:pPr>
        <w:ind w:left="660" w:right="500" w:hanging="328"/>
        <w:spacing w:after="0" w:line="258"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exchange rate used for the bonus conversion from Indian rupees to U.S. dollars for Messrs. Chhibbar and Bagai was 66.15, which was the exchange rate on December 31,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21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Under our equity compensation program, our executive officers received restricted stock units under the 2015 Amendment and Restatement of the 2006 Omnibus Award Plan (the “2015 Plan”).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120650</wp:posOffset>
            </wp:positionV>
            <wp:extent cx="5574030" cy="591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40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right="220" w:hanging="332"/>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Time-Vested RSUs are subject to Standard Graded vesting – 10% after first year, an additional 20% after second year, an additional 30% after third year and an additional 40% after fourth year (except for Mr. Kapoor, whose restricted stock units will vest in increments of 25% on each of the first four anniversaries of the grant date), subject to continuous service with the Company through the applicable vesting date.</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Committee believes these Time-Vested RSUs provide an important role in promoting retention of our executive officers.</w:t>
      </w:r>
    </w:p>
    <w:p>
      <w:pPr>
        <w:spacing w:after="0" w:line="211"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“Performance-Vested” portion of the 2015 RSUs (“PRSUs”) are split into two types that each vest based on separate performance measures as follows:</w:t>
      </w:r>
    </w:p>
    <w:p>
      <w:pPr>
        <w:spacing w:after="0" w:line="165" w:lineRule="exact"/>
        <w:rPr>
          <w:rFonts w:ascii="Arial" w:cs="Arial" w:eastAsia="Arial" w:hAnsi="Arial"/>
          <w:sz w:val="18"/>
          <w:szCs w:val="18"/>
          <w:color w:val="auto"/>
        </w:rPr>
      </w:pPr>
    </w:p>
    <w:p>
      <w:pPr>
        <w:ind w:left="720" w:hanging="334"/>
        <w:spacing w:after="0" w:line="251" w:lineRule="auto"/>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50% of these performance-based restricted stock unit awards will cliff-vest on December 31 of the third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performance period, subject to achievement of threshold Company revenues against an annual revenue target for such third fiscal year and continuous employment through December 31, 2017 — we call these awards “Revenue-Linked PRSUs.”</w:t>
      </w:r>
    </w:p>
    <w:p>
      <w:pPr>
        <w:spacing w:after="0" w:line="178" w:lineRule="exact"/>
        <w:rPr>
          <w:rFonts w:ascii="Arial" w:cs="Arial" w:eastAsia="Arial" w:hAnsi="Arial"/>
          <w:sz w:val="18"/>
          <w:szCs w:val="18"/>
          <w:color w:val="auto"/>
        </w:rPr>
      </w:pPr>
    </w:p>
    <w:p>
      <w:pPr>
        <w:ind w:left="1300" w:hanging="320"/>
        <w:spacing w:after="0" w:line="238" w:lineRule="auto"/>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For example, the awards granted in February 2015 would cliff-vest on December 31, 2017, subject to achievement of Company revenues against the threshold target for 2017, but up to one-third of the units may be banked based on actual revenue performance for each of 2015 and 2016. The ultimate amount of Revenue-Linked PRSUs that a recipient earns, which may be up to 200% of the target award of Revenue-Linked RSUs, will equal the greater of (x) the Revenue-Linked PRSUs earned based on achievement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40" w:name="page41"/>
    <w:bookmarkEnd w:id="40"/>
    <w:p>
      <w:pPr>
        <w:ind w:left="1292" w:right="520"/>
        <w:spacing w:after="0" w:line="246" w:lineRule="auto"/>
        <w:rPr>
          <w:sz w:val="20"/>
          <w:szCs w:val="20"/>
          <w:color w:val="auto"/>
        </w:rPr>
      </w:pPr>
      <w:r>
        <w:rPr>
          <w:rFonts w:ascii="Arial" w:cs="Arial" w:eastAsia="Arial" w:hAnsi="Arial"/>
          <w:sz w:val="18"/>
          <w:szCs w:val="18"/>
          <w:color w:val="auto"/>
        </w:rPr>
        <w:t>annual revenue target for the third fiscal year of the performance period, and (y) the sum of the banked Revenue-Linked PRSUs earned and banked in the first and second year of the grant.</w:t>
      </w:r>
    </w:p>
    <w:p>
      <w:pPr>
        <w:spacing w:after="0" w:line="183" w:lineRule="exact"/>
        <w:rPr>
          <w:sz w:val="20"/>
          <w:szCs w:val="20"/>
          <w:color w:val="auto"/>
        </w:rPr>
      </w:pPr>
    </w:p>
    <w:p>
      <w:pPr>
        <w:ind w:left="1292" w:right="460" w:hanging="333"/>
        <w:spacing w:after="0" w:line="275" w:lineRule="auto"/>
        <w:tabs>
          <w:tab w:leader="none" w:pos="1292" w:val="left"/>
        </w:tabs>
        <w:numPr>
          <w:ilvl w:val="1"/>
          <w:numId w:val="45"/>
        </w:numPr>
        <w:rPr>
          <w:rFonts w:ascii="Arial" w:cs="Arial" w:eastAsia="Arial" w:hAnsi="Arial"/>
          <w:sz w:val="17"/>
          <w:szCs w:val="17"/>
          <w:color w:val="auto"/>
        </w:rPr>
      </w:pPr>
      <w:r>
        <w:rPr>
          <w:rFonts w:ascii="Arial" w:cs="Arial" w:eastAsia="Arial" w:hAnsi="Arial"/>
          <w:sz w:val="17"/>
          <w:szCs w:val="17"/>
          <w:color w:val="auto"/>
        </w:rPr>
        <w:t>Based on the Company’s performance during fiscal 2015, our executives banked one-third of their 2015 Revenue-Linked PRSUs and one-third of their 2014 Revenue-Linked PRSUs based on exceeding the applicable annual revenue targets.</w:t>
      </w:r>
    </w:p>
    <w:p>
      <w:pPr>
        <w:spacing w:after="0" w:line="159" w:lineRule="exact"/>
        <w:rPr>
          <w:rFonts w:ascii="Arial" w:cs="Arial" w:eastAsia="Arial" w:hAnsi="Arial"/>
          <w:sz w:val="17"/>
          <w:szCs w:val="17"/>
          <w:color w:val="auto"/>
        </w:rPr>
      </w:pPr>
    </w:p>
    <w:p>
      <w:pPr>
        <w:ind w:left="1292" w:right="180" w:hanging="333"/>
        <w:spacing w:after="0" w:line="246" w:lineRule="auto"/>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the Revenue-Linked PRSUs granted in fiscal year 2016, we have removed this banking feature and the Revenue-Linked PRSUs cliff vest on December 31, 2018 if the revenue target is achieved.</w:t>
      </w:r>
    </w:p>
    <w:p>
      <w:pPr>
        <w:spacing w:after="0" w:line="165" w:lineRule="exact"/>
        <w:rPr>
          <w:rFonts w:ascii="Arial" w:cs="Arial" w:eastAsia="Arial" w:hAnsi="Arial"/>
          <w:sz w:val="18"/>
          <w:szCs w:val="18"/>
          <w:color w:val="auto"/>
        </w:rPr>
      </w:pPr>
    </w:p>
    <w:p>
      <w:pPr>
        <w:ind w:left="712" w:hanging="320"/>
        <w:spacing w:after="0" w:line="238"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The remaining 50% of the performance-based restricted stock unit awards cliff-vest on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fiscal year in the performance period, based on the achievement of relative total stockholder return performance of the Company against a peer group over the grant’s three-year performance period of January 1, 2015 to December 31, 2017 and continuous employment through December 31, 2017 — we call these awards “Relative TSR-Linked PRSUs.” The Company’s TSR for the TSR performance period will be computed and then compared to the TSR of the companies in the TSR peer group, which is comprised of the public companies in our 8-digit Global Industry Classification Standard sub-industry group. A participant shall earn 200%, 100% or 0% of the Relative TSR-Linked PRSUs, as applicable, if the Company’s TSR for the performance period equals or exceeds the 80th, 50th or 20th percentile, respectively, of the TSR peer group, when ranked by TSR for the TSR performance period. For the Relative TSR-Linked PRSUs granted in 2015,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191" w:lineRule="exact"/>
        <w:rPr>
          <w:rFonts w:ascii="Arial" w:cs="Arial" w:eastAsia="Arial" w:hAnsi="Arial"/>
          <w:sz w:val="18"/>
          <w:szCs w:val="18"/>
          <w:color w:val="auto"/>
        </w:rPr>
      </w:pPr>
    </w:p>
    <w:p>
      <w:pPr>
        <w:ind w:left="732" w:right="580"/>
        <w:spacing w:after="0" w:line="246" w:lineRule="auto"/>
        <w:rPr>
          <w:rFonts w:ascii="Arial" w:cs="Arial" w:eastAsia="Arial" w:hAnsi="Arial"/>
          <w:sz w:val="18"/>
          <w:szCs w:val="18"/>
          <w:color w:val="auto"/>
        </w:rPr>
      </w:pPr>
      <w:r>
        <w:rPr>
          <w:rFonts w:ascii="Arial" w:cs="Arial" w:eastAsia="Arial" w:hAnsi="Arial"/>
          <w:sz w:val="18"/>
          <w:szCs w:val="18"/>
          <w:color w:val="auto"/>
        </w:rPr>
        <w:t>The percentage of Relative TSR-Linked PRSUs earned will be determined based on straight-line interpolation to the extent the Company’s TSR falls in between the 20th and 80th percentiles, as per the chart below:</w:t>
      </w:r>
    </w:p>
    <w:p>
      <w:pPr>
        <w:spacing w:after="0" w:line="184" w:lineRule="exact"/>
        <w:rPr>
          <w:sz w:val="20"/>
          <w:szCs w:val="20"/>
          <w:color w:val="auto"/>
        </w:rPr>
      </w:pPr>
    </w:p>
    <w:tbl>
      <w:tblPr>
        <w:tblLayout w:type="fixed"/>
        <w:tblInd w:w="1152" w:type="dxa"/>
        <w:tblCellMar>
          <w:top w:w="0" w:type="dxa"/>
          <w:left w:w="0" w:type="dxa"/>
          <w:bottom w:w="0" w:type="dxa"/>
          <w:right w:w="0" w:type="dxa"/>
        </w:tblCellMar>
      </w:tblPr>
      <w:tr>
        <w:trPr>
          <w:trHeight w:val="189"/>
        </w:trPr>
        <w:tc>
          <w:tcPr>
            <w:tcW w:w="3640" w:type="dxa"/>
            <w:vAlign w:val="bottom"/>
            <w:gridSpan w:val="2"/>
            <w:shd w:val="clear" w:color="auto" w:fill="5591C7"/>
          </w:tcPr>
          <w:p>
            <w:pPr>
              <w:jc w:val="center"/>
              <w:ind w:right="240"/>
              <w:spacing w:after="0"/>
              <w:rPr>
                <w:sz w:val="20"/>
                <w:szCs w:val="20"/>
                <w:color w:val="auto"/>
              </w:rPr>
            </w:pPr>
            <w:r>
              <w:rPr>
                <w:rFonts w:ascii="Arial" w:cs="Arial" w:eastAsia="Arial" w:hAnsi="Arial"/>
                <w:sz w:val="14"/>
                <w:szCs w:val="14"/>
                <w:b w:val="1"/>
                <w:bCs w:val="1"/>
                <w:color w:val="auto"/>
              </w:rPr>
              <w:t>TSR Peer Group Percentile</w:t>
            </w:r>
          </w:p>
        </w:tc>
        <w:tc>
          <w:tcPr>
            <w:tcW w:w="5480" w:type="dxa"/>
            <w:vAlign w:val="bottom"/>
            <w:shd w:val="clear" w:color="auto" w:fill="5591C7"/>
          </w:tcPr>
          <w:p>
            <w:pPr>
              <w:ind w:left="1020"/>
              <w:spacing w:after="0"/>
              <w:rPr>
                <w:sz w:val="20"/>
                <w:szCs w:val="20"/>
                <w:color w:val="auto"/>
              </w:rPr>
            </w:pPr>
            <w:r>
              <w:rPr>
                <w:rFonts w:ascii="Arial" w:cs="Arial" w:eastAsia="Arial" w:hAnsi="Arial"/>
                <w:sz w:val="14"/>
                <w:szCs w:val="14"/>
                <w:b w:val="1"/>
                <w:bCs w:val="1"/>
                <w:color w:val="auto"/>
              </w:rPr>
              <w:t>Percentage of Relative TSR-Linked PRSUs Earned</w:t>
            </w:r>
          </w:p>
        </w:tc>
      </w:tr>
      <w:tr>
        <w:trPr>
          <w:trHeight w:val="223"/>
        </w:trPr>
        <w:tc>
          <w:tcPr>
            <w:tcW w:w="340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6"/>
              </w:rPr>
              <w:t>80.0</w:t>
            </w:r>
          </w:p>
        </w:tc>
        <w:tc>
          <w:tcPr>
            <w:tcW w:w="240" w:type="dxa"/>
            <w:vAlign w:val="bottom"/>
            <w:tcBorders>
              <w:top w:val="single" w:sz="8" w:color="C6D9F1"/>
            </w:tcBorders>
            <w:shd w:val="clear" w:color="auto" w:fill="C6D9F1"/>
          </w:tcPr>
          <w:p>
            <w:pPr>
              <w:spacing w:after="0"/>
              <w:rPr>
                <w:sz w:val="19"/>
                <w:szCs w:val="19"/>
                <w:color w:val="auto"/>
              </w:rPr>
            </w:pPr>
          </w:p>
        </w:tc>
        <w:tc>
          <w:tcPr>
            <w:tcW w:w="548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200%</w:t>
            </w:r>
          </w:p>
        </w:tc>
      </w:tr>
      <w:tr>
        <w:trPr>
          <w:trHeight w:val="230"/>
        </w:trPr>
        <w:tc>
          <w:tcPr>
            <w:tcW w:w="3400" w:type="dxa"/>
            <w:vAlign w:val="bottom"/>
          </w:tcPr>
          <w:p>
            <w:pPr>
              <w:jc w:val="center"/>
              <w:spacing w:after="0"/>
              <w:rPr>
                <w:sz w:val="20"/>
                <w:szCs w:val="20"/>
                <w:color w:val="auto"/>
              </w:rPr>
            </w:pPr>
            <w:r>
              <w:rPr>
                <w:rFonts w:ascii="Arial" w:cs="Arial" w:eastAsia="Arial" w:hAnsi="Arial"/>
                <w:sz w:val="18"/>
                <w:szCs w:val="18"/>
                <w:color w:val="auto"/>
                <w:w w:val="96"/>
              </w:rPr>
              <w:t>50.0</w:t>
            </w:r>
          </w:p>
        </w:tc>
        <w:tc>
          <w:tcPr>
            <w:tcW w:w="2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0"/>
        </w:trPr>
        <w:tc>
          <w:tcPr>
            <w:tcW w:w="3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6"/>
              </w:rPr>
              <w:t>20.0</w:t>
            </w:r>
          </w:p>
        </w:tc>
        <w:tc>
          <w:tcPr>
            <w:tcW w:w="240" w:type="dxa"/>
            <w:vAlign w:val="bottom"/>
            <w:shd w:val="clear" w:color="auto" w:fill="C6D9F1"/>
          </w:tcPr>
          <w:p>
            <w:pPr>
              <w:spacing w:after="0"/>
              <w:rPr>
                <w:sz w:val="19"/>
                <w:szCs w:val="19"/>
                <w:color w:val="auto"/>
              </w:rPr>
            </w:pPr>
          </w:p>
        </w:tc>
        <w:tc>
          <w:tcPr>
            <w:tcW w:w="54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ind w:left="332" w:right="120" w:hanging="332"/>
        <w:spacing w:after="0" w:line="246"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believes the PRSUs focus our executives on key drivers of our Company’s business that will ultimately lead to creation of additional stockholder value.</w:t>
      </w:r>
    </w:p>
    <w:p>
      <w:pPr>
        <w:spacing w:after="0" w:line="4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68" w:right="299" w:bottom="1440" w:gutter="0" w:footer="0" w:header="0"/>
        </w:sectPr>
      </w:pPr>
    </w:p>
    <w:bookmarkStart w:id="41" w:name="page42"/>
    <w:bookmarkEnd w:id="41"/>
    <w:p>
      <w:pPr>
        <w:ind w:right="80" w:firstLine="648"/>
        <w:spacing w:after="0"/>
        <w:rPr>
          <w:sz w:val="20"/>
          <w:szCs w:val="20"/>
          <w:color w:val="auto"/>
        </w:rPr>
      </w:pPr>
      <w:r>
        <w:rPr>
          <w:rFonts w:ascii="Arial" w:cs="Arial" w:eastAsia="Arial" w:hAnsi="Arial"/>
          <w:sz w:val="18"/>
          <w:szCs w:val="18"/>
          <w:color w:val="auto"/>
        </w:rPr>
        <w:t>The table below shows the amount of Time-Vested and Performance-Vested RSUs our Compensation Committee awarded our named executive officers in 2015. In general, the Compensation Committee believes that the size of the award granted to an executive officer should increase based on the executive officer’s level of responsibility within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shd w:val="clear" w:color="auto" w:fill="5591C7"/>
          </w:tcPr>
          <w:p>
            <w:pPr>
              <w:spacing w:after="0"/>
              <w:rPr>
                <w:sz w:val="14"/>
                <w:szCs w:val="14"/>
                <w:color w:val="auto"/>
              </w:rPr>
            </w:pPr>
          </w:p>
        </w:tc>
        <w:tc>
          <w:tcPr>
            <w:tcW w:w="480" w:type="dxa"/>
            <w:vAlign w:val="bottom"/>
            <w:shd w:val="clear" w:color="auto" w:fill="5591C7"/>
          </w:tcPr>
          <w:p>
            <w:pPr>
              <w:spacing w:after="0"/>
              <w:rPr>
                <w:sz w:val="14"/>
                <w:szCs w:val="14"/>
                <w:color w:val="auto"/>
              </w:rPr>
            </w:pPr>
          </w:p>
        </w:tc>
        <w:tc>
          <w:tcPr>
            <w:tcW w:w="1800" w:type="dxa"/>
            <w:vAlign w:val="bottom"/>
            <w:shd w:val="clear" w:color="auto" w:fill="5591C7"/>
          </w:tcPr>
          <w:p>
            <w:pPr>
              <w:spacing w:after="0"/>
              <w:rPr>
                <w:sz w:val="14"/>
                <w:szCs w:val="14"/>
                <w:color w:val="auto"/>
              </w:rPr>
            </w:pPr>
          </w:p>
        </w:tc>
        <w:tc>
          <w:tcPr>
            <w:tcW w:w="440" w:type="dxa"/>
            <w:vAlign w:val="bottom"/>
            <w:shd w:val="clear" w:color="auto" w:fill="5591C7"/>
          </w:tcPr>
          <w:p>
            <w:pPr>
              <w:spacing w:after="0"/>
              <w:rPr>
                <w:sz w:val="14"/>
                <w:szCs w:val="14"/>
                <w:color w:val="auto"/>
              </w:rPr>
            </w:pPr>
          </w:p>
        </w:tc>
        <w:tc>
          <w:tcPr>
            <w:tcW w:w="1920" w:type="dxa"/>
            <w:vAlign w:val="bottom"/>
            <w:shd w:val="clear" w:color="auto" w:fill="5591C7"/>
          </w:tcPr>
          <w:p>
            <w:pPr>
              <w:spacing w:after="0"/>
              <w:rPr>
                <w:sz w:val="14"/>
                <w:szCs w:val="14"/>
                <w:color w:val="auto"/>
              </w:rPr>
            </w:pPr>
          </w:p>
        </w:tc>
        <w:tc>
          <w:tcPr>
            <w:tcW w:w="480" w:type="dxa"/>
            <w:vAlign w:val="bottom"/>
            <w:shd w:val="clear" w:color="auto" w:fill="5591C7"/>
          </w:tcPr>
          <w:p>
            <w:pPr>
              <w:spacing w:after="0"/>
              <w:rPr>
                <w:sz w:val="14"/>
                <w:szCs w:val="14"/>
                <w:color w:val="auto"/>
              </w:rPr>
            </w:pPr>
          </w:p>
        </w:tc>
        <w:tc>
          <w:tcPr>
            <w:tcW w:w="1820" w:type="dxa"/>
            <w:vAlign w:val="bottom"/>
            <w:shd w:val="clear" w:color="auto" w:fill="5591C7"/>
          </w:tcPr>
          <w:p>
            <w:pPr>
              <w:spacing w:after="0"/>
              <w:rPr>
                <w:sz w:val="14"/>
                <w:szCs w:val="14"/>
                <w:color w:val="auto"/>
              </w:rPr>
            </w:pPr>
          </w:p>
        </w:tc>
        <w:tc>
          <w:tcPr>
            <w:tcW w:w="460" w:type="dxa"/>
            <w:vAlign w:val="bottom"/>
            <w:shd w:val="clear" w:color="auto" w:fill="5591C7"/>
          </w:tcPr>
          <w:p>
            <w:pPr>
              <w:spacing w:after="0"/>
              <w:rPr>
                <w:sz w:val="14"/>
                <w:szCs w:val="14"/>
                <w:color w:val="auto"/>
              </w:rPr>
            </w:pPr>
          </w:p>
        </w:tc>
        <w:tc>
          <w:tcPr>
            <w:tcW w:w="15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Stock Price</w:t>
            </w:r>
          </w:p>
        </w:tc>
      </w:tr>
      <w:tr>
        <w:trPr>
          <w:trHeight w:val="175"/>
        </w:trPr>
        <w:tc>
          <w:tcPr>
            <w:tcW w:w="2500" w:type="dxa"/>
            <w:vAlign w:val="bottom"/>
            <w:shd w:val="clear" w:color="auto" w:fill="5591C7"/>
          </w:tcPr>
          <w:p>
            <w:pPr>
              <w:spacing w:after="0"/>
              <w:rPr>
                <w:sz w:val="15"/>
                <w:szCs w:val="15"/>
                <w:color w:val="auto"/>
              </w:rPr>
            </w:pPr>
          </w:p>
        </w:tc>
        <w:tc>
          <w:tcPr>
            <w:tcW w:w="480" w:type="dxa"/>
            <w:vAlign w:val="bottom"/>
            <w:shd w:val="clear" w:color="auto" w:fill="5591C7"/>
          </w:tcPr>
          <w:p>
            <w:pPr>
              <w:spacing w:after="0"/>
              <w:rPr>
                <w:sz w:val="15"/>
                <w:szCs w:val="15"/>
                <w:color w:val="auto"/>
              </w:rPr>
            </w:pPr>
          </w:p>
        </w:tc>
        <w:tc>
          <w:tcPr>
            <w:tcW w:w="1800" w:type="dxa"/>
            <w:vAlign w:val="bottom"/>
            <w:shd w:val="clear" w:color="auto" w:fill="5591C7"/>
          </w:tcPr>
          <w:p>
            <w:pPr>
              <w:spacing w:after="0"/>
              <w:rPr>
                <w:sz w:val="15"/>
                <w:szCs w:val="15"/>
                <w:color w:val="auto"/>
              </w:rPr>
            </w:pPr>
          </w:p>
        </w:tc>
        <w:tc>
          <w:tcPr>
            <w:tcW w:w="440" w:type="dxa"/>
            <w:vAlign w:val="bottom"/>
            <w:shd w:val="clear" w:color="auto" w:fill="5591C7"/>
          </w:tcPr>
          <w:p>
            <w:pPr>
              <w:spacing w:after="0"/>
              <w:rPr>
                <w:sz w:val="15"/>
                <w:szCs w:val="15"/>
                <w:color w:val="auto"/>
              </w:rPr>
            </w:pPr>
          </w:p>
        </w:tc>
        <w:tc>
          <w:tcPr>
            <w:tcW w:w="2400" w:type="dxa"/>
            <w:vAlign w:val="bottom"/>
            <w:gridSpan w:val="2"/>
            <w:shd w:val="clear" w:color="auto" w:fill="5591C7"/>
          </w:tcPr>
          <w:p>
            <w:pPr>
              <w:ind w:left="400"/>
              <w:spacing w:after="0"/>
              <w:rPr>
                <w:sz w:val="20"/>
                <w:szCs w:val="20"/>
                <w:color w:val="auto"/>
              </w:rPr>
            </w:pPr>
            <w:r>
              <w:rPr>
                <w:rFonts w:ascii="Arial" w:cs="Arial" w:eastAsia="Arial" w:hAnsi="Arial"/>
                <w:sz w:val="14"/>
                <w:szCs w:val="14"/>
                <w:b w:val="1"/>
                <w:bCs w:val="1"/>
                <w:color w:val="auto"/>
              </w:rPr>
              <w:t>Revenue-Linked</w:t>
            </w:r>
          </w:p>
        </w:tc>
        <w:tc>
          <w:tcPr>
            <w:tcW w:w="2280" w:type="dxa"/>
            <w:vAlign w:val="bottom"/>
            <w:gridSpan w:val="2"/>
            <w:shd w:val="clear" w:color="auto" w:fill="5591C7"/>
          </w:tcPr>
          <w:p>
            <w:pPr>
              <w:ind w:left="440"/>
              <w:spacing w:after="0"/>
              <w:rPr>
                <w:sz w:val="20"/>
                <w:szCs w:val="20"/>
                <w:color w:val="auto"/>
              </w:rPr>
            </w:pPr>
            <w:r>
              <w:rPr>
                <w:rFonts w:ascii="Arial" w:cs="Arial" w:eastAsia="Arial" w:hAnsi="Arial"/>
                <w:sz w:val="14"/>
                <w:szCs w:val="14"/>
                <w:b w:val="1"/>
                <w:bCs w:val="1"/>
                <w:color w:val="auto"/>
              </w:rPr>
              <w:t>Relative TSR-</w:t>
            </w:r>
          </w:p>
        </w:tc>
        <w:tc>
          <w:tcPr>
            <w:tcW w:w="15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203"/>
        </w:trPr>
        <w:tc>
          <w:tcPr>
            <w:tcW w:w="2500" w:type="dxa"/>
            <w:vAlign w:val="bottom"/>
            <w:tcBorders>
              <w:bottom w:val="single" w:sz="8" w:color="auto"/>
            </w:tcBorders>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bottom w:val="single" w:sz="8" w:color="C6D9F1"/>
            </w:tcBorders>
            <w:shd w:val="clear" w:color="auto" w:fill="5591C7"/>
          </w:tcPr>
          <w:p>
            <w:pPr>
              <w:spacing w:after="0"/>
              <w:rPr>
                <w:sz w:val="17"/>
                <w:szCs w:val="17"/>
                <w:color w:val="auto"/>
              </w:rPr>
            </w:pPr>
          </w:p>
        </w:tc>
        <w:tc>
          <w:tcPr>
            <w:tcW w:w="1800" w:type="dxa"/>
            <w:vAlign w:val="bottom"/>
            <w:tcBorders>
              <w:bottom w:val="single" w:sz="8" w:color="auto"/>
            </w:tcBorders>
            <w:shd w:val="clear" w:color="auto" w:fill="5591C7"/>
          </w:tcPr>
          <w:p>
            <w:pPr>
              <w:jc w:val="right"/>
              <w:ind w:right="173"/>
              <w:spacing w:after="0"/>
              <w:rPr>
                <w:sz w:val="20"/>
                <w:szCs w:val="20"/>
                <w:color w:val="auto"/>
              </w:rPr>
            </w:pPr>
            <w:r>
              <w:rPr>
                <w:rFonts w:ascii="Arial" w:cs="Arial" w:eastAsia="Arial" w:hAnsi="Arial"/>
                <w:sz w:val="14"/>
                <w:szCs w:val="14"/>
                <w:b w:val="1"/>
                <w:bCs w:val="1"/>
                <w:color w:val="auto"/>
              </w:rPr>
              <w:t>Time Vested RSUs</w:t>
            </w:r>
          </w:p>
        </w:tc>
        <w:tc>
          <w:tcPr>
            <w:tcW w:w="440" w:type="dxa"/>
            <w:vAlign w:val="bottom"/>
            <w:tcBorders>
              <w:bottom w:val="single" w:sz="8" w:color="C6D9F1"/>
            </w:tcBorders>
            <w:shd w:val="clear" w:color="auto" w:fill="5591C7"/>
          </w:tcPr>
          <w:p>
            <w:pPr>
              <w:spacing w:after="0"/>
              <w:rPr>
                <w:sz w:val="17"/>
                <w:szCs w:val="17"/>
                <w:color w:val="auto"/>
              </w:rPr>
            </w:pPr>
          </w:p>
        </w:tc>
        <w:tc>
          <w:tcPr>
            <w:tcW w:w="1920" w:type="dxa"/>
            <w:vAlign w:val="bottom"/>
            <w:tcBorders>
              <w:bottom w:val="single" w:sz="8" w:color="auto"/>
            </w:tcBorders>
            <w:shd w:val="clear" w:color="auto" w:fill="5591C7"/>
          </w:tcPr>
          <w:p>
            <w:pPr>
              <w:jc w:val="right"/>
              <w:ind w:right="635"/>
              <w:spacing w:after="0"/>
              <w:rPr>
                <w:sz w:val="20"/>
                <w:szCs w:val="20"/>
                <w:color w:val="auto"/>
              </w:rPr>
            </w:pPr>
            <w:r>
              <w:rPr>
                <w:rFonts w:ascii="Arial" w:cs="Arial" w:eastAsia="Arial" w:hAnsi="Arial"/>
                <w:sz w:val="14"/>
                <w:szCs w:val="14"/>
                <w:b w:val="1"/>
                <w:bCs w:val="1"/>
                <w:color w:val="auto"/>
              </w:rPr>
              <w:t>PRSUs</w:t>
            </w:r>
          </w:p>
        </w:tc>
        <w:tc>
          <w:tcPr>
            <w:tcW w:w="480" w:type="dxa"/>
            <w:vAlign w:val="bottom"/>
            <w:tcBorders>
              <w:bottom w:val="single" w:sz="8" w:color="C6D9F1"/>
            </w:tcBorders>
            <w:shd w:val="clear" w:color="auto" w:fill="5591C7"/>
          </w:tcPr>
          <w:p>
            <w:pPr>
              <w:spacing w:after="0"/>
              <w:rPr>
                <w:sz w:val="17"/>
                <w:szCs w:val="17"/>
                <w:color w:val="auto"/>
              </w:rPr>
            </w:pPr>
          </w:p>
        </w:tc>
        <w:tc>
          <w:tcPr>
            <w:tcW w:w="1820" w:type="dxa"/>
            <w:vAlign w:val="bottom"/>
            <w:tcBorders>
              <w:bottom w:val="single" w:sz="8" w:color="auto"/>
            </w:tcBorders>
            <w:shd w:val="clear" w:color="auto" w:fill="5591C7"/>
          </w:tcPr>
          <w:p>
            <w:pPr>
              <w:jc w:val="right"/>
              <w:ind w:right="335"/>
              <w:spacing w:after="0"/>
              <w:rPr>
                <w:sz w:val="20"/>
                <w:szCs w:val="20"/>
                <w:color w:val="auto"/>
              </w:rPr>
            </w:pPr>
            <w:r>
              <w:rPr>
                <w:rFonts w:ascii="Arial" w:cs="Arial" w:eastAsia="Arial" w:hAnsi="Arial"/>
                <w:sz w:val="14"/>
                <w:szCs w:val="14"/>
                <w:b w:val="1"/>
                <w:bCs w:val="1"/>
                <w:color w:val="auto"/>
              </w:rPr>
              <w:t>Linked PRSUs</w:t>
            </w:r>
          </w:p>
        </w:tc>
        <w:tc>
          <w:tcPr>
            <w:tcW w:w="460" w:type="dxa"/>
            <w:vAlign w:val="bottom"/>
            <w:tcBorders>
              <w:bottom w:val="single" w:sz="8" w:color="C6D9F1"/>
            </w:tcBorders>
            <w:shd w:val="clear" w:color="auto" w:fill="5591C7"/>
          </w:tcPr>
          <w:p>
            <w:pPr>
              <w:spacing w:after="0"/>
              <w:rPr>
                <w:sz w:val="17"/>
                <w:szCs w:val="17"/>
                <w:color w:val="auto"/>
              </w:rPr>
            </w:pPr>
          </w:p>
        </w:tc>
        <w:tc>
          <w:tcPr>
            <w:tcW w:w="1520" w:type="dxa"/>
            <w:vAlign w:val="bottom"/>
            <w:tcBorders>
              <w:bottom w:val="single" w:sz="8" w:color="auto"/>
            </w:tcBorders>
            <w:shd w:val="clear" w:color="auto" w:fill="5591C7"/>
          </w:tcPr>
          <w:p>
            <w:pPr>
              <w:jc w:val="center"/>
              <w:spacing w:after="0" w:line="202" w:lineRule="exact"/>
              <w:rPr>
                <w:sz w:val="20"/>
                <w:szCs w:val="20"/>
                <w:color w:val="auto"/>
              </w:rPr>
            </w:pPr>
            <w:r>
              <w:rPr>
                <w:rFonts w:ascii="Arial" w:cs="Arial" w:eastAsia="Arial" w:hAnsi="Arial"/>
                <w:sz w:val="14"/>
                <w:szCs w:val="14"/>
                <w:b w:val="1"/>
                <w:bCs w:val="1"/>
                <w:color w:val="auto"/>
                <w:w w:val="94"/>
              </w:rPr>
              <w:t>Award</w:t>
            </w:r>
            <w:r>
              <w:rPr>
                <w:rFonts w:ascii="Arial" w:cs="Arial" w:eastAsia="Arial" w:hAnsi="Arial"/>
                <w:sz w:val="23"/>
                <w:szCs w:val="23"/>
                <w:b w:val="1"/>
                <w:bCs w:val="1"/>
                <w:color w:val="auto"/>
                <w:w w:val="94"/>
                <w:vertAlign w:val="superscript"/>
              </w:rPr>
              <w:t>(1)</w:t>
            </w:r>
          </w:p>
        </w:tc>
      </w:tr>
      <w:tr>
        <w:trPr>
          <w:trHeight w:val="223"/>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Rohit Kapoor</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37,500</w:t>
            </w:r>
          </w:p>
        </w:tc>
        <w:tc>
          <w:tcPr>
            <w:tcW w:w="440" w:type="dxa"/>
            <w:vAlign w:val="bottom"/>
            <w:shd w:val="clear" w:color="auto" w:fill="C6D9F1"/>
          </w:tcPr>
          <w:p>
            <w:pPr>
              <w:spacing w:after="0"/>
              <w:rPr>
                <w:sz w:val="19"/>
                <w:szCs w:val="19"/>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18,750</w:t>
            </w:r>
          </w:p>
        </w:tc>
        <w:tc>
          <w:tcPr>
            <w:tcW w:w="480" w:type="dxa"/>
            <w:vAlign w:val="bottom"/>
            <w:shd w:val="clear" w:color="auto" w:fill="C6D9F1"/>
          </w:tcPr>
          <w:p>
            <w:pPr>
              <w:spacing w:after="0"/>
              <w:rPr>
                <w:sz w:val="19"/>
                <w:szCs w:val="19"/>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18,750</w:t>
            </w:r>
          </w:p>
        </w:tc>
        <w:tc>
          <w:tcPr>
            <w:tcW w:w="460" w:type="dxa"/>
            <w:vAlign w:val="bottom"/>
            <w:shd w:val="clear" w:color="auto" w:fill="C6D9F1"/>
          </w:tcPr>
          <w:p>
            <w:pPr>
              <w:spacing w:after="0"/>
              <w:rPr>
                <w:sz w:val="19"/>
                <w:szCs w:val="19"/>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100,000</w:t>
            </w:r>
          </w:p>
        </w:tc>
      </w:tr>
      <w:tr>
        <w:trPr>
          <w:trHeight w:val="236"/>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Vishal Chhibbar</w:t>
            </w:r>
          </w:p>
        </w:tc>
        <w:tc>
          <w:tcPr>
            <w:tcW w:w="1800" w:type="dxa"/>
            <w:vAlign w:val="bottom"/>
          </w:tcPr>
          <w:p>
            <w:pPr>
              <w:jc w:val="right"/>
              <w:ind w:right="453"/>
              <w:spacing w:after="0"/>
              <w:rPr>
                <w:sz w:val="20"/>
                <w:szCs w:val="20"/>
                <w:color w:val="auto"/>
              </w:rPr>
            </w:pPr>
            <w:r>
              <w:rPr>
                <w:rFonts w:ascii="Arial" w:cs="Arial" w:eastAsia="Arial" w:hAnsi="Arial"/>
                <w:sz w:val="18"/>
                <w:szCs w:val="18"/>
                <w:color w:val="auto"/>
              </w:rPr>
              <w:t>7,500</w:t>
            </w:r>
          </w:p>
        </w:tc>
        <w:tc>
          <w:tcPr>
            <w:tcW w:w="440" w:type="dxa"/>
            <w:vAlign w:val="bottom"/>
          </w:tcPr>
          <w:p>
            <w:pPr>
              <w:spacing w:after="0"/>
              <w:rPr>
                <w:sz w:val="20"/>
                <w:szCs w:val="20"/>
                <w:color w:val="auto"/>
              </w:rPr>
            </w:pPr>
          </w:p>
        </w:tc>
        <w:tc>
          <w:tcPr>
            <w:tcW w:w="1920" w:type="dxa"/>
            <w:vAlign w:val="bottom"/>
          </w:tcPr>
          <w:p>
            <w:pPr>
              <w:jc w:val="right"/>
              <w:ind w:right="455"/>
              <w:spacing w:after="0"/>
              <w:rPr>
                <w:sz w:val="20"/>
                <w:szCs w:val="20"/>
                <w:color w:val="auto"/>
              </w:rPr>
            </w:pPr>
            <w:r>
              <w:rPr>
                <w:rFonts w:ascii="Arial" w:cs="Arial" w:eastAsia="Arial" w:hAnsi="Arial"/>
                <w:sz w:val="18"/>
                <w:szCs w:val="18"/>
                <w:color w:val="auto"/>
              </w:rPr>
              <w:t>3,750</w:t>
            </w:r>
          </w:p>
        </w:tc>
        <w:tc>
          <w:tcPr>
            <w:tcW w:w="480" w:type="dxa"/>
            <w:vAlign w:val="bottom"/>
          </w:tcPr>
          <w:p>
            <w:pPr>
              <w:spacing w:after="0"/>
              <w:rPr>
                <w:sz w:val="20"/>
                <w:szCs w:val="20"/>
                <w:color w:val="auto"/>
              </w:rPr>
            </w:pPr>
          </w:p>
        </w:tc>
        <w:tc>
          <w:tcPr>
            <w:tcW w:w="1820" w:type="dxa"/>
            <w:vAlign w:val="bottom"/>
          </w:tcPr>
          <w:p>
            <w:pPr>
              <w:jc w:val="right"/>
              <w:ind w:right="455"/>
              <w:spacing w:after="0"/>
              <w:rPr>
                <w:sz w:val="20"/>
                <w:szCs w:val="20"/>
                <w:color w:val="auto"/>
              </w:rPr>
            </w:pPr>
            <w:r>
              <w:rPr>
                <w:rFonts w:ascii="Arial" w:cs="Arial" w:eastAsia="Arial" w:hAnsi="Arial"/>
                <w:sz w:val="18"/>
                <w:szCs w:val="18"/>
                <w:color w:val="auto"/>
              </w:rPr>
              <w:t>3,750</w:t>
            </w:r>
          </w:p>
        </w:tc>
        <w:tc>
          <w:tcPr>
            <w:tcW w:w="46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Pavan Bagai</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6D9F1"/>
          </w:tcPr>
          <w:p>
            <w:pPr>
              <w:spacing w:after="0"/>
              <w:rPr>
                <w:sz w:val="21"/>
                <w:szCs w:val="21"/>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6,250</w:t>
            </w:r>
          </w:p>
        </w:tc>
        <w:tc>
          <w:tcPr>
            <w:tcW w:w="480" w:type="dxa"/>
            <w:vAlign w:val="bottom"/>
            <w:shd w:val="clear" w:color="auto" w:fill="C6D9F1"/>
          </w:tcPr>
          <w:p>
            <w:pPr>
              <w:spacing w:after="0"/>
              <w:rPr>
                <w:sz w:val="21"/>
                <w:szCs w:val="21"/>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6,250</w:t>
            </w:r>
          </w:p>
        </w:tc>
        <w:tc>
          <w:tcPr>
            <w:tcW w:w="460" w:type="dxa"/>
            <w:vAlign w:val="bottom"/>
            <w:shd w:val="clear" w:color="auto" w:fill="C6D9F1"/>
          </w:tcPr>
          <w:p>
            <w:pPr>
              <w:spacing w:after="0"/>
              <w:rPr>
                <w:sz w:val="21"/>
                <w:szCs w:val="21"/>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w:t>
            </w:r>
          </w:p>
        </w:tc>
      </w:tr>
      <w:tr>
        <w:trPr>
          <w:trHeight w:val="236"/>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Nalin Miglani</w:t>
            </w:r>
          </w:p>
        </w:tc>
        <w:tc>
          <w:tcPr>
            <w:tcW w:w="1800" w:type="dxa"/>
            <w:vAlign w:val="bottom"/>
          </w:tcPr>
          <w:p>
            <w:pPr>
              <w:jc w:val="right"/>
              <w:ind w:right="453"/>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20"/>
                <w:szCs w:val="20"/>
                <w:color w:val="auto"/>
              </w:rPr>
            </w:pPr>
          </w:p>
        </w:tc>
        <w:tc>
          <w:tcPr>
            <w:tcW w:w="1920" w:type="dxa"/>
            <w:vAlign w:val="bottom"/>
          </w:tcPr>
          <w:p>
            <w:pPr>
              <w:jc w:val="right"/>
              <w:ind w:right="455"/>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20"/>
                <w:szCs w:val="20"/>
                <w:color w:val="auto"/>
              </w:rPr>
            </w:pPr>
          </w:p>
        </w:tc>
        <w:tc>
          <w:tcPr>
            <w:tcW w:w="1820" w:type="dxa"/>
            <w:vAlign w:val="bottom"/>
          </w:tcPr>
          <w:p>
            <w:pPr>
              <w:jc w:val="right"/>
              <w:ind w:right="455"/>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Henry Schweppe</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7,500</w:t>
            </w:r>
          </w:p>
        </w:tc>
        <w:tc>
          <w:tcPr>
            <w:tcW w:w="440" w:type="dxa"/>
            <w:vAlign w:val="bottom"/>
            <w:shd w:val="clear" w:color="auto" w:fill="C6D9F1"/>
          </w:tcPr>
          <w:p>
            <w:pPr>
              <w:spacing w:after="0"/>
              <w:rPr>
                <w:sz w:val="21"/>
                <w:szCs w:val="21"/>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3,750</w:t>
            </w:r>
          </w:p>
        </w:tc>
        <w:tc>
          <w:tcPr>
            <w:tcW w:w="480" w:type="dxa"/>
            <w:vAlign w:val="bottom"/>
            <w:shd w:val="clear" w:color="auto" w:fill="C6D9F1"/>
          </w:tcPr>
          <w:p>
            <w:pPr>
              <w:spacing w:after="0"/>
              <w:rPr>
                <w:sz w:val="21"/>
                <w:szCs w:val="21"/>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3,750</w:t>
            </w:r>
          </w:p>
        </w:tc>
        <w:tc>
          <w:tcPr>
            <w:tcW w:w="460" w:type="dxa"/>
            <w:vAlign w:val="bottom"/>
            <w:shd w:val="clear" w:color="auto" w:fill="C6D9F1"/>
          </w:tcPr>
          <w:p>
            <w:pPr>
              <w:spacing w:after="0"/>
              <w:rPr>
                <w:sz w:val="21"/>
                <w:szCs w:val="21"/>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w:t>
            </w:r>
          </w:p>
        </w:tc>
      </w:tr>
    </w:tbl>
    <w:p>
      <w:pPr>
        <w:spacing w:after="0" w:line="248" w:lineRule="exact"/>
        <w:rPr>
          <w:sz w:val="20"/>
          <w:szCs w:val="20"/>
          <w:color w:val="auto"/>
        </w:rPr>
      </w:pPr>
    </w:p>
    <w:p>
      <w:pPr>
        <w:ind w:left="740" w:hanging="408"/>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“Mr. Kapoor’s Stock Price Performance Award” below for details regarding this Stock Price Performance Award.</w:t>
      </w:r>
    </w:p>
    <w:p>
      <w:pPr>
        <w:spacing w:after="0" w:line="198"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88"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Moreover, the Committee favors restricted stock unit awards as these awards offer executives the opportunity to receive shares of our common stock on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88"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89"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Mr. Kapoor’s Stock Price Performance Award</w:t>
      </w:r>
    </w:p>
    <w:p>
      <w:pPr>
        <w:spacing w:after="0" w:line="216"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As shown above, Mr. Kapoor received a one-time Stock Price Performance Award of 100,000 restricted stock units in connection with his new employment agreement. Provided that Mr. Kapoor remains continuously employed by the Company through December 31, 2017, he may earn between 0% and 200% of his Stock Price Performance Award pursuant to the chart below:</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264"/>
        </w:trPr>
        <w:tc>
          <w:tcPr>
            <w:tcW w:w="52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Average Stock Price as of December 31, 2017</w:t>
            </w:r>
            <w:r>
              <w:rPr>
                <w:rFonts w:ascii="Arial" w:cs="Arial" w:eastAsia="Arial" w:hAnsi="Arial"/>
                <w:sz w:val="23"/>
                <w:szCs w:val="23"/>
                <w:b w:val="1"/>
                <w:bCs w:val="1"/>
                <w:color w:val="auto"/>
                <w:vertAlign w:val="superscript"/>
              </w:rPr>
              <w:t>(1)</w:t>
            </w:r>
          </w:p>
        </w:tc>
        <w:tc>
          <w:tcPr>
            <w:tcW w:w="380" w:type="dxa"/>
            <w:vAlign w:val="bottom"/>
            <w:tcBorders>
              <w:bottom w:val="single" w:sz="8" w:color="C6D9F1"/>
            </w:tcBorders>
            <w:shd w:val="clear" w:color="auto" w:fill="5591C7"/>
          </w:tcPr>
          <w:p>
            <w:pPr>
              <w:spacing w:after="0"/>
              <w:rPr>
                <w:sz w:val="22"/>
                <w:szCs w:val="22"/>
                <w:color w:val="auto"/>
              </w:rPr>
            </w:pPr>
          </w:p>
        </w:tc>
        <w:tc>
          <w:tcPr>
            <w:tcW w:w="3540" w:type="dxa"/>
            <w:vAlign w:val="bottom"/>
            <w:tcBorders>
              <w:bottom w:val="single" w:sz="8" w:color="auto"/>
            </w:tcBorders>
            <w:shd w:val="clear" w:color="auto" w:fill="5591C7"/>
          </w:tcPr>
          <w:p>
            <w:pPr>
              <w:ind w:left="760"/>
              <w:spacing w:after="0"/>
              <w:rPr>
                <w:sz w:val="20"/>
                <w:szCs w:val="20"/>
                <w:color w:val="auto"/>
              </w:rPr>
            </w:pPr>
            <w:r>
              <w:rPr>
                <w:rFonts w:ascii="Arial" w:cs="Arial" w:eastAsia="Arial" w:hAnsi="Arial"/>
                <w:sz w:val="14"/>
                <w:szCs w:val="14"/>
                <w:b w:val="1"/>
                <w:bCs w:val="1"/>
                <w:color w:val="auto"/>
              </w:rPr>
              <w:t>Vested or Earned Percentage</w:t>
            </w:r>
          </w:p>
        </w:tc>
      </w:tr>
      <w:tr>
        <w:trPr>
          <w:trHeight w:val="223"/>
        </w:trPr>
        <w:tc>
          <w:tcPr>
            <w:tcW w:w="5580" w:type="dxa"/>
            <w:vAlign w:val="bottom"/>
            <w:gridSpan w:val="2"/>
            <w:shd w:val="clear" w:color="auto" w:fill="C6D9F1"/>
          </w:tcPr>
          <w:p>
            <w:pPr>
              <w:jc w:val="center"/>
              <w:ind w:right="400"/>
              <w:spacing w:after="0"/>
              <w:rPr>
                <w:sz w:val="20"/>
                <w:szCs w:val="20"/>
                <w:color w:val="auto"/>
              </w:rPr>
            </w:pPr>
            <w:r>
              <w:rPr>
                <w:rFonts w:ascii="Arial" w:cs="Arial" w:eastAsia="Arial" w:hAnsi="Arial"/>
                <w:sz w:val="18"/>
                <w:szCs w:val="18"/>
                <w:color w:val="auto"/>
                <w:w w:val="99"/>
              </w:rPr>
              <w:t>$50.00 or more</w:t>
            </w:r>
          </w:p>
        </w:tc>
        <w:tc>
          <w:tcPr>
            <w:tcW w:w="35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200%</w:t>
            </w:r>
          </w:p>
        </w:tc>
      </w:tr>
      <w:tr>
        <w:trPr>
          <w:trHeight w:val="236"/>
        </w:trPr>
        <w:tc>
          <w:tcPr>
            <w:tcW w:w="5200" w:type="dxa"/>
            <w:vAlign w:val="bottom"/>
          </w:tcPr>
          <w:p>
            <w:pPr>
              <w:jc w:val="center"/>
              <w:spacing w:after="0"/>
              <w:rPr>
                <w:sz w:val="20"/>
                <w:szCs w:val="20"/>
                <w:color w:val="auto"/>
              </w:rPr>
            </w:pPr>
            <w:r>
              <w:rPr>
                <w:rFonts w:ascii="Arial" w:cs="Arial" w:eastAsia="Arial" w:hAnsi="Arial"/>
                <w:sz w:val="18"/>
                <w:szCs w:val="18"/>
                <w:color w:val="auto"/>
              </w:rPr>
              <w:t>$37.50</w:t>
            </w:r>
          </w:p>
        </w:tc>
        <w:tc>
          <w:tcPr>
            <w:tcW w:w="3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50"/>
        </w:trPr>
        <w:tc>
          <w:tcPr>
            <w:tcW w:w="5580" w:type="dxa"/>
            <w:vAlign w:val="bottom"/>
            <w:gridSpan w:val="2"/>
            <w:shd w:val="clear" w:color="auto" w:fill="C6D9F1"/>
          </w:tcPr>
          <w:p>
            <w:pPr>
              <w:jc w:val="center"/>
              <w:ind w:right="400"/>
              <w:spacing w:after="0"/>
              <w:rPr>
                <w:sz w:val="20"/>
                <w:szCs w:val="20"/>
                <w:color w:val="auto"/>
              </w:rPr>
            </w:pPr>
            <w:r>
              <w:rPr>
                <w:rFonts w:ascii="Arial" w:cs="Arial" w:eastAsia="Arial" w:hAnsi="Arial"/>
                <w:sz w:val="18"/>
                <w:szCs w:val="18"/>
                <w:color w:val="auto"/>
                <w:w w:val="99"/>
              </w:rPr>
              <w:t>Less than $37.50</w:t>
            </w:r>
          </w:p>
        </w:tc>
        <w:tc>
          <w:tcPr>
            <w:tcW w:w="35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0%</w:t>
            </w:r>
          </w:p>
        </w:tc>
      </w:tr>
    </w:tbl>
    <w:p>
      <w:pPr>
        <w:spacing w:after="0" w:line="248" w:lineRule="exact"/>
        <w:rPr>
          <w:sz w:val="20"/>
          <w:szCs w:val="20"/>
          <w:color w:val="auto"/>
        </w:rPr>
      </w:pPr>
    </w:p>
    <w:p>
      <w:pPr>
        <w:ind w:left="2040" w:right="1400" w:hanging="337"/>
        <w:spacing w:after="0" w:line="258" w:lineRule="auto"/>
        <w:tabs>
          <w:tab w:leader="none" w:pos="20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Average stock price is determined based on the fair market value of the Company’s common stock over the 60 calendar days immediately prior to December 31,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threshold/target stock price of $37.50 reflects a 10% annual growth rate over the three-year period from December 31, 2014</w:t>
      </w:r>
    </w:p>
    <w:p>
      <w:pPr>
        <w:spacing w:after="0" w:line="234" w:lineRule="auto"/>
        <w:rPr>
          <w:sz w:val="20"/>
          <w:szCs w:val="20"/>
          <w:color w:val="auto"/>
        </w:rPr>
      </w:pPr>
      <w:r>
        <w:rPr>
          <w:rFonts w:ascii="Arial" w:cs="Arial" w:eastAsia="Arial" w:hAnsi="Arial"/>
          <w:sz w:val="18"/>
          <w:szCs w:val="18"/>
          <w:color w:val="auto"/>
        </w:rPr>
        <w:t>($28.10) to December 31, 2017. The maximum stock price of $50.00 reflects a 21% annual growth rate. If the Company’s average stock price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falls between $37.50 and $50.00, the percentage of restricted stock units earned will be determined based on straight-line interpolation.</w:t>
      </w:r>
    </w:p>
    <w:p>
      <w:pPr>
        <w:spacing w:after="0" w:line="198"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We believe this Stock Price Performance Award further aligns Mr. Kapoor’s interests with those of our stockholders as he may only earn amounts under the award based on specific increases in the Company’s stock price.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and Perquisites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employee benefits coverage in order to:</w:t>
      </w:r>
    </w:p>
    <w:p>
      <w:pPr>
        <w:spacing w:after="0" w:line="19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market-competitive benefits that enhance productivity and job satisfaction through programs that focus on work/life balance.</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Mr. Bagai (and prior to his 2016 relocation to the United States, Mr. Chhibbar), is eligible to participate in the Company’s pension benefit, health and welfare and fringe benefit plans otherwise available to executive employees stationed in India.</w:t>
      </w:r>
    </w:p>
    <w:p>
      <w:pPr>
        <w:spacing w:after="0" w:line="19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generally do not provide significant perquisites or personal benefits to executive officers other than our Vice Chairman and CEO and our executive officers stationed in India. Our Vice Chairman and CEO is provided a limited number of perquisites whose primary purpose is to minimize distractions from his attention to our important initiatives and to be competitive. A discussion of the benefits provided to our Vice Chairman and CEO is provided under “Employment Agreements” beginning on page 46.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Each named executive officer is (or was, in the case of Mr. Schweppe)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2015 Year-End” beginning on page 56.</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92"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Looking Forward to 2016</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Following our redesign of our annual bonus program and our long-term equity incentives in 2014, the Compensation Committee determined to continue these programs as described above in fiscal 2016, subject of course, to new performance goals. Effective April 1, 2016, the Compensation Committee approved a modest increase in base salary for certain of our current executive officers.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the Relative TSR-Linked PRSUs granted in 2016, the Company included a negative TSR cap identical to the cap first implemented in 2015. Under the negative TSR cap, if the total stockholder return is negative over the course of the three year performance period, no named executive officer may receive greater than 100% funding of the TSR-Linked PRSUs.</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Subsequent to fiscal year 2015, we entered into a new employment agreement with Mr. Chhibbar, effective as of January 1, 2016. Under the new agreement, Mr. Chhibbar’s annual base salary will be increased to $400,000, subject to adjustments by the Board as permitted in the agreement, and his target annual cash bonus opportunity will be 60% of his base salary with a maximum of 120% of his base salary. Mr. Chhibbar will continue to remain eligible to receive equity awards at the discretion of the Compensation Committee. In addition, Mr. Chhibbar is entitled to receive up to $100,000 in connection with his relocation from India to New York.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216"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Our Compensation Committee’s general policy is that compensation should qualify as tax deductible to the Company for federal income tax purposes whenever possible, to the extent consistent with our overall compensation goals. Under Section 162(m) of the Code, compensation paid to certain of our named executive officers (other than our chief financial officer) in excess of $1 million per year is not deductible unless the compensation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44" w:name="page45"/>
    <w:bookmarkEnd w:id="44"/>
    <w:p>
      <w:pPr>
        <w:ind w:right="80"/>
        <w:spacing w:after="0" w:line="234" w:lineRule="auto"/>
        <w:rPr>
          <w:sz w:val="20"/>
          <w:szCs w:val="20"/>
          <w:color w:val="auto"/>
        </w:rPr>
      </w:pPr>
      <w:r>
        <w:rPr>
          <w:rFonts w:ascii="Arial" w:cs="Arial" w:eastAsia="Arial" w:hAnsi="Arial"/>
          <w:sz w:val="18"/>
          <w:szCs w:val="18"/>
          <w:color w:val="auto"/>
        </w:rPr>
        <w:t>“performance-based” as described in the regulations under Section 162(m). Compensation is generally “performance-based” if it is determined using pre-established objective formulas and criteria approved by stockholders within the past five years. Compensation awards under our 2015 Plan generally are designed to maximize tax deductibility by satisfying the performance-based compensation exception to</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162(m). Changes in applicable tax laws and regulations as well as factors beyond the control of the Compensation Committee can adversely impact the deductibility of 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9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Our Compensation Committee may make payments that are not fully deductible if, in its judgment, such payments are necessary to achieve our compensation objectives and to protect stockholder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0"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the Annual Meeting.</w:t>
      </w:r>
    </w:p>
    <w:p>
      <w:pPr>
        <w:spacing w:after="0" w:line="1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COMPENSATION COMMITTEE</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Ms. Anne Minto (Chair)</w:t>
      </w:r>
    </w:p>
    <w:p>
      <w:pPr>
        <w:ind w:left="5960"/>
        <w:spacing w:after="0" w:line="234" w:lineRule="auto"/>
        <w:rPr>
          <w:sz w:val="20"/>
          <w:szCs w:val="20"/>
          <w:color w:val="auto"/>
        </w:rPr>
      </w:pPr>
      <w:r>
        <w:rPr>
          <w:rFonts w:ascii="Arial" w:cs="Arial" w:eastAsia="Arial" w:hAnsi="Arial"/>
          <w:sz w:val="18"/>
          <w:szCs w:val="18"/>
          <w:color w:val="auto"/>
        </w:rPr>
        <w:t>Ms. Deborah Kerr</w:t>
      </w:r>
    </w:p>
    <w:p>
      <w:pPr>
        <w:ind w:left="5960"/>
        <w:spacing w:after="0" w:line="235" w:lineRule="auto"/>
        <w:rPr>
          <w:sz w:val="20"/>
          <w:szCs w:val="20"/>
          <w:color w:val="auto"/>
        </w:rPr>
      </w:pPr>
      <w:r>
        <w:rPr>
          <w:rFonts w:ascii="Arial" w:cs="Arial" w:eastAsia="Arial" w:hAnsi="Arial"/>
          <w:sz w:val="18"/>
          <w:szCs w:val="18"/>
          <w:color w:val="auto"/>
        </w:rPr>
        <w:t>Mr. Som Mittal</w:t>
      </w:r>
    </w:p>
    <w:p>
      <w:pPr>
        <w:ind w:left="5960"/>
        <w:spacing w:after="0" w:line="235" w:lineRule="auto"/>
        <w:rPr>
          <w:sz w:val="20"/>
          <w:szCs w:val="20"/>
          <w:color w:val="auto"/>
        </w:rPr>
      </w:pPr>
      <w:r>
        <w:rPr>
          <w:rFonts w:ascii="Arial" w:cs="Arial" w:eastAsia="Arial" w:hAnsi="Arial"/>
          <w:sz w:val="18"/>
          <w:szCs w:val="18"/>
          <w:color w:val="auto"/>
        </w:rPr>
        <w:t>Mr. Clyde W. Ostler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Mr. Garen K. Staglin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Summary Compensation Table for Fiscal Year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compensation earned in fiscal years 2013, 2014 and 2015 by our named executive</w:t>
      </w:r>
    </w:p>
    <w:p>
      <w:pPr>
        <w:spacing w:after="0"/>
        <w:rPr>
          <w:sz w:val="20"/>
          <w:szCs w:val="20"/>
          <w:color w:val="auto"/>
        </w:rPr>
      </w:pPr>
      <w:r>
        <w:rPr>
          <w:rFonts w:ascii="Arial" w:cs="Arial" w:eastAsia="Arial" w:hAnsi="Arial"/>
          <w:sz w:val="18"/>
          <w:szCs w:val="18"/>
          <w:color w:val="auto"/>
        </w:rPr>
        <w:t>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Pension</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Value and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Nonqualified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Deferred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75"/>
        </w:trPr>
        <w:tc>
          <w:tcPr>
            <w:tcW w:w="264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58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110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92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900" w:type="dxa"/>
            <w:vAlign w:val="bottom"/>
            <w:shd w:val="clear" w:color="auto" w:fill="5591C7"/>
          </w:tcPr>
          <w:p>
            <w:pPr>
              <w:spacing w:after="0"/>
              <w:rPr>
                <w:sz w:val="15"/>
                <w:szCs w:val="15"/>
                <w:color w:val="auto"/>
              </w:rPr>
            </w:pPr>
          </w:p>
        </w:tc>
        <w:tc>
          <w:tcPr>
            <w:tcW w:w="120" w:type="dxa"/>
            <w:vAlign w:val="bottom"/>
            <w:shd w:val="clear" w:color="auto" w:fill="5591C7"/>
          </w:tcPr>
          <w:p>
            <w:pPr>
              <w:spacing w:after="0"/>
              <w:rPr>
                <w:sz w:val="15"/>
                <w:szCs w:val="15"/>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Compen-</w:t>
            </w:r>
          </w:p>
        </w:tc>
        <w:tc>
          <w:tcPr>
            <w:tcW w:w="1280" w:type="dxa"/>
            <w:vAlign w:val="bottom"/>
            <w:gridSpan w:val="2"/>
            <w:shd w:val="clear" w:color="auto" w:fill="5591C7"/>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1020" w:type="dxa"/>
            <w:vAlign w:val="bottom"/>
            <w:shd w:val="clear" w:color="auto" w:fill="5591C7"/>
          </w:tcPr>
          <w:p>
            <w:pPr>
              <w:spacing w:after="0"/>
              <w:rPr>
                <w:sz w:val="15"/>
                <w:szCs w:val="15"/>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Compen-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sation</w:t>
            </w:r>
          </w:p>
        </w:tc>
        <w:tc>
          <w:tcPr>
            <w:tcW w:w="1280" w:type="dxa"/>
            <w:vAlign w:val="bottom"/>
            <w:gridSpan w:val="2"/>
            <w:shd w:val="clear" w:color="auto" w:fill="5591C7"/>
          </w:tcPr>
          <w:p>
            <w:pPr>
              <w:jc w:val="center"/>
              <w:ind w:right="380"/>
              <w:spacing w:after="0"/>
              <w:rPr>
                <w:sz w:val="20"/>
                <w:szCs w:val="20"/>
                <w:color w:val="auto"/>
              </w:rPr>
            </w:pPr>
            <w:r>
              <w:rPr>
                <w:rFonts w:ascii="Arial" w:cs="Arial" w:eastAsia="Arial" w:hAnsi="Arial"/>
                <w:sz w:val="14"/>
                <w:szCs w:val="14"/>
                <w:b w:val="1"/>
                <w:bCs w:val="1"/>
                <w:color w:val="auto"/>
              </w:rPr>
              <w:t>Compen-</w:t>
            </w: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ind w:left="980"/>
              <w:spacing w:after="0"/>
              <w:rPr>
                <w:sz w:val="20"/>
                <w:szCs w:val="20"/>
                <w:color w:val="auto"/>
              </w:rPr>
            </w:pPr>
            <w:r>
              <w:rPr>
                <w:rFonts w:ascii="Arial" w:cs="Arial" w:eastAsia="Arial" w:hAnsi="Arial"/>
                <w:sz w:val="14"/>
                <w:szCs w:val="14"/>
                <w:b w:val="1"/>
                <w:bCs w:val="1"/>
                <w:color w:val="auto"/>
              </w:rPr>
              <w:t>Name and</w:t>
            </w: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0" w:type="dxa"/>
            <w:vAlign w:val="bottom"/>
            <w:gridSpan w:val="2"/>
            <w:shd w:val="clear" w:color="auto" w:fill="5591C7"/>
          </w:tcPr>
          <w:p>
            <w:pPr>
              <w:ind w:left="24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shd w:val="clear" w:color="auto" w:fill="5591C7"/>
          </w:tcPr>
          <w:p>
            <w:pPr>
              <w:ind w:left="240"/>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sation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Earnings</w:t>
            </w:r>
          </w:p>
        </w:tc>
        <w:tc>
          <w:tcPr>
            <w:tcW w:w="1280" w:type="dxa"/>
            <w:vAlign w:val="bottom"/>
            <w:gridSpan w:val="2"/>
            <w:shd w:val="clear" w:color="auto" w:fill="5591C7"/>
          </w:tcPr>
          <w:p>
            <w:pPr>
              <w:jc w:val="center"/>
              <w:ind w:right="380"/>
              <w:spacing w:after="0"/>
              <w:rPr>
                <w:sz w:val="20"/>
                <w:szCs w:val="20"/>
                <w:color w:val="auto"/>
              </w:rPr>
            </w:pPr>
            <w:r>
              <w:rPr>
                <w:rFonts w:ascii="Arial" w:cs="Arial" w:eastAsia="Arial" w:hAnsi="Arial"/>
                <w:sz w:val="14"/>
                <w:szCs w:val="14"/>
                <w:b w:val="1"/>
                <w:bCs w:val="1"/>
                <w:color w:val="auto"/>
              </w:rPr>
              <w:t>sation</w:t>
            </w:r>
          </w:p>
        </w:tc>
        <w:tc>
          <w:tcPr>
            <w:tcW w:w="1020" w:type="dxa"/>
            <w:vAlign w:val="bottom"/>
            <w:shd w:val="clear" w:color="auto" w:fill="5591C7"/>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9"/>
        </w:trPr>
        <w:tc>
          <w:tcPr>
            <w:tcW w:w="2640" w:type="dxa"/>
            <w:vAlign w:val="bottom"/>
            <w:shd w:val="clear" w:color="auto" w:fill="5591C7"/>
          </w:tcPr>
          <w:p>
            <w:pPr>
              <w:ind w:left="72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shd w:val="clear" w:color="auto" w:fill="5591C7"/>
          </w:tcPr>
          <w:p>
            <w:pPr>
              <w:spacing w:after="0"/>
              <w:rPr>
                <w:sz w:val="16"/>
                <w:szCs w:val="16"/>
                <w:color w:val="auto"/>
              </w:rPr>
            </w:pPr>
          </w:p>
        </w:tc>
        <w:tc>
          <w:tcPr>
            <w:tcW w:w="58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0" w:type="dxa"/>
            <w:vAlign w:val="bottom"/>
            <w:gridSpan w:val="2"/>
            <w:shd w:val="clear" w:color="auto" w:fill="5591C7"/>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920" w:type="dxa"/>
            <w:vAlign w:val="bottom"/>
            <w:shd w:val="clear" w:color="auto" w:fill="5591C7"/>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90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(3)</w:t>
            </w:r>
          </w:p>
        </w:tc>
        <w:tc>
          <w:tcPr>
            <w:tcW w:w="120" w:type="dxa"/>
            <w:vAlign w:val="bottom"/>
            <w:shd w:val="clear" w:color="auto" w:fill="5591C7"/>
          </w:tcPr>
          <w:p>
            <w:pPr>
              <w:spacing w:after="0"/>
              <w:rPr>
                <w:sz w:val="16"/>
                <w:szCs w:val="16"/>
                <w:color w:val="auto"/>
              </w:rPr>
            </w:pPr>
          </w:p>
        </w:tc>
        <w:tc>
          <w:tcPr>
            <w:tcW w:w="112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100" w:type="dxa"/>
            <w:vAlign w:val="bottom"/>
            <w:shd w:val="clear" w:color="auto" w:fill="5591C7"/>
          </w:tcPr>
          <w:p>
            <w:pPr>
              <w:spacing w:after="0"/>
              <w:rPr>
                <w:sz w:val="16"/>
                <w:szCs w:val="16"/>
                <w:color w:val="auto"/>
              </w:rPr>
            </w:pPr>
          </w:p>
        </w:tc>
        <w:tc>
          <w:tcPr>
            <w:tcW w:w="114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(5)</w:t>
            </w:r>
          </w:p>
        </w:tc>
        <w:tc>
          <w:tcPr>
            <w:tcW w:w="100" w:type="dxa"/>
            <w:vAlign w:val="bottom"/>
            <w:shd w:val="clear" w:color="auto" w:fill="5591C7"/>
          </w:tcPr>
          <w:p>
            <w:pPr>
              <w:spacing w:after="0"/>
              <w:rPr>
                <w:sz w:val="16"/>
                <w:szCs w:val="16"/>
                <w:color w:val="auto"/>
              </w:rPr>
            </w:pPr>
          </w:p>
        </w:tc>
        <w:tc>
          <w:tcPr>
            <w:tcW w:w="1180" w:type="dxa"/>
            <w:vAlign w:val="bottom"/>
            <w:shd w:val="clear" w:color="auto" w:fill="5591C7"/>
          </w:tcPr>
          <w:p>
            <w:pPr>
              <w:jc w:val="center"/>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1020" w:type="dxa"/>
            <w:vAlign w:val="bottom"/>
            <w:shd w:val="clear" w:color="auto" w:fill="5591C7"/>
          </w:tcPr>
          <w:p>
            <w:pPr>
              <w:jc w:val="right"/>
              <w:ind w:right="392"/>
              <w:spacing w:after="0"/>
              <w:rPr>
                <w:sz w:val="20"/>
                <w:szCs w:val="20"/>
                <w:color w:val="auto"/>
              </w:rPr>
            </w:pPr>
            <w:r>
              <w:rPr>
                <w:rFonts w:ascii="Arial" w:cs="Arial" w:eastAsia="Arial" w:hAnsi="Arial"/>
                <w:sz w:val="14"/>
                <w:szCs w:val="14"/>
                <w:b w:val="1"/>
                <w:bCs w:val="1"/>
                <w:color w:val="auto"/>
              </w:rPr>
              <w:t>($)</w:t>
            </w:r>
          </w:p>
        </w:tc>
      </w:tr>
      <w:tr>
        <w:trPr>
          <w:trHeight w:val="196"/>
        </w:trPr>
        <w:tc>
          <w:tcPr>
            <w:tcW w:w="2640" w:type="dxa"/>
            <w:vAlign w:val="bottom"/>
            <w:tcBorders>
              <w:top w:val="single" w:sz="8" w:color="auto"/>
            </w:tcBorders>
            <w:shd w:val="clear" w:color="auto" w:fill="C6D9F1"/>
          </w:tcPr>
          <w:p>
            <w:pPr>
              <w:spacing w:after="0" w:line="196" w:lineRule="exact"/>
              <w:rPr>
                <w:sz w:val="20"/>
                <w:szCs w:val="20"/>
                <w:color w:val="auto"/>
              </w:rPr>
            </w:pPr>
            <w:r>
              <w:rPr>
                <w:rFonts w:ascii="Arial" w:cs="Arial" w:eastAsia="Arial" w:hAnsi="Arial"/>
                <w:sz w:val="18"/>
                <w:szCs w:val="18"/>
                <w:b w:val="1"/>
                <w:bCs w:val="1"/>
                <w:color w:val="auto"/>
              </w:rPr>
              <w:t>Rohit Kapoor</w:t>
            </w:r>
          </w:p>
        </w:tc>
        <w:tc>
          <w:tcPr>
            <w:tcW w:w="100" w:type="dxa"/>
            <w:vAlign w:val="bottom"/>
            <w:tcBorders>
              <w:top w:val="single" w:sz="8" w:color="C6D9F1"/>
            </w:tcBorders>
            <w:shd w:val="clear" w:color="auto" w:fill="C6D9F1"/>
          </w:tcPr>
          <w:p>
            <w:pPr>
              <w:spacing w:after="0"/>
              <w:rPr>
                <w:sz w:val="17"/>
                <w:szCs w:val="17"/>
                <w:color w:val="auto"/>
              </w:rPr>
            </w:pPr>
          </w:p>
        </w:tc>
        <w:tc>
          <w:tcPr>
            <w:tcW w:w="58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w w:val="99"/>
              </w:rPr>
              <w:t>2015</w:t>
            </w:r>
          </w:p>
        </w:tc>
        <w:tc>
          <w:tcPr>
            <w:tcW w:w="100" w:type="dxa"/>
            <w:vAlign w:val="bottom"/>
            <w:tcBorders>
              <w:top w:val="single" w:sz="8" w:color="C6D9F1"/>
            </w:tcBorders>
            <w:shd w:val="clear" w:color="auto" w:fill="C6D9F1"/>
          </w:tcPr>
          <w:p>
            <w:pPr>
              <w:spacing w:after="0"/>
              <w:rPr>
                <w:sz w:val="17"/>
                <w:szCs w:val="17"/>
                <w:color w:val="auto"/>
              </w:rPr>
            </w:pPr>
          </w:p>
        </w:tc>
        <w:tc>
          <w:tcPr>
            <w:tcW w:w="1100" w:type="dxa"/>
            <w:vAlign w:val="bottom"/>
            <w:tcBorders>
              <w:top w:val="single" w:sz="8" w:color="auto"/>
            </w:tcBorders>
            <w:shd w:val="clear" w:color="auto" w:fill="C6D9F1"/>
          </w:tcPr>
          <w:p>
            <w:pPr>
              <w:jc w:val="right"/>
              <w:ind w:right="113"/>
              <w:spacing w:after="0" w:line="196" w:lineRule="exact"/>
              <w:rPr>
                <w:sz w:val="20"/>
                <w:szCs w:val="20"/>
                <w:color w:val="auto"/>
              </w:rPr>
            </w:pPr>
            <w:r>
              <w:rPr>
                <w:rFonts w:ascii="Arial" w:cs="Arial" w:eastAsia="Arial" w:hAnsi="Arial"/>
                <w:sz w:val="18"/>
                <w:szCs w:val="18"/>
                <w:color w:val="auto"/>
              </w:rPr>
              <w:t>600,000</w:t>
            </w:r>
          </w:p>
        </w:tc>
        <w:tc>
          <w:tcPr>
            <w:tcW w:w="100" w:type="dxa"/>
            <w:vAlign w:val="bottom"/>
            <w:tcBorders>
              <w:top w:val="single" w:sz="8" w:color="C6D9F1"/>
            </w:tcBorders>
            <w:shd w:val="clear" w:color="auto" w:fill="C6D9F1"/>
          </w:tcPr>
          <w:p>
            <w:pPr>
              <w:spacing w:after="0"/>
              <w:rPr>
                <w:sz w:val="17"/>
                <w:szCs w:val="17"/>
                <w:color w:val="auto"/>
              </w:rPr>
            </w:pPr>
          </w:p>
        </w:tc>
        <w:tc>
          <w:tcPr>
            <w:tcW w:w="920" w:type="dxa"/>
            <w:vAlign w:val="bottom"/>
            <w:tcBorders>
              <w:top w:val="single" w:sz="8" w:color="auto"/>
            </w:tcBorders>
            <w:shd w:val="clear" w:color="auto" w:fill="C6D9F1"/>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6D9F1"/>
            </w:tcBorders>
            <w:shd w:val="clear" w:color="auto" w:fill="C6D9F1"/>
          </w:tcPr>
          <w:p>
            <w:pPr>
              <w:spacing w:after="0"/>
              <w:rPr>
                <w:sz w:val="17"/>
                <w:szCs w:val="17"/>
                <w:color w:val="auto"/>
              </w:rPr>
            </w:pPr>
          </w:p>
        </w:tc>
        <w:tc>
          <w:tcPr>
            <w:tcW w:w="90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6,119,000</w:t>
            </w:r>
          </w:p>
        </w:tc>
        <w:tc>
          <w:tcPr>
            <w:tcW w:w="120" w:type="dxa"/>
            <w:vAlign w:val="bottom"/>
            <w:tcBorders>
              <w:top w:val="single" w:sz="8" w:color="C6D9F1"/>
            </w:tcBorders>
            <w:shd w:val="clear" w:color="auto" w:fill="C6D9F1"/>
          </w:tcPr>
          <w:p>
            <w:pPr>
              <w:spacing w:after="0"/>
              <w:rPr>
                <w:sz w:val="17"/>
                <w:szCs w:val="17"/>
                <w:color w:val="auto"/>
              </w:rPr>
            </w:pPr>
          </w:p>
        </w:tc>
        <w:tc>
          <w:tcPr>
            <w:tcW w:w="112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621,129</w:t>
            </w:r>
          </w:p>
        </w:tc>
        <w:tc>
          <w:tcPr>
            <w:tcW w:w="100" w:type="dxa"/>
            <w:vAlign w:val="bottom"/>
            <w:tcBorders>
              <w:top w:val="single" w:sz="8" w:color="C6D9F1"/>
            </w:tcBorders>
            <w:shd w:val="clear" w:color="auto" w:fill="C6D9F1"/>
          </w:tcPr>
          <w:p>
            <w:pPr>
              <w:spacing w:after="0"/>
              <w:rPr>
                <w:sz w:val="17"/>
                <w:szCs w:val="17"/>
                <w:color w:val="auto"/>
              </w:rPr>
            </w:pPr>
          </w:p>
        </w:tc>
        <w:tc>
          <w:tcPr>
            <w:tcW w:w="1140" w:type="dxa"/>
            <w:vAlign w:val="bottom"/>
            <w:tcBorders>
              <w:top w:val="single" w:sz="8" w:color="auto"/>
            </w:tcBorders>
            <w:shd w:val="clear" w:color="auto" w:fill="C6D9F1"/>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6D9F1"/>
            </w:tcBorders>
            <w:shd w:val="clear" w:color="auto" w:fill="C6D9F1"/>
          </w:tcPr>
          <w:p>
            <w:pPr>
              <w:spacing w:after="0"/>
              <w:rPr>
                <w:sz w:val="17"/>
                <w:szCs w:val="17"/>
                <w:color w:val="auto"/>
              </w:rPr>
            </w:pPr>
          </w:p>
        </w:tc>
        <w:tc>
          <w:tcPr>
            <w:tcW w:w="118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35,014</w:t>
            </w:r>
            <w:r>
              <w:rPr>
                <w:rFonts w:ascii="Arial" w:cs="Arial" w:eastAsia="Arial" w:hAnsi="Arial"/>
                <w:sz w:val="15"/>
                <w:szCs w:val="15"/>
                <w:color w:val="auto"/>
              </w:rPr>
              <w:t>(6)</w:t>
            </w:r>
          </w:p>
        </w:tc>
        <w:tc>
          <w:tcPr>
            <w:tcW w:w="100" w:type="dxa"/>
            <w:vAlign w:val="bottom"/>
            <w:tcBorders>
              <w:top w:val="single" w:sz="8" w:color="C6D9F1"/>
            </w:tcBorders>
            <w:shd w:val="clear" w:color="auto" w:fill="C6D9F1"/>
          </w:tcPr>
          <w:p>
            <w:pPr>
              <w:spacing w:after="0"/>
              <w:rPr>
                <w:sz w:val="17"/>
                <w:szCs w:val="17"/>
                <w:color w:val="auto"/>
              </w:rPr>
            </w:pPr>
          </w:p>
        </w:tc>
        <w:tc>
          <w:tcPr>
            <w:tcW w:w="1020" w:type="dxa"/>
            <w:vAlign w:val="bottom"/>
            <w:tcBorders>
              <w:top w:val="single" w:sz="8" w:color="auto"/>
            </w:tcBorders>
            <w:shd w:val="clear" w:color="auto" w:fill="C6D9F1"/>
          </w:tcPr>
          <w:p>
            <w:pPr>
              <w:jc w:val="right"/>
              <w:ind w:right="12"/>
              <w:spacing w:after="0" w:line="196" w:lineRule="exact"/>
              <w:rPr>
                <w:sz w:val="20"/>
                <w:szCs w:val="20"/>
                <w:color w:val="auto"/>
              </w:rPr>
            </w:pPr>
            <w:r>
              <w:rPr>
                <w:rFonts w:ascii="Arial" w:cs="Arial" w:eastAsia="Arial" w:hAnsi="Arial"/>
                <w:sz w:val="18"/>
                <w:szCs w:val="18"/>
                <w:color w:val="auto"/>
              </w:rPr>
              <w:t>7,375,143</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Vice Chairman</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565,000</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2,164,263</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535,760</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44,198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3,309,221</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&amp; CEO</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553,904</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2,276,711</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169,070</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38,433</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3,038,118</w:t>
            </w:r>
          </w:p>
        </w:tc>
      </w:tr>
      <w:tr>
        <w:trPr>
          <w:trHeight w:val="229"/>
        </w:trPr>
        <w:tc>
          <w:tcPr>
            <w:tcW w:w="2640" w:type="dxa"/>
            <w:vAlign w:val="bottom"/>
          </w:tcPr>
          <w:p>
            <w:pPr>
              <w:spacing w:after="0"/>
              <w:rPr>
                <w:sz w:val="20"/>
                <w:szCs w:val="20"/>
                <w:color w:val="auto"/>
              </w:rPr>
            </w:pPr>
            <w:r>
              <w:rPr>
                <w:rFonts w:ascii="Arial" w:cs="Arial" w:eastAsia="Arial" w:hAnsi="Arial"/>
                <w:sz w:val="18"/>
                <w:szCs w:val="18"/>
                <w:b w:val="1"/>
                <w:bCs w:val="1"/>
                <w:color w:val="auto"/>
              </w:rPr>
              <w:t>Vishal Chhibbar</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251,341</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157,049</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34,775</w:t>
            </w: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1,047,305</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Executive Vice</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2014</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250,272</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415,549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130,457</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35,879</w:t>
            </w: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840,222</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President and</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2013</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250,119</w:t>
            </w:r>
          </w:p>
        </w:tc>
        <w:tc>
          <w:tcPr>
            <w:tcW w:w="1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381,028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109,880</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24,205</w:t>
            </w: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778,890</w:t>
            </w:r>
          </w:p>
        </w:tc>
      </w:tr>
      <w:tr>
        <w:trPr>
          <w:trHeight w:val="203"/>
        </w:trPr>
        <w:tc>
          <w:tcPr>
            <w:tcW w:w="2640" w:type="dxa"/>
            <w:vAlign w:val="bottom"/>
          </w:tcPr>
          <w:p>
            <w:pPr>
              <w:ind w:left="100"/>
              <w:spacing w:after="0" w:line="203" w:lineRule="exact"/>
              <w:rPr>
                <w:sz w:val="20"/>
                <w:szCs w:val="20"/>
                <w:color w:val="auto"/>
              </w:rPr>
            </w:pPr>
            <w:r>
              <w:rPr>
                <w:rFonts w:ascii="Arial" w:cs="Arial" w:eastAsia="Arial" w:hAnsi="Arial"/>
                <w:sz w:val="18"/>
                <w:szCs w:val="18"/>
                <w:color w:val="auto"/>
              </w:rPr>
              <w:t>CFO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2640" w:type="dxa"/>
            <w:vAlign w:val="bottom"/>
            <w:shd w:val="clear" w:color="auto" w:fill="C6D9F1"/>
          </w:tcPr>
          <w:p>
            <w:pPr>
              <w:spacing w:after="0"/>
              <w:rPr>
                <w:sz w:val="20"/>
                <w:szCs w:val="20"/>
                <w:color w:val="auto"/>
              </w:rPr>
            </w:pPr>
            <w:r>
              <w:rPr>
                <w:rFonts w:ascii="Arial" w:cs="Arial" w:eastAsia="Arial" w:hAnsi="Arial"/>
                <w:sz w:val="18"/>
                <w:szCs w:val="18"/>
                <w:b w:val="1"/>
                <w:bCs w:val="1"/>
                <w:color w:val="auto"/>
              </w:rPr>
              <w:t>Pavan Bagai</w:t>
            </w:r>
          </w:p>
        </w:tc>
        <w:tc>
          <w:tcPr>
            <w:tcW w:w="680" w:type="dxa"/>
            <w:vAlign w:val="bottom"/>
            <w:gridSpan w:val="2"/>
            <w:shd w:val="clear" w:color="auto" w:fill="C6D9F1"/>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shd w:val="clear" w:color="auto" w:fill="C6D9F1"/>
          </w:tcPr>
          <w:p>
            <w:pPr>
              <w:jc w:val="right"/>
              <w:spacing w:after="0"/>
              <w:rPr>
                <w:sz w:val="20"/>
                <w:szCs w:val="20"/>
                <w:color w:val="auto"/>
              </w:rPr>
            </w:pPr>
            <w:r>
              <w:rPr>
                <w:rFonts w:ascii="Arial" w:cs="Arial" w:eastAsia="Arial" w:hAnsi="Arial"/>
                <w:sz w:val="18"/>
                <w:szCs w:val="18"/>
                <w:color w:val="auto"/>
              </w:rPr>
              <w:t>242,590</w:t>
            </w:r>
            <w:r>
              <w:rPr>
                <w:rFonts w:ascii="Arial" w:cs="Arial" w:eastAsia="Arial" w:hAnsi="Arial"/>
                <w:sz w:val="15"/>
                <w:szCs w:val="15"/>
                <w:color w:val="auto"/>
              </w:rPr>
              <w:t>(2)</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993,000</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246,239</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spacing w:after="0"/>
              <w:rPr>
                <w:sz w:val="20"/>
                <w:szCs w:val="20"/>
                <w:color w:val="auto"/>
              </w:rPr>
            </w:pPr>
            <w:r>
              <w:rPr>
                <w:rFonts w:ascii="Arial" w:cs="Arial" w:eastAsia="Arial" w:hAnsi="Arial"/>
                <w:sz w:val="18"/>
                <w:szCs w:val="18"/>
                <w:color w:val="auto"/>
              </w:rPr>
              <w:t>76,164</w:t>
            </w:r>
            <w:r>
              <w:rPr>
                <w:rFonts w:ascii="Arial" w:cs="Arial" w:eastAsia="Arial" w:hAnsi="Arial"/>
                <w:sz w:val="15"/>
                <w:szCs w:val="15"/>
                <w:color w:val="auto"/>
              </w:rPr>
              <w:t>(8)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1,567,379</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President &amp;</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235,363</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681,554</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222,188</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9,010</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1,233,053</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Chief Operating</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225,475</w:t>
            </w: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jc w:val="right"/>
              <w:ind w:right="72"/>
              <w:spacing w:after="0"/>
              <w:rPr>
                <w:sz w:val="20"/>
                <w:szCs w:val="20"/>
                <w:color w:val="auto"/>
              </w:rPr>
            </w:pPr>
            <w:r>
              <w:rPr>
                <w:rFonts w:ascii="Arial" w:cs="Arial" w:eastAsia="Arial" w:hAnsi="Arial"/>
                <w:sz w:val="18"/>
                <w:szCs w:val="18"/>
                <w:color w:val="auto"/>
              </w:rPr>
              <w:t>28,381</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720,673</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126,568</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68,747</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1,178,356</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b w:val="1"/>
                <w:bCs w:val="1"/>
                <w:color w:val="auto"/>
              </w:rPr>
              <w:t>Nalin Miglani</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476,640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274,840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81,520</w:t>
            </w:r>
            <w:r>
              <w:rPr>
                <w:rFonts w:ascii="Arial" w:cs="Arial" w:eastAsia="Arial" w:hAnsi="Arial"/>
                <w:sz w:val="15"/>
                <w:szCs w:val="15"/>
                <w:color w:val="auto"/>
              </w:rPr>
              <w:t>(9)</w:t>
            </w: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1,233,000</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Executive Vice</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Global Head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Human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2640" w:type="dxa"/>
            <w:vAlign w:val="bottom"/>
          </w:tcPr>
          <w:p>
            <w:pPr>
              <w:ind w:left="100"/>
              <w:spacing w:after="0" w:line="203" w:lineRule="exact"/>
              <w:rPr>
                <w:sz w:val="20"/>
                <w:szCs w:val="20"/>
                <w:color w:val="auto"/>
              </w:rPr>
            </w:pPr>
            <w:r>
              <w:rPr>
                <w:rFonts w:ascii="Arial" w:cs="Arial" w:eastAsia="Arial" w:hAnsi="Arial"/>
                <w:sz w:val="18"/>
                <w:szCs w:val="18"/>
                <w:color w:val="auto"/>
              </w:rPr>
              <w:t>Resources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2640" w:type="dxa"/>
            <w:vAlign w:val="bottom"/>
            <w:shd w:val="clear" w:color="auto" w:fill="C6D9F1"/>
          </w:tcPr>
          <w:p>
            <w:pPr>
              <w:spacing w:after="0" w:line="197" w:lineRule="exact"/>
              <w:rPr>
                <w:sz w:val="20"/>
                <w:szCs w:val="20"/>
                <w:color w:val="auto"/>
              </w:rPr>
            </w:pPr>
            <w:r>
              <w:rPr>
                <w:rFonts w:ascii="Arial" w:cs="Arial" w:eastAsia="Arial" w:hAnsi="Arial"/>
                <w:sz w:val="18"/>
                <w:szCs w:val="18"/>
                <w:b w:val="1"/>
                <w:bCs w:val="1"/>
                <w:color w:val="auto"/>
              </w:rPr>
              <w:t>Henry</w:t>
            </w:r>
          </w:p>
        </w:tc>
        <w:tc>
          <w:tcPr>
            <w:tcW w:w="680" w:type="dxa"/>
            <w:vAlign w:val="bottom"/>
            <w:gridSpan w:val="2"/>
            <w:shd w:val="clear" w:color="auto" w:fill="C6D9F1"/>
          </w:tcPr>
          <w:p>
            <w:pPr>
              <w:jc w:val="center"/>
              <w:ind w:left="30"/>
              <w:spacing w:after="0" w:line="197" w:lineRule="exact"/>
              <w:rPr>
                <w:sz w:val="20"/>
                <w:szCs w:val="20"/>
                <w:color w:val="auto"/>
              </w:rPr>
            </w:pPr>
            <w:r>
              <w:rPr>
                <w:rFonts w:ascii="Arial" w:cs="Arial" w:eastAsia="Arial" w:hAnsi="Arial"/>
                <w:sz w:val="18"/>
                <w:szCs w:val="18"/>
                <w:color w:val="auto"/>
                <w:w w:val="99"/>
              </w:rPr>
              <w:t>2015</w:t>
            </w:r>
          </w:p>
        </w:tc>
        <w:tc>
          <w:tcPr>
            <w:tcW w:w="1200" w:type="dxa"/>
            <w:vAlign w:val="bottom"/>
            <w:gridSpan w:val="2"/>
            <w:shd w:val="clear" w:color="auto" w:fill="C6D9F1"/>
          </w:tcPr>
          <w:p>
            <w:pPr>
              <w:jc w:val="right"/>
              <w:ind w:right="113"/>
              <w:spacing w:after="0" w:line="197"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C6D9F1"/>
          </w:tcPr>
          <w:p>
            <w:pPr>
              <w:spacing w:after="0"/>
              <w:rPr>
                <w:sz w:val="17"/>
                <w:szCs w:val="17"/>
                <w:color w:val="auto"/>
              </w:rPr>
            </w:pPr>
          </w:p>
        </w:tc>
        <w:tc>
          <w:tcPr>
            <w:tcW w:w="1020" w:type="dxa"/>
            <w:vAlign w:val="bottom"/>
            <w:gridSpan w:val="2"/>
            <w:shd w:val="clear" w:color="auto" w:fill="C6D9F1"/>
          </w:tcPr>
          <w:p>
            <w:pPr>
              <w:jc w:val="right"/>
              <w:ind w:right="260"/>
              <w:spacing w:after="0" w:line="197"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line="197" w:lineRule="exact"/>
              <w:rPr>
                <w:sz w:val="20"/>
                <w:szCs w:val="20"/>
                <w:color w:val="auto"/>
              </w:rPr>
            </w:pPr>
            <w:r>
              <w:rPr>
                <w:rFonts w:ascii="Arial" w:cs="Arial" w:eastAsia="Arial" w:hAnsi="Arial"/>
                <w:sz w:val="18"/>
                <w:szCs w:val="18"/>
                <w:color w:val="auto"/>
              </w:rPr>
              <w:t>595,800</w:t>
            </w:r>
          </w:p>
        </w:tc>
        <w:tc>
          <w:tcPr>
            <w:tcW w:w="1220" w:type="dxa"/>
            <w:vAlign w:val="bottom"/>
            <w:gridSpan w:val="2"/>
            <w:shd w:val="clear" w:color="auto" w:fill="C6D9F1"/>
          </w:tcPr>
          <w:p>
            <w:pPr>
              <w:jc w:val="right"/>
              <w:ind w:right="100"/>
              <w:spacing w:after="0" w:line="197" w:lineRule="exact"/>
              <w:rPr>
                <w:sz w:val="20"/>
                <w:szCs w:val="20"/>
                <w:color w:val="auto"/>
              </w:rPr>
            </w:pPr>
            <w:r>
              <w:rPr>
                <w:rFonts w:ascii="Arial" w:cs="Arial" w:eastAsia="Arial" w:hAnsi="Arial"/>
                <w:sz w:val="18"/>
                <w:szCs w:val="18"/>
                <w:color w:val="auto"/>
              </w:rPr>
              <w:t>349,385</w:t>
            </w:r>
          </w:p>
        </w:tc>
        <w:tc>
          <w:tcPr>
            <w:tcW w:w="1240" w:type="dxa"/>
            <w:vAlign w:val="bottom"/>
            <w:gridSpan w:val="2"/>
            <w:shd w:val="clear" w:color="auto" w:fill="C6D9F1"/>
          </w:tcPr>
          <w:p>
            <w:pPr>
              <w:jc w:val="right"/>
              <w:ind w:right="240"/>
              <w:spacing w:after="0" w:line="197" w:lineRule="exact"/>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spacing w:after="0" w:line="197" w:lineRule="exact"/>
              <w:rPr>
                <w:sz w:val="20"/>
                <w:szCs w:val="20"/>
                <w:color w:val="auto"/>
              </w:rPr>
            </w:pPr>
            <w:r>
              <w:rPr>
                <w:rFonts w:ascii="Arial" w:cs="Arial" w:eastAsia="Arial" w:hAnsi="Arial"/>
                <w:sz w:val="18"/>
                <w:szCs w:val="18"/>
                <w:color w:val="auto"/>
              </w:rPr>
              <w:t>8,340</w:t>
            </w:r>
            <w:r>
              <w:rPr>
                <w:rFonts w:ascii="Arial" w:cs="Arial" w:eastAsia="Arial" w:hAnsi="Arial"/>
                <w:sz w:val="15"/>
                <w:szCs w:val="15"/>
                <w:color w:val="auto"/>
              </w:rPr>
              <w:t>(11)</w:t>
            </w:r>
          </w:p>
        </w:tc>
        <w:tc>
          <w:tcPr>
            <w:tcW w:w="100" w:type="dxa"/>
            <w:vAlign w:val="bottom"/>
            <w:shd w:val="clear" w:color="auto" w:fill="C6D9F1"/>
          </w:tcPr>
          <w:p>
            <w:pPr>
              <w:spacing w:after="0"/>
              <w:rPr>
                <w:sz w:val="17"/>
                <w:szCs w:val="17"/>
                <w:color w:val="auto"/>
              </w:rPr>
            </w:pPr>
          </w:p>
        </w:tc>
        <w:tc>
          <w:tcPr>
            <w:tcW w:w="1020" w:type="dxa"/>
            <w:vAlign w:val="bottom"/>
            <w:shd w:val="clear" w:color="auto" w:fill="C6D9F1"/>
          </w:tcPr>
          <w:p>
            <w:pPr>
              <w:jc w:val="right"/>
              <w:ind w:right="12"/>
              <w:spacing w:after="0" w:line="197" w:lineRule="exact"/>
              <w:rPr>
                <w:sz w:val="20"/>
                <w:szCs w:val="20"/>
                <w:color w:val="auto"/>
              </w:rPr>
            </w:pPr>
            <w:r>
              <w:rPr>
                <w:rFonts w:ascii="Arial" w:cs="Arial" w:eastAsia="Arial" w:hAnsi="Arial"/>
                <w:sz w:val="18"/>
                <w:szCs w:val="18"/>
                <w:color w:val="auto"/>
              </w:rPr>
              <w:t>1,403,525</w:t>
            </w:r>
          </w:p>
        </w:tc>
      </w:tr>
      <w:tr>
        <w:trPr>
          <w:trHeight w:val="262"/>
        </w:trPr>
        <w:tc>
          <w:tcPr>
            <w:tcW w:w="2640" w:type="dxa"/>
            <w:vAlign w:val="bottom"/>
            <w:shd w:val="clear" w:color="auto" w:fill="C6D9F1"/>
          </w:tcPr>
          <w:p>
            <w:pPr>
              <w:ind w:left="100"/>
              <w:spacing w:after="0" w:line="262" w:lineRule="exact"/>
              <w:rPr>
                <w:sz w:val="20"/>
                <w:szCs w:val="20"/>
                <w:color w:val="auto"/>
              </w:rPr>
            </w:pPr>
            <w:r>
              <w:rPr>
                <w:rFonts w:ascii="Arial" w:cs="Arial" w:eastAsia="Arial" w:hAnsi="Arial"/>
                <w:sz w:val="18"/>
                <w:szCs w:val="18"/>
                <w:b w:val="1"/>
                <w:bCs w:val="1"/>
                <w:color w:val="auto"/>
              </w:rPr>
              <w:t>Schweppe</w:t>
            </w:r>
            <w:r>
              <w:rPr>
                <w:rFonts w:ascii="Arial" w:cs="Arial" w:eastAsia="Arial" w:hAnsi="Arial"/>
                <w:sz w:val="30"/>
                <w:szCs w:val="30"/>
                <w:b w:val="1"/>
                <w:bCs w:val="1"/>
                <w:color w:val="auto"/>
                <w:vertAlign w:val="superscript"/>
              </w:rPr>
              <w:t>(</w:t>
            </w:r>
            <w:r>
              <w:rPr>
                <w:rFonts w:ascii="Arial" w:cs="Arial" w:eastAsia="Arial" w:hAnsi="Arial"/>
                <w:sz w:val="30"/>
                <w:szCs w:val="30"/>
                <w:color w:val="auto"/>
                <w:vertAlign w:val="superscript"/>
              </w:rPr>
              <w:t>10)</w:t>
            </w:r>
          </w:p>
        </w:tc>
        <w:tc>
          <w:tcPr>
            <w:tcW w:w="100" w:type="dxa"/>
            <w:vAlign w:val="bottom"/>
            <w:shd w:val="clear" w:color="auto" w:fill="C6D9F1"/>
          </w:tcPr>
          <w:p>
            <w:pPr>
              <w:spacing w:after="0"/>
              <w:rPr>
                <w:sz w:val="22"/>
                <w:szCs w:val="22"/>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6D9F1"/>
          </w:tcPr>
          <w:p>
            <w:pPr>
              <w:spacing w:after="0"/>
              <w:rPr>
                <w:sz w:val="22"/>
                <w:szCs w:val="22"/>
                <w:color w:val="auto"/>
              </w:rPr>
            </w:pPr>
          </w:p>
        </w:tc>
        <w:tc>
          <w:tcPr>
            <w:tcW w:w="1200" w:type="dxa"/>
            <w:vAlign w:val="bottom"/>
            <w:gridSpan w:val="2"/>
            <w:shd w:val="clear" w:color="auto" w:fill="C6D9F1"/>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6D9F1"/>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Former</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00" w:type="dxa"/>
            <w:vAlign w:val="bottom"/>
            <w:shd w:val="clear" w:color="auto" w:fill="C6D9F1"/>
          </w:tcPr>
          <w:p>
            <w:pPr>
              <w:spacing w:after="0"/>
              <w:rPr>
                <w:sz w:val="18"/>
                <w:szCs w:val="18"/>
                <w:color w:val="auto"/>
              </w:rPr>
            </w:pPr>
          </w:p>
        </w:tc>
        <w:tc>
          <w:tcPr>
            <w:tcW w:w="1200" w:type="dxa"/>
            <w:vAlign w:val="bottom"/>
            <w:gridSpan w:val="2"/>
            <w:shd w:val="clear" w:color="auto" w:fill="C6D9F1"/>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6D9F1"/>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President,</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Global Business</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and Marketing</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bl>
    <w:p>
      <w:pPr>
        <w:spacing w:after="0" w:line="207" w:lineRule="exact"/>
        <w:rPr>
          <w:sz w:val="20"/>
          <w:szCs w:val="20"/>
          <w:color w:val="auto"/>
        </w:rPr>
      </w:pPr>
    </w:p>
    <w:p>
      <w:pPr>
        <w:ind w:left="740" w:hanging="408"/>
        <w:spacing w:after="0" w:line="241" w:lineRule="auto"/>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set forth in the “Salary” column for Mr. Chhibbar includes $130,952 of base salary, $29,195 of a cash supplementary allowance, $78,571 of housing allowance (which Mr. Chhibbar elected to receive in cash), and $12,622 of travel and medical allowance (which Mr. Chhibbar elected to receive in cash).</w:t>
      </w:r>
    </w:p>
    <w:p>
      <w:pPr>
        <w:ind w:left="740" w:right="20" w:hanging="408"/>
        <w:spacing w:after="0" w:line="241" w:lineRule="auto"/>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set forth in the “Salary” column for Mr. Bagai includes $110,979 of base salary, $94,519 of a cash supplementary allowance, $27,585 of housing allowance (which Mr. Bagai elected to receive in cash), and $9,508 of travel and medical allowance (which Mr. Bagai elected to receive in cash).</w:t>
      </w:r>
    </w:p>
    <w:p>
      <w:pPr>
        <w:jc w:val="both"/>
        <w:ind w:left="740" w:hanging="408"/>
        <w:spacing w:after="0" w:line="244" w:lineRule="auto"/>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reflect the total grant date fair value of awards recognized for financial statement reporting purposes for the fiscal years ended December 31, 2013, 2014 and 2015, in accordance with FASB ASC Topic 718 (disregarding any forfeiture assumptions). Assumptions used in the calculation of these amounts are included (i) for 2015, in footnotes 2 and 14 to the audited financial statements for the fiscal year ended December 31, 2015, included in our Annual Report on Form 10-K filed with the Securities and Exchange Commission on February 26, 2016; (ii) for 2014, in footnotes 2 and 14 to the audited financial statements for the fiscal year ended December 31, 2014, included in our Annual Report on Form 10-K filed with the Securities and Exchange Commission on February 27, 2015; and (iii) for 2013, in footnotes 2 and 13 to the audited financial statements for the fiscal year ended December 31, 2013, included in our Annual Report on Form 10-K filed with the Securities and Exchange Commission on March 3, 2014.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6" w:name="page47"/>
    <w:bookmarkEnd w:id="46"/>
    <w:p>
      <w:pPr>
        <w:ind w:left="660"/>
        <w:spacing w:after="0" w:line="258" w:lineRule="auto"/>
        <w:rPr>
          <w:sz w:val="20"/>
          <w:szCs w:val="20"/>
          <w:color w:val="auto"/>
        </w:rPr>
      </w:pPr>
      <w:r>
        <w:rPr>
          <w:rFonts w:ascii="Arial" w:cs="Arial" w:eastAsia="Arial" w:hAnsi="Arial"/>
          <w:sz w:val="14"/>
          <w:szCs w:val="14"/>
          <w:color w:val="auto"/>
        </w:rPr>
        <w:t>With respect to stock awards granted in 2015, which includes Mr. Kapoor’s one-time Stock Price Performance Award, the table below sets forth the value attributable to performance restricted stock units valued at target achievement:</w:t>
      </w:r>
    </w:p>
    <w:p>
      <w:pPr>
        <w:spacing w:after="0" w:line="135"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Target Total Grant</w:t>
            </w:r>
          </w:p>
        </w:tc>
      </w:t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2840" w:type="dxa"/>
            <w:vAlign w:val="bottom"/>
            <w:tcBorders>
              <w:bottom w:val="single" w:sz="8" w:color="auto"/>
            </w:tcBorders>
            <w:shd w:val="clear" w:color="auto" w:fill="5591C7"/>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6D9F1"/>
            </w:tcBorders>
            <w:shd w:val="clear" w:color="auto" w:fill="5591C7"/>
          </w:tcPr>
          <w:p>
            <w:pPr>
              <w:spacing w:after="0"/>
              <w:rPr>
                <w:sz w:val="15"/>
                <w:szCs w:val="15"/>
                <w:color w:val="auto"/>
              </w:rPr>
            </w:pPr>
          </w:p>
        </w:tc>
        <w:tc>
          <w:tcPr>
            <w:tcW w:w="27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Rohit Kapoor</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4,815,875</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Vishal Chhibbar</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335,175</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Pavan Bagai</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558,625</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Nalin Miglani</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268,140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Henry Schweppe</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335,175</w:t>
            </w:r>
          </w:p>
        </w:tc>
      </w:tr>
    </w:tbl>
    <w:p>
      <w:pPr>
        <w:spacing w:after="0" w:line="167" w:lineRule="exact"/>
        <w:rPr>
          <w:sz w:val="20"/>
          <w:szCs w:val="20"/>
          <w:color w:val="auto"/>
        </w:rPr>
      </w:pPr>
    </w:p>
    <w:p>
      <w:pPr>
        <w:ind w:left="660" w:right="220"/>
        <w:spacing w:after="0" w:line="258" w:lineRule="auto"/>
        <w:rPr>
          <w:sz w:val="20"/>
          <w:szCs w:val="20"/>
          <w:color w:val="auto"/>
        </w:rPr>
      </w:pPr>
      <w:r>
        <w:rPr>
          <w:rFonts w:ascii="Arial" w:cs="Arial" w:eastAsia="Arial" w:hAnsi="Arial"/>
          <w:sz w:val="14"/>
          <w:szCs w:val="14"/>
          <w:color w:val="auto"/>
        </w:rPr>
        <w:t>Performance restricted stock units granted in 2015 may pay out up to 200% of the target award, which would have amounted to the following grant date fair values for each named executive officer:</w:t>
      </w:r>
    </w:p>
    <w:p>
      <w:pPr>
        <w:spacing w:after="0" w:line="135"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Maximum Total Grant</w:t>
            </w:r>
          </w:p>
        </w:tc>
      </w:t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2840" w:type="dxa"/>
            <w:vAlign w:val="bottom"/>
            <w:tcBorders>
              <w:bottom w:val="single" w:sz="8" w:color="auto"/>
            </w:tcBorders>
            <w:shd w:val="clear" w:color="auto" w:fill="5591C7"/>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6D9F1"/>
            </w:tcBorders>
            <w:shd w:val="clear" w:color="auto" w:fill="5591C7"/>
          </w:tcPr>
          <w:p>
            <w:pPr>
              <w:spacing w:after="0"/>
              <w:rPr>
                <w:sz w:val="15"/>
                <w:szCs w:val="15"/>
                <w:color w:val="auto"/>
              </w:rPr>
            </w:pPr>
          </w:p>
        </w:tc>
        <w:tc>
          <w:tcPr>
            <w:tcW w:w="27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Rohit Kapoor</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9,631,750</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Vishal Chhibbar</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670,350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Pavan Bagai</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1,117,250</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Nalin Miglani</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536,280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Henry Schweppe</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670,350</w:t>
            </w:r>
          </w:p>
        </w:tc>
      </w:tr>
    </w:tbl>
    <w:p>
      <w:pPr>
        <w:spacing w:after="0" w:line="248" w:lineRule="exact"/>
        <w:rPr>
          <w:sz w:val="20"/>
          <w:szCs w:val="20"/>
          <w:color w:val="auto"/>
        </w:rPr>
      </w:pPr>
    </w:p>
    <w:p>
      <w:pPr>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cash incentive bonuses earned in respect of 2015 and paid in 2016. For details on our annual incentive bonus program, see “Compensation Discussion and Analysis—Incentive Bonus” beginning on page 32.</w:t>
      </w:r>
    </w:p>
    <w:p>
      <w:pPr>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present value of accruals under the Gratuity Plan for Indian Employees. Information regarding our Gratuity Plan (including the assumptions used to calculate these amounts) may be found under “Pension Benefits for Fiscal Year 2015” beginning on page 55.</w:t>
      </w:r>
    </w:p>
    <w:p>
      <w:pPr>
        <w:jc w:val="both"/>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Kapoor includes the travel allowance provided for under his employment agreement, to be used for once-a-year business class airfare for himself and his family between the United States and India, costs associated with use of an automobile and driver in India, car lease, contributions to our 401(k) plan, and Company-paid life insurance premiums.</w:t>
      </w:r>
    </w:p>
    <w:p>
      <w:pPr>
        <w:spacing w:after="0" w:line="1" w:lineRule="exact"/>
        <w:rPr>
          <w:rFonts w:ascii="Arial" w:cs="Arial" w:eastAsia="Arial" w:hAnsi="Arial"/>
          <w:sz w:val="14"/>
          <w:szCs w:val="14"/>
          <w:color w:val="auto"/>
        </w:rPr>
      </w:pPr>
    </w:p>
    <w:p>
      <w:pPr>
        <w:ind w:left="720" w:hanging="388"/>
        <w:spacing w:after="0" w:line="241" w:lineRule="auto"/>
        <w:tabs>
          <w:tab w:leader="none" w:pos="7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Chhibbar includes contributions to the Employees’ Provident Fund Scheme (a statutorily required defined contribution program for Indian employees) ($15,714), costs associated with use of an automobile and driver in India, car lease, and home internet and telephone charges.</w:t>
      </w:r>
    </w:p>
    <w:p>
      <w:pPr>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Bagai includes housing allowance ($39,002), contributions to Employees’ Provident Fund Scheme (a statutorily required defined contribution program for Indian employees) ($13,317), costs associated with use of an automobile and driver in India, car lease, and home internet and telephone charges.</w:t>
      </w:r>
    </w:p>
    <w:p>
      <w:pPr>
        <w:ind w:left="740" w:hanging="40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Miglani includes relocation assistance ($73,180), contributions to our 401(k) plan, and Company-paid life insurance premiums.</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Schweppe’s employment with the Company terminated as of March 18, 2016.</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Schweppe includes contributions to our 401(k) plan and Company-paid life insurance premiums.</w:t>
      </w:r>
    </w:p>
    <w:p>
      <w:pPr>
        <w:spacing w:after="0" w:line="19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Unless specified below, certain U.S. dollar figures in this proxy statement have been converted from Indian rupees at a rate of 66.15 Indian rupees to $1.00, the Indian rupee to U.S. dollar exchange rate in effect as of December 31, 2015. The amounts disclosed in the “Compensation Discussion and Analysis” section have been converted from Indian rupees at a rate of 63.03 Indian rupees to $1.00, the Indian rupee to U.S. dollar exchange rate in effect as of January 31, 2015. This represents the exchange rate in effect at or around the time the relevant compensation was set, which more accurately reflects the relative value that the Company placed on those elements at the time. Certain information in the Summary Compensation Tables for fiscal years 2013 and 2014 was converted using the exchange rates in effect as set forth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9"/>
        </w:trPr>
        <w:tc>
          <w:tcPr>
            <w:tcW w:w="43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Fiscal Year</w:t>
            </w:r>
          </w:p>
        </w:tc>
        <w:tc>
          <w:tcPr>
            <w:tcW w:w="300" w:type="dxa"/>
            <w:vAlign w:val="bottom"/>
            <w:shd w:val="clear" w:color="auto" w:fill="5591C7"/>
          </w:tcPr>
          <w:p>
            <w:pPr>
              <w:spacing w:after="0"/>
              <w:rPr>
                <w:sz w:val="16"/>
                <w:szCs w:val="16"/>
                <w:color w:val="auto"/>
              </w:rPr>
            </w:pPr>
          </w:p>
        </w:tc>
        <w:tc>
          <w:tcPr>
            <w:tcW w:w="25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shd w:val="clear" w:color="auto" w:fill="5591C7"/>
          </w:tcPr>
          <w:p>
            <w:pPr>
              <w:spacing w:after="0"/>
              <w:rPr>
                <w:sz w:val="16"/>
                <w:szCs w:val="16"/>
                <w:color w:val="auto"/>
              </w:rPr>
            </w:pPr>
          </w:p>
        </w:tc>
        <w:tc>
          <w:tcPr>
            <w:tcW w:w="39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Exchange Rate of INR per US$1</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300" w:type="dxa"/>
            <w:vAlign w:val="bottom"/>
          </w:tcPr>
          <w:p>
            <w:pPr>
              <w:spacing w:after="0"/>
              <w:rPr>
                <w:sz w:val="19"/>
                <w:szCs w:val="19"/>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December 31, 2014</w:t>
            </w:r>
          </w:p>
        </w:tc>
        <w:tc>
          <w:tcPr>
            <w:tcW w:w="3940" w:type="dxa"/>
            <w:vAlign w:val="bottom"/>
          </w:tcPr>
          <w:p>
            <w:pPr>
              <w:jc w:val="center"/>
              <w:spacing w:after="0"/>
              <w:rPr>
                <w:sz w:val="20"/>
                <w:szCs w:val="20"/>
                <w:color w:val="auto"/>
              </w:rPr>
            </w:pPr>
            <w:r>
              <w:rPr>
                <w:rFonts w:ascii="Arial" w:cs="Arial" w:eastAsia="Arial" w:hAnsi="Arial"/>
                <w:sz w:val="18"/>
                <w:szCs w:val="18"/>
                <w:color w:val="auto"/>
              </w:rPr>
              <w:t>63.03</w:t>
            </w:r>
          </w:p>
        </w:tc>
      </w:tr>
      <w:tr>
        <w:trPr>
          <w:trHeight w:val="230"/>
        </w:trPr>
        <w:tc>
          <w:tcPr>
            <w:tcW w:w="43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300" w:type="dxa"/>
            <w:vAlign w:val="bottom"/>
            <w:shd w:val="clear" w:color="auto" w:fill="C6D9F1"/>
          </w:tcPr>
          <w:p>
            <w:pPr>
              <w:spacing w:after="0"/>
              <w:rPr>
                <w:sz w:val="19"/>
                <w:szCs w:val="19"/>
                <w:color w:val="auto"/>
              </w:rPr>
            </w:pPr>
          </w:p>
        </w:tc>
        <w:tc>
          <w:tcPr>
            <w:tcW w:w="2800" w:type="dxa"/>
            <w:vAlign w:val="bottom"/>
            <w:gridSpan w:val="2"/>
            <w:shd w:val="clear" w:color="auto" w:fill="C6D9F1"/>
          </w:tcPr>
          <w:p>
            <w:pPr>
              <w:jc w:val="center"/>
              <w:ind w:right="300"/>
              <w:spacing w:after="0"/>
              <w:rPr>
                <w:sz w:val="20"/>
                <w:szCs w:val="20"/>
                <w:color w:val="auto"/>
              </w:rPr>
            </w:pPr>
            <w:r>
              <w:rPr>
                <w:rFonts w:ascii="Arial" w:cs="Arial" w:eastAsia="Arial" w:hAnsi="Arial"/>
                <w:sz w:val="18"/>
                <w:szCs w:val="18"/>
                <w:color w:val="auto"/>
                <w:w w:val="99"/>
              </w:rPr>
              <w:t>December 31, 2013</w:t>
            </w:r>
          </w:p>
        </w:tc>
        <w:tc>
          <w:tcPr>
            <w:tcW w:w="3940" w:type="dxa"/>
            <w:vAlign w:val="bottom"/>
            <w:shd w:val="clear" w:color="auto" w:fill="C6D9F1"/>
          </w:tcPr>
          <w:p>
            <w:pPr>
              <w:jc w:val="center"/>
              <w:spacing w:after="0"/>
              <w:rPr>
                <w:sz w:val="20"/>
                <w:szCs w:val="20"/>
                <w:color w:val="auto"/>
              </w:rPr>
            </w:pPr>
            <w:r>
              <w:rPr>
                <w:rFonts w:ascii="Arial" w:cs="Arial" w:eastAsia="Arial" w:hAnsi="Arial"/>
                <w:sz w:val="18"/>
                <w:szCs w:val="18"/>
                <w:color w:val="auto"/>
              </w:rPr>
              <w:t>61.78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2015</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2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8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All Other</w:t>
            </w:r>
          </w:p>
        </w:tc>
        <w:tc>
          <w:tcPr>
            <w:tcW w:w="2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3140" w:type="dxa"/>
            <w:vAlign w:val="bottom"/>
            <w:gridSpan w:val="6"/>
            <w:vMerge w:val="restart"/>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Estimated Future Payouts</w:t>
            </w:r>
          </w:p>
        </w:tc>
        <w:tc>
          <w:tcPr>
            <w:tcW w:w="3100" w:type="dxa"/>
            <w:vAlign w:val="bottom"/>
            <w:gridSpan w:val="8"/>
            <w:vMerge w:val="restart"/>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Estimated Future Payouts</w:t>
            </w: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74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3140" w:type="dxa"/>
            <w:vAlign w:val="bottom"/>
            <w:gridSpan w:val="6"/>
            <w:vMerge w:val="continue"/>
            <w:shd w:val="clear" w:color="auto" w:fill="5591C7"/>
          </w:tcPr>
          <w:p>
            <w:pPr>
              <w:spacing w:after="0"/>
              <w:rPr>
                <w:sz w:val="8"/>
                <w:szCs w:val="8"/>
                <w:color w:val="auto"/>
              </w:rPr>
            </w:pPr>
          </w:p>
        </w:tc>
        <w:tc>
          <w:tcPr>
            <w:tcW w:w="3100" w:type="dxa"/>
            <w:vAlign w:val="bottom"/>
            <w:gridSpan w:val="8"/>
            <w:vMerge w:val="continue"/>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1000" w:type="dxa"/>
            <w:vAlign w:val="bottom"/>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Awards:</w:t>
            </w:r>
          </w:p>
        </w:tc>
        <w:tc>
          <w:tcPr>
            <w:tcW w:w="220" w:type="dxa"/>
            <w:vAlign w:val="bottom"/>
            <w:shd w:val="clear" w:color="auto" w:fill="5591C7"/>
          </w:tcPr>
          <w:p>
            <w:pPr>
              <w:spacing w:after="0"/>
              <w:rPr>
                <w:sz w:val="8"/>
                <w:szCs w:val="8"/>
                <w:color w:val="auto"/>
              </w:rPr>
            </w:pPr>
          </w:p>
        </w:tc>
        <w:tc>
          <w:tcPr>
            <w:tcW w:w="1180" w:type="dxa"/>
            <w:vAlign w:val="bottom"/>
            <w:gridSpan w:val="2"/>
            <w:vMerge w:val="restart"/>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68"/>
        </w:trPr>
        <w:tc>
          <w:tcPr>
            <w:tcW w:w="150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74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3140" w:type="dxa"/>
            <w:vAlign w:val="bottom"/>
            <w:gridSpan w:val="6"/>
            <w:vMerge w:val="restart"/>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Under Non-Equity Incentive</w:t>
            </w:r>
          </w:p>
        </w:tc>
        <w:tc>
          <w:tcPr>
            <w:tcW w:w="3100" w:type="dxa"/>
            <w:vAlign w:val="bottom"/>
            <w:gridSpan w:val="8"/>
            <w:vMerge w:val="restart"/>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Under Equity Incentive</w:t>
            </w:r>
          </w:p>
        </w:tc>
        <w:tc>
          <w:tcPr>
            <w:tcW w:w="100" w:type="dxa"/>
            <w:vAlign w:val="bottom"/>
            <w:shd w:val="clear" w:color="auto" w:fill="5591C7"/>
          </w:tcPr>
          <w:p>
            <w:pPr>
              <w:spacing w:after="0"/>
              <w:rPr>
                <w:sz w:val="5"/>
                <w:szCs w:val="5"/>
                <w:color w:val="auto"/>
              </w:rPr>
            </w:pPr>
          </w:p>
        </w:tc>
        <w:tc>
          <w:tcPr>
            <w:tcW w:w="1000" w:type="dxa"/>
            <w:vAlign w:val="bottom"/>
            <w:vMerge w:val="continue"/>
            <w:shd w:val="clear" w:color="auto" w:fill="5591C7"/>
          </w:tcPr>
          <w:p>
            <w:pPr>
              <w:spacing w:after="0"/>
              <w:rPr>
                <w:sz w:val="5"/>
                <w:szCs w:val="5"/>
                <w:color w:val="auto"/>
              </w:rPr>
            </w:pPr>
          </w:p>
        </w:tc>
        <w:tc>
          <w:tcPr>
            <w:tcW w:w="220" w:type="dxa"/>
            <w:vAlign w:val="bottom"/>
            <w:shd w:val="clear" w:color="auto" w:fill="5591C7"/>
          </w:tcPr>
          <w:p>
            <w:pPr>
              <w:spacing w:after="0"/>
              <w:rPr>
                <w:sz w:val="5"/>
                <w:szCs w:val="5"/>
                <w:color w:val="auto"/>
              </w:rPr>
            </w:pPr>
          </w:p>
        </w:tc>
        <w:tc>
          <w:tcPr>
            <w:tcW w:w="1180" w:type="dxa"/>
            <w:vAlign w:val="bottom"/>
            <w:gridSpan w:val="2"/>
            <w:vMerge w:val="continue"/>
            <w:shd w:val="clear" w:color="auto" w:fill="5591C7"/>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74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3140" w:type="dxa"/>
            <w:vAlign w:val="bottom"/>
            <w:gridSpan w:val="6"/>
            <w:vMerge w:val="continue"/>
            <w:shd w:val="clear" w:color="auto" w:fill="5591C7"/>
          </w:tcPr>
          <w:p>
            <w:pPr>
              <w:spacing w:after="0"/>
              <w:rPr>
                <w:sz w:val="8"/>
                <w:szCs w:val="8"/>
                <w:color w:val="auto"/>
              </w:rPr>
            </w:pPr>
          </w:p>
        </w:tc>
        <w:tc>
          <w:tcPr>
            <w:tcW w:w="3100" w:type="dxa"/>
            <w:vAlign w:val="bottom"/>
            <w:gridSpan w:val="8"/>
            <w:vMerge w:val="continue"/>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1000" w:type="dxa"/>
            <w:vAlign w:val="bottom"/>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shd w:val="clear" w:color="auto" w:fill="5591C7"/>
          </w:tcPr>
          <w:p>
            <w:pPr>
              <w:spacing w:after="0"/>
              <w:rPr>
                <w:sz w:val="8"/>
                <w:szCs w:val="8"/>
                <w:color w:val="auto"/>
              </w:rPr>
            </w:pPr>
          </w:p>
        </w:tc>
        <w:tc>
          <w:tcPr>
            <w:tcW w:w="1180" w:type="dxa"/>
            <w:vAlign w:val="bottom"/>
            <w:gridSpan w:val="2"/>
            <w:vMerge w:val="restart"/>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68"/>
        </w:trPr>
        <w:tc>
          <w:tcPr>
            <w:tcW w:w="150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74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960" w:type="dxa"/>
            <w:vAlign w:val="bottom"/>
            <w:shd w:val="clear" w:color="auto" w:fill="5591C7"/>
          </w:tcPr>
          <w:p>
            <w:pPr>
              <w:spacing w:after="0"/>
              <w:rPr>
                <w:sz w:val="5"/>
                <w:szCs w:val="5"/>
                <w:color w:val="auto"/>
              </w:rPr>
            </w:pPr>
          </w:p>
        </w:tc>
        <w:tc>
          <w:tcPr>
            <w:tcW w:w="1060" w:type="dxa"/>
            <w:vAlign w:val="bottom"/>
            <w:gridSpan w:val="3"/>
            <w:vMerge w:val="restart"/>
            <w:shd w:val="clear" w:color="auto" w:fill="5591C7"/>
          </w:tcPr>
          <w:p>
            <w:pPr>
              <w:jc w:val="center"/>
              <w:ind w:right="40"/>
              <w:spacing w:after="0" w:line="169" w:lineRule="exact"/>
              <w:rPr>
                <w:sz w:val="20"/>
                <w:szCs w:val="20"/>
                <w:color w:val="auto"/>
              </w:rPr>
            </w:pPr>
            <w:r>
              <w:rPr>
                <w:rFonts w:ascii="Arial" w:cs="Arial" w:eastAsia="Arial" w:hAnsi="Arial"/>
                <w:sz w:val="12"/>
                <w:szCs w:val="12"/>
                <w:b w:val="1"/>
                <w:bCs w:val="1"/>
                <w:color w:val="auto"/>
              </w:rPr>
              <w:t>Plan Awards</w:t>
            </w:r>
            <w:r>
              <w:rPr>
                <w:rFonts w:ascii="Arial" w:cs="Arial" w:eastAsia="Arial" w:hAnsi="Arial"/>
                <w:sz w:val="19"/>
                <w:szCs w:val="19"/>
                <w:b w:val="1"/>
                <w:bCs w:val="1"/>
                <w:color w:val="auto"/>
                <w:vertAlign w:val="superscript"/>
              </w:rPr>
              <w:t>(1)</w:t>
            </w:r>
          </w:p>
        </w:tc>
        <w:tc>
          <w:tcPr>
            <w:tcW w:w="920" w:type="dxa"/>
            <w:vAlign w:val="bottom"/>
            <w:shd w:val="clear" w:color="auto" w:fill="5591C7"/>
          </w:tcPr>
          <w:p>
            <w:pPr>
              <w:spacing w:after="0"/>
              <w:rPr>
                <w:sz w:val="5"/>
                <w:szCs w:val="5"/>
                <w:color w:val="auto"/>
              </w:rPr>
            </w:pPr>
          </w:p>
        </w:tc>
        <w:tc>
          <w:tcPr>
            <w:tcW w:w="200" w:type="dxa"/>
            <w:vAlign w:val="bottom"/>
            <w:shd w:val="clear" w:color="auto" w:fill="5591C7"/>
          </w:tcPr>
          <w:p>
            <w:pPr>
              <w:spacing w:after="0"/>
              <w:rPr>
                <w:sz w:val="5"/>
                <w:szCs w:val="5"/>
                <w:color w:val="auto"/>
              </w:rPr>
            </w:pPr>
          </w:p>
        </w:tc>
        <w:tc>
          <w:tcPr>
            <w:tcW w:w="960" w:type="dxa"/>
            <w:vAlign w:val="bottom"/>
            <w:shd w:val="clear" w:color="auto" w:fill="5591C7"/>
          </w:tcPr>
          <w:p>
            <w:pPr>
              <w:spacing w:after="0"/>
              <w:rPr>
                <w:sz w:val="5"/>
                <w:szCs w:val="5"/>
                <w:color w:val="auto"/>
              </w:rPr>
            </w:pPr>
          </w:p>
        </w:tc>
        <w:tc>
          <w:tcPr>
            <w:tcW w:w="1040" w:type="dxa"/>
            <w:vAlign w:val="bottom"/>
            <w:gridSpan w:val="3"/>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Plan Awards</w:t>
            </w:r>
          </w:p>
        </w:tc>
        <w:tc>
          <w:tcPr>
            <w:tcW w:w="160" w:type="dxa"/>
            <w:vAlign w:val="bottom"/>
            <w:shd w:val="clear" w:color="auto" w:fill="5591C7"/>
          </w:tcPr>
          <w:p>
            <w:pPr>
              <w:spacing w:after="0"/>
              <w:rPr>
                <w:sz w:val="5"/>
                <w:szCs w:val="5"/>
                <w:color w:val="auto"/>
              </w:rPr>
            </w:pPr>
          </w:p>
        </w:tc>
        <w:tc>
          <w:tcPr>
            <w:tcW w:w="840" w:type="dxa"/>
            <w:vAlign w:val="bottom"/>
            <w:shd w:val="clear" w:color="auto" w:fill="5591C7"/>
          </w:tcPr>
          <w:p>
            <w:pPr>
              <w:spacing w:after="0"/>
              <w:rPr>
                <w:sz w:val="5"/>
                <w:szCs w:val="5"/>
                <w:color w:val="auto"/>
              </w:rPr>
            </w:pPr>
          </w:p>
        </w:tc>
        <w:tc>
          <w:tcPr>
            <w:tcW w:w="40" w:type="dxa"/>
            <w:vAlign w:val="bottom"/>
            <w:shd w:val="clear" w:color="auto" w:fill="5591C7"/>
          </w:tcPr>
          <w:p>
            <w:pPr>
              <w:spacing w:after="0"/>
              <w:rPr>
                <w:sz w:val="5"/>
                <w:szCs w:val="5"/>
                <w:color w:val="auto"/>
              </w:rPr>
            </w:pPr>
          </w:p>
        </w:tc>
        <w:tc>
          <w:tcPr>
            <w:tcW w:w="6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1000" w:type="dxa"/>
            <w:vAlign w:val="bottom"/>
            <w:vMerge w:val="continue"/>
            <w:shd w:val="clear" w:color="auto" w:fill="5591C7"/>
          </w:tcPr>
          <w:p>
            <w:pPr>
              <w:spacing w:after="0"/>
              <w:rPr>
                <w:sz w:val="5"/>
                <w:szCs w:val="5"/>
                <w:color w:val="auto"/>
              </w:rPr>
            </w:pPr>
          </w:p>
        </w:tc>
        <w:tc>
          <w:tcPr>
            <w:tcW w:w="220" w:type="dxa"/>
            <w:vAlign w:val="bottom"/>
            <w:shd w:val="clear" w:color="auto" w:fill="5591C7"/>
          </w:tcPr>
          <w:p>
            <w:pPr>
              <w:spacing w:after="0"/>
              <w:rPr>
                <w:sz w:val="5"/>
                <w:szCs w:val="5"/>
                <w:color w:val="auto"/>
              </w:rPr>
            </w:pPr>
          </w:p>
        </w:tc>
        <w:tc>
          <w:tcPr>
            <w:tcW w:w="1180" w:type="dxa"/>
            <w:vAlign w:val="bottom"/>
            <w:gridSpan w:val="2"/>
            <w:vMerge w:val="continue"/>
            <w:shd w:val="clear" w:color="auto" w:fill="5591C7"/>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500" w:type="dxa"/>
            <w:vAlign w:val="bottom"/>
            <w:tcBorders>
              <w:bottom w:val="single" w:sz="8" w:color="5591C7"/>
            </w:tcBorders>
            <w:shd w:val="clear" w:color="auto" w:fill="5591C7"/>
          </w:tcPr>
          <w:p>
            <w:pPr>
              <w:spacing w:after="0"/>
              <w:rPr>
                <w:sz w:val="10"/>
                <w:szCs w:val="10"/>
                <w:color w:val="auto"/>
              </w:rPr>
            </w:pPr>
          </w:p>
        </w:tc>
        <w:tc>
          <w:tcPr>
            <w:tcW w:w="12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shd w:val="clear" w:color="auto" w:fill="5591C7"/>
          </w:tcPr>
          <w:p>
            <w:pPr>
              <w:spacing w:after="0"/>
              <w:rPr>
                <w:sz w:val="10"/>
                <w:szCs w:val="10"/>
                <w:color w:val="auto"/>
              </w:rPr>
            </w:pPr>
          </w:p>
        </w:tc>
        <w:tc>
          <w:tcPr>
            <w:tcW w:w="740" w:type="dxa"/>
            <w:vAlign w:val="bottom"/>
            <w:tcBorders>
              <w:bottom w:val="single" w:sz="8" w:color="5591C7"/>
            </w:tcBorders>
            <w:shd w:val="clear" w:color="auto" w:fill="5591C7"/>
          </w:tcPr>
          <w:p>
            <w:pPr>
              <w:spacing w:after="0"/>
              <w:rPr>
                <w:sz w:val="10"/>
                <w:szCs w:val="10"/>
                <w:color w:val="auto"/>
              </w:rPr>
            </w:pPr>
          </w:p>
        </w:tc>
        <w:tc>
          <w:tcPr>
            <w:tcW w:w="12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shd w:val="clear" w:color="auto" w:fill="5591C7"/>
          </w:tcPr>
          <w:p>
            <w:pPr>
              <w:spacing w:after="0"/>
              <w:rPr>
                <w:sz w:val="10"/>
                <w:szCs w:val="10"/>
                <w:color w:val="auto"/>
              </w:rPr>
            </w:pPr>
          </w:p>
        </w:tc>
        <w:tc>
          <w:tcPr>
            <w:tcW w:w="960" w:type="dxa"/>
            <w:vAlign w:val="bottom"/>
            <w:tcBorders>
              <w:bottom w:val="single" w:sz="8" w:color="auto"/>
            </w:tcBorders>
            <w:shd w:val="clear" w:color="auto" w:fill="5591C7"/>
          </w:tcPr>
          <w:p>
            <w:pPr>
              <w:spacing w:after="0"/>
              <w:rPr>
                <w:sz w:val="10"/>
                <w:szCs w:val="10"/>
                <w:color w:val="auto"/>
              </w:rPr>
            </w:pPr>
          </w:p>
        </w:tc>
        <w:tc>
          <w:tcPr>
            <w:tcW w:w="1060" w:type="dxa"/>
            <w:vAlign w:val="bottom"/>
            <w:tcBorders>
              <w:bottom w:val="single" w:sz="8" w:color="auto"/>
            </w:tcBorders>
            <w:gridSpan w:val="3"/>
            <w:vMerge w:val="continue"/>
            <w:shd w:val="clear" w:color="auto" w:fill="5591C7"/>
          </w:tcPr>
          <w:p>
            <w:pPr>
              <w:spacing w:after="0"/>
              <w:rPr>
                <w:sz w:val="10"/>
                <w:szCs w:val="10"/>
                <w:color w:val="auto"/>
              </w:rPr>
            </w:pPr>
          </w:p>
        </w:tc>
        <w:tc>
          <w:tcPr>
            <w:tcW w:w="920" w:type="dxa"/>
            <w:vAlign w:val="bottom"/>
            <w:tcBorders>
              <w:bottom w:val="single" w:sz="8" w:color="auto"/>
            </w:tcBorders>
            <w:shd w:val="clear" w:color="auto" w:fill="5591C7"/>
          </w:tcPr>
          <w:p>
            <w:pPr>
              <w:spacing w:after="0"/>
              <w:rPr>
                <w:sz w:val="10"/>
                <w:szCs w:val="10"/>
                <w:color w:val="auto"/>
              </w:rPr>
            </w:pPr>
          </w:p>
        </w:tc>
        <w:tc>
          <w:tcPr>
            <w:tcW w:w="200" w:type="dxa"/>
            <w:vAlign w:val="bottom"/>
            <w:tcBorders>
              <w:bottom w:val="single" w:sz="8" w:color="5591C7"/>
            </w:tcBorders>
            <w:shd w:val="clear" w:color="auto" w:fill="5591C7"/>
          </w:tcPr>
          <w:p>
            <w:pPr>
              <w:spacing w:after="0"/>
              <w:rPr>
                <w:sz w:val="10"/>
                <w:szCs w:val="10"/>
                <w:color w:val="auto"/>
              </w:rPr>
            </w:pPr>
          </w:p>
        </w:tc>
        <w:tc>
          <w:tcPr>
            <w:tcW w:w="960" w:type="dxa"/>
            <w:vAlign w:val="bottom"/>
            <w:tcBorders>
              <w:bottom w:val="single" w:sz="8" w:color="auto"/>
            </w:tcBorders>
            <w:shd w:val="clear" w:color="auto" w:fill="5591C7"/>
          </w:tcPr>
          <w:p>
            <w:pPr>
              <w:spacing w:after="0"/>
              <w:rPr>
                <w:sz w:val="10"/>
                <w:szCs w:val="10"/>
                <w:color w:val="auto"/>
              </w:rPr>
            </w:pPr>
          </w:p>
        </w:tc>
        <w:tc>
          <w:tcPr>
            <w:tcW w:w="1040" w:type="dxa"/>
            <w:vAlign w:val="bottom"/>
            <w:tcBorders>
              <w:bottom w:val="single" w:sz="8" w:color="auto"/>
            </w:tcBorders>
            <w:gridSpan w:val="3"/>
            <w:vMerge w:val="continue"/>
            <w:shd w:val="clear" w:color="auto" w:fill="5591C7"/>
          </w:tcPr>
          <w:p>
            <w:pPr>
              <w:spacing w:after="0"/>
              <w:rPr>
                <w:sz w:val="10"/>
                <w:szCs w:val="10"/>
                <w:color w:val="auto"/>
              </w:rPr>
            </w:pPr>
          </w:p>
        </w:tc>
        <w:tc>
          <w:tcPr>
            <w:tcW w:w="160" w:type="dxa"/>
            <w:vAlign w:val="bottom"/>
            <w:tcBorders>
              <w:bottom w:val="single" w:sz="8" w:color="auto"/>
            </w:tcBorders>
            <w:shd w:val="clear" w:color="auto" w:fill="5591C7"/>
          </w:tcPr>
          <w:p>
            <w:pPr>
              <w:spacing w:after="0"/>
              <w:rPr>
                <w:sz w:val="10"/>
                <w:szCs w:val="10"/>
                <w:color w:val="auto"/>
              </w:rPr>
            </w:pPr>
          </w:p>
        </w:tc>
        <w:tc>
          <w:tcPr>
            <w:tcW w:w="840" w:type="dxa"/>
            <w:vAlign w:val="bottom"/>
            <w:tcBorders>
              <w:bottom w:val="single" w:sz="8" w:color="auto"/>
            </w:tcBorders>
            <w:shd w:val="clear" w:color="auto" w:fill="5591C7"/>
          </w:tcPr>
          <w:p>
            <w:pPr>
              <w:spacing w:after="0"/>
              <w:rPr>
                <w:sz w:val="10"/>
                <w:szCs w:val="10"/>
                <w:color w:val="auto"/>
              </w:rPr>
            </w:pPr>
          </w:p>
        </w:tc>
        <w:tc>
          <w:tcPr>
            <w:tcW w:w="40" w:type="dxa"/>
            <w:vAlign w:val="bottom"/>
            <w:tcBorders>
              <w:bottom w:val="single" w:sz="8" w:color="5591C7"/>
            </w:tcBorders>
            <w:shd w:val="clear" w:color="auto" w:fill="5591C7"/>
          </w:tcPr>
          <w:p>
            <w:pPr>
              <w:spacing w:after="0"/>
              <w:rPr>
                <w:sz w:val="10"/>
                <w:szCs w:val="10"/>
                <w:color w:val="auto"/>
              </w:rPr>
            </w:pPr>
          </w:p>
        </w:tc>
        <w:tc>
          <w:tcPr>
            <w:tcW w:w="6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vMerge w:val="restart"/>
            <w:shd w:val="clear" w:color="auto" w:fill="5591C7"/>
          </w:tcPr>
          <w:p>
            <w:pPr>
              <w:spacing w:after="0"/>
              <w:rPr>
                <w:sz w:val="10"/>
                <w:szCs w:val="10"/>
                <w:color w:val="auto"/>
              </w:rPr>
            </w:pPr>
          </w:p>
        </w:tc>
        <w:tc>
          <w:tcPr>
            <w:tcW w:w="1000" w:type="dxa"/>
            <w:vAlign w:val="bottom"/>
            <w:tcBorders>
              <w:bottom w:val="single" w:sz="8" w:color="5591C7"/>
            </w:tcBorders>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Shares of</w:t>
            </w:r>
          </w:p>
        </w:tc>
        <w:tc>
          <w:tcPr>
            <w:tcW w:w="220" w:type="dxa"/>
            <w:vAlign w:val="bottom"/>
            <w:tcBorders>
              <w:bottom w:val="single" w:sz="8" w:color="5591C7"/>
            </w:tcBorders>
            <w:vMerge w:val="restart"/>
            <w:shd w:val="clear" w:color="auto" w:fill="5591C7"/>
          </w:tcPr>
          <w:p>
            <w:pPr>
              <w:spacing w:after="0"/>
              <w:rPr>
                <w:sz w:val="10"/>
                <w:szCs w:val="10"/>
                <w:color w:val="auto"/>
              </w:rPr>
            </w:pPr>
          </w:p>
        </w:tc>
        <w:tc>
          <w:tcPr>
            <w:tcW w:w="1180" w:type="dxa"/>
            <w:vAlign w:val="bottom"/>
            <w:tcBorders>
              <w:bottom w:val="single" w:sz="8" w:color="5591C7"/>
            </w:tcBorders>
            <w:gridSpan w:val="2"/>
            <w:vMerge w:val="restart"/>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21"/>
        </w:trPr>
        <w:tc>
          <w:tcPr>
            <w:tcW w:w="1500" w:type="dxa"/>
            <w:vAlign w:val="bottom"/>
            <w:shd w:val="clear" w:color="auto" w:fill="5591C7"/>
          </w:tcPr>
          <w:p>
            <w:pPr>
              <w:spacing w:after="0" w:line="20" w:lineRule="exact"/>
              <w:rPr>
                <w:sz w:val="1"/>
                <w:szCs w:val="1"/>
                <w:color w:val="auto"/>
              </w:rPr>
            </w:pPr>
          </w:p>
        </w:tc>
        <w:tc>
          <w:tcPr>
            <w:tcW w:w="120" w:type="dxa"/>
            <w:vAlign w:val="bottom"/>
            <w:shd w:val="clear" w:color="auto" w:fill="5591C7"/>
          </w:tcPr>
          <w:p>
            <w:pPr>
              <w:spacing w:after="0" w:line="20" w:lineRule="exact"/>
              <w:rPr>
                <w:sz w:val="1"/>
                <w:szCs w:val="1"/>
                <w:color w:val="auto"/>
              </w:rPr>
            </w:pPr>
          </w:p>
        </w:tc>
        <w:tc>
          <w:tcPr>
            <w:tcW w:w="100" w:type="dxa"/>
            <w:vAlign w:val="bottom"/>
            <w:shd w:val="clear" w:color="auto" w:fill="5591C7"/>
          </w:tcPr>
          <w:p>
            <w:pPr>
              <w:spacing w:after="0" w:line="20" w:lineRule="exact"/>
              <w:rPr>
                <w:sz w:val="1"/>
                <w:szCs w:val="1"/>
                <w:color w:val="auto"/>
              </w:rPr>
            </w:pPr>
          </w:p>
        </w:tc>
        <w:tc>
          <w:tcPr>
            <w:tcW w:w="740" w:type="dxa"/>
            <w:vAlign w:val="bottom"/>
            <w:shd w:val="clear" w:color="auto" w:fill="5591C7"/>
          </w:tcPr>
          <w:p>
            <w:pPr>
              <w:spacing w:after="0" w:line="20" w:lineRule="exact"/>
              <w:rPr>
                <w:sz w:val="1"/>
                <w:szCs w:val="1"/>
                <w:color w:val="auto"/>
              </w:rPr>
            </w:pPr>
          </w:p>
        </w:tc>
        <w:tc>
          <w:tcPr>
            <w:tcW w:w="120" w:type="dxa"/>
            <w:vAlign w:val="bottom"/>
            <w:shd w:val="clear" w:color="auto" w:fill="5591C7"/>
          </w:tcPr>
          <w:p>
            <w:pPr>
              <w:spacing w:after="0" w:line="20" w:lineRule="exact"/>
              <w:rPr>
                <w:sz w:val="1"/>
                <w:szCs w:val="1"/>
                <w:color w:val="auto"/>
              </w:rPr>
            </w:pPr>
          </w:p>
        </w:tc>
        <w:tc>
          <w:tcPr>
            <w:tcW w:w="100" w:type="dxa"/>
            <w:vAlign w:val="bottom"/>
            <w:shd w:val="clear" w:color="auto" w:fill="5591C7"/>
          </w:tcPr>
          <w:p>
            <w:pPr>
              <w:spacing w:after="0" w:line="20" w:lineRule="exact"/>
              <w:rPr>
                <w:sz w:val="1"/>
                <w:szCs w:val="1"/>
                <w:color w:val="auto"/>
              </w:rPr>
            </w:pPr>
          </w:p>
        </w:tc>
        <w:tc>
          <w:tcPr>
            <w:tcW w:w="96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62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920" w:type="dxa"/>
            <w:vAlign w:val="bottom"/>
            <w:shd w:val="clear" w:color="auto" w:fill="5591C7"/>
          </w:tcPr>
          <w:p>
            <w:pPr>
              <w:spacing w:after="0" w:line="20" w:lineRule="exact"/>
              <w:rPr>
                <w:sz w:val="1"/>
                <w:szCs w:val="1"/>
                <w:color w:val="auto"/>
              </w:rPr>
            </w:pPr>
          </w:p>
        </w:tc>
        <w:tc>
          <w:tcPr>
            <w:tcW w:w="200" w:type="dxa"/>
            <w:vAlign w:val="bottom"/>
            <w:shd w:val="clear" w:color="auto" w:fill="5591C7"/>
          </w:tcPr>
          <w:p>
            <w:pPr>
              <w:spacing w:after="0" w:line="20" w:lineRule="exact"/>
              <w:rPr>
                <w:sz w:val="1"/>
                <w:szCs w:val="1"/>
                <w:color w:val="auto"/>
              </w:rPr>
            </w:pPr>
          </w:p>
        </w:tc>
        <w:tc>
          <w:tcPr>
            <w:tcW w:w="96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820" w:type="dxa"/>
            <w:vAlign w:val="bottom"/>
            <w:gridSpan w:val="2"/>
            <w:shd w:val="clear" w:color="auto" w:fill="5591C7"/>
          </w:tcPr>
          <w:p>
            <w:pPr>
              <w:spacing w:after="0" w:line="20" w:lineRule="exact"/>
              <w:rPr>
                <w:sz w:val="1"/>
                <w:szCs w:val="1"/>
                <w:color w:val="auto"/>
              </w:rPr>
            </w:pPr>
          </w:p>
        </w:tc>
        <w:tc>
          <w:tcPr>
            <w:tcW w:w="160" w:type="dxa"/>
            <w:vAlign w:val="bottom"/>
            <w:shd w:val="clear" w:color="auto" w:fill="5591C7"/>
          </w:tcPr>
          <w:p>
            <w:pPr>
              <w:spacing w:after="0" w:line="20" w:lineRule="exact"/>
              <w:rPr>
                <w:sz w:val="1"/>
                <w:szCs w:val="1"/>
                <w:color w:val="auto"/>
              </w:rPr>
            </w:pPr>
          </w:p>
        </w:tc>
        <w:tc>
          <w:tcPr>
            <w:tcW w:w="840" w:type="dxa"/>
            <w:vAlign w:val="bottom"/>
            <w:shd w:val="clear" w:color="auto" w:fill="5591C7"/>
          </w:tcPr>
          <w:p>
            <w:pPr>
              <w:spacing w:after="0" w:line="20" w:lineRule="exact"/>
              <w:rPr>
                <w:sz w:val="1"/>
                <w:szCs w:val="1"/>
                <w:color w:val="auto"/>
              </w:rPr>
            </w:pPr>
          </w:p>
        </w:tc>
        <w:tc>
          <w:tcPr>
            <w:tcW w:w="40" w:type="dxa"/>
            <w:vAlign w:val="bottom"/>
            <w:shd w:val="clear" w:color="auto" w:fill="5591C7"/>
          </w:tcPr>
          <w:p>
            <w:pPr>
              <w:spacing w:after="0" w:line="20" w:lineRule="exact"/>
              <w:rPr>
                <w:sz w:val="1"/>
                <w:szCs w:val="1"/>
                <w:color w:val="auto"/>
              </w:rPr>
            </w:pPr>
          </w:p>
        </w:tc>
        <w:tc>
          <w:tcPr>
            <w:tcW w:w="60" w:type="dxa"/>
            <w:vAlign w:val="bottom"/>
            <w:shd w:val="clear" w:color="auto" w:fill="5591C7"/>
          </w:tcPr>
          <w:p>
            <w:pPr>
              <w:spacing w:after="0" w:line="20" w:lineRule="exact"/>
              <w:rPr>
                <w:sz w:val="1"/>
                <w:szCs w:val="1"/>
                <w:color w:val="auto"/>
              </w:rPr>
            </w:pPr>
          </w:p>
        </w:tc>
        <w:tc>
          <w:tcPr>
            <w:tcW w:w="100" w:type="dxa"/>
            <w:vAlign w:val="bottom"/>
            <w:vMerge w:val="continue"/>
            <w:shd w:val="clear" w:color="auto" w:fill="5591C7"/>
          </w:tcPr>
          <w:p>
            <w:pPr>
              <w:spacing w:after="0" w:line="20" w:lineRule="exact"/>
              <w:rPr>
                <w:sz w:val="1"/>
                <w:szCs w:val="1"/>
                <w:color w:val="auto"/>
              </w:rPr>
            </w:pPr>
          </w:p>
        </w:tc>
        <w:tc>
          <w:tcPr>
            <w:tcW w:w="1000" w:type="dxa"/>
            <w:vAlign w:val="bottom"/>
            <w:vMerge w:val="continue"/>
            <w:shd w:val="clear" w:color="auto" w:fill="5591C7"/>
          </w:tcPr>
          <w:p>
            <w:pPr>
              <w:spacing w:after="0" w:line="20" w:lineRule="exact"/>
              <w:rPr>
                <w:sz w:val="1"/>
                <w:szCs w:val="1"/>
                <w:color w:val="auto"/>
              </w:rPr>
            </w:pPr>
          </w:p>
        </w:tc>
        <w:tc>
          <w:tcPr>
            <w:tcW w:w="220" w:type="dxa"/>
            <w:vAlign w:val="bottom"/>
            <w:vMerge w:val="continue"/>
            <w:shd w:val="clear" w:color="auto" w:fill="5591C7"/>
          </w:tcPr>
          <w:p>
            <w:pPr>
              <w:spacing w:after="0" w:line="20" w:lineRule="exact"/>
              <w:rPr>
                <w:sz w:val="1"/>
                <w:szCs w:val="1"/>
                <w:color w:val="auto"/>
              </w:rPr>
            </w:pPr>
          </w:p>
        </w:tc>
        <w:tc>
          <w:tcPr>
            <w:tcW w:w="1180" w:type="dxa"/>
            <w:vAlign w:val="bottom"/>
            <w:gridSpan w:val="2"/>
            <w:vMerge w:val="continue"/>
            <w:shd w:val="clear" w:color="auto" w:fill="5591C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2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8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Stock or</w:t>
            </w:r>
          </w:p>
        </w:tc>
        <w:tc>
          <w:tcPr>
            <w:tcW w:w="220" w:type="dxa"/>
            <w:vAlign w:val="bottom"/>
            <w:shd w:val="clear" w:color="auto" w:fill="5591C7"/>
          </w:tcPr>
          <w:p>
            <w:pPr>
              <w:spacing w:after="0"/>
              <w:rPr>
                <w:sz w:val="14"/>
                <w:szCs w:val="14"/>
                <w:color w:val="auto"/>
              </w:rPr>
            </w:pPr>
          </w:p>
        </w:tc>
        <w:tc>
          <w:tcPr>
            <w:tcW w:w="118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60" w:type="dxa"/>
            <w:vAlign w:val="bottom"/>
            <w:gridSpan w:val="2"/>
            <w:shd w:val="clear" w:color="auto" w:fill="5591C7"/>
          </w:tcPr>
          <w:p>
            <w:pPr>
              <w:ind w:left="180"/>
              <w:spacing w:after="0"/>
              <w:rPr>
                <w:sz w:val="20"/>
                <w:szCs w:val="20"/>
                <w:color w:val="auto"/>
              </w:rPr>
            </w:pPr>
            <w:r>
              <w:rPr>
                <w:rFonts w:ascii="Arial" w:cs="Arial" w:eastAsia="Arial" w:hAnsi="Arial"/>
                <w:sz w:val="14"/>
                <w:szCs w:val="14"/>
                <w:b w:val="1"/>
                <w:bCs w:val="1"/>
                <w:color w:val="auto"/>
              </w:rPr>
              <w:t>Grant</w:t>
            </w: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jc w:val="right"/>
              <w:ind w:right="68"/>
              <w:spacing w:after="0"/>
              <w:rPr>
                <w:sz w:val="20"/>
                <w:szCs w:val="20"/>
                <w:color w:val="auto"/>
              </w:rPr>
            </w:pPr>
            <w:r>
              <w:rPr>
                <w:rFonts w:ascii="Arial" w:cs="Arial" w:eastAsia="Arial" w:hAnsi="Arial"/>
                <w:sz w:val="14"/>
                <w:szCs w:val="14"/>
                <w:b w:val="1"/>
                <w:bCs w:val="1"/>
                <w:color w:val="auto"/>
              </w:rPr>
              <w:t>Threshold</w:t>
            </w:r>
          </w:p>
        </w:tc>
        <w:tc>
          <w:tcPr>
            <w:tcW w:w="220" w:type="dxa"/>
            <w:vAlign w:val="bottom"/>
            <w:shd w:val="clear" w:color="auto" w:fill="5591C7"/>
          </w:tcPr>
          <w:p>
            <w:pPr>
              <w:spacing w:after="0"/>
              <w:rPr>
                <w:sz w:val="14"/>
                <w:szCs w:val="14"/>
                <w:color w:val="auto"/>
              </w:rPr>
            </w:pPr>
          </w:p>
        </w:tc>
        <w:tc>
          <w:tcPr>
            <w:tcW w:w="840" w:type="dxa"/>
            <w:vAlign w:val="bottom"/>
            <w:gridSpan w:val="2"/>
            <w:shd w:val="clear" w:color="auto" w:fill="5591C7"/>
          </w:tcPr>
          <w:p>
            <w:pPr>
              <w:jc w:val="right"/>
              <w:ind w:right="320"/>
              <w:spacing w:after="0"/>
              <w:rPr>
                <w:sz w:val="20"/>
                <w:szCs w:val="20"/>
                <w:color w:val="auto"/>
              </w:rPr>
            </w:pPr>
            <w:r>
              <w:rPr>
                <w:rFonts w:ascii="Arial" w:cs="Arial" w:eastAsia="Arial" w:hAnsi="Arial"/>
                <w:sz w:val="14"/>
                <w:szCs w:val="14"/>
                <w:b w:val="1"/>
                <w:bCs w:val="1"/>
                <w:color w:val="auto"/>
              </w:rPr>
              <w:t>Target</w:t>
            </w:r>
          </w:p>
        </w:tc>
        <w:tc>
          <w:tcPr>
            <w:tcW w:w="1120" w:type="dxa"/>
            <w:vAlign w:val="bottom"/>
            <w:gridSpan w:val="2"/>
            <w:shd w:val="clear" w:color="auto" w:fill="5591C7"/>
          </w:tcPr>
          <w:p>
            <w:pPr>
              <w:jc w:val="right"/>
              <w:ind w:right="340"/>
              <w:spacing w:after="0"/>
              <w:rPr>
                <w:sz w:val="20"/>
                <w:szCs w:val="20"/>
                <w:color w:val="auto"/>
              </w:rPr>
            </w:pPr>
            <w:r>
              <w:rPr>
                <w:rFonts w:ascii="Arial" w:cs="Arial" w:eastAsia="Arial" w:hAnsi="Arial"/>
                <w:sz w:val="14"/>
                <w:szCs w:val="14"/>
                <w:b w:val="1"/>
                <w:bCs w:val="1"/>
                <w:color w:val="auto"/>
              </w:rPr>
              <w:t>Maximum</w:t>
            </w:r>
          </w:p>
        </w:tc>
        <w:tc>
          <w:tcPr>
            <w:tcW w:w="960" w:type="dxa"/>
            <w:vAlign w:val="bottom"/>
            <w:shd w:val="clear" w:color="auto" w:fill="5591C7"/>
          </w:tcPr>
          <w:p>
            <w:pPr>
              <w:jc w:val="right"/>
              <w:ind w:right="48"/>
              <w:spacing w:after="0"/>
              <w:rPr>
                <w:sz w:val="20"/>
                <w:szCs w:val="20"/>
                <w:color w:val="auto"/>
              </w:rPr>
            </w:pPr>
            <w:r>
              <w:rPr>
                <w:rFonts w:ascii="Arial" w:cs="Arial" w:eastAsia="Arial" w:hAnsi="Arial"/>
                <w:sz w:val="14"/>
                <w:szCs w:val="14"/>
                <w:b w:val="1"/>
                <w:bCs w:val="1"/>
                <w:color w:val="auto"/>
              </w:rPr>
              <w:t>Threshold</w:t>
            </w: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jc w:val="right"/>
              <w:spacing w:after="0"/>
              <w:rPr>
                <w:sz w:val="20"/>
                <w:szCs w:val="20"/>
                <w:color w:val="auto"/>
              </w:rPr>
            </w:pPr>
            <w:r>
              <w:rPr>
                <w:rFonts w:ascii="Arial" w:cs="Arial" w:eastAsia="Arial" w:hAnsi="Arial"/>
                <w:sz w:val="14"/>
                <w:szCs w:val="14"/>
                <w:b w:val="1"/>
                <w:bCs w:val="1"/>
                <w:color w:val="auto"/>
              </w:rPr>
              <w:t>Target</w:t>
            </w: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940" w:type="dxa"/>
            <w:vAlign w:val="bottom"/>
            <w:gridSpan w:val="3"/>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Units</w:t>
            </w:r>
          </w:p>
        </w:tc>
        <w:tc>
          <w:tcPr>
            <w:tcW w:w="220" w:type="dxa"/>
            <w:vAlign w:val="bottom"/>
            <w:shd w:val="clear" w:color="auto" w:fill="5591C7"/>
          </w:tcPr>
          <w:p>
            <w:pPr>
              <w:spacing w:after="0"/>
              <w:rPr>
                <w:sz w:val="14"/>
                <w:szCs w:val="14"/>
                <w:color w:val="auto"/>
              </w:rPr>
            </w:pPr>
          </w:p>
        </w:tc>
        <w:tc>
          <w:tcPr>
            <w:tcW w:w="118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2"/>
        </w:trPr>
        <w:tc>
          <w:tcPr>
            <w:tcW w:w="1500" w:type="dxa"/>
            <w:vAlign w:val="bottom"/>
            <w:tcBorders>
              <w:bottom w:val="single" w:sz="8" w:color="auto"/>
            </w:tcBorders>
            <w:shd w:val="clear" w:color="auto" w:fill="5591C7"/>
          </w:tcPr>
          <w:p>
            <w:pPr>
              <w:ind w:left="40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4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960" w:type="dxa"/>
            <w:vAlign w:val="bottom"/>
            <w:tcBorders>
              <w:bottom w:val="single" w:sz="8" w:color="auto"/>
            </w:tcBorders>
            <w:shd w:val="clear" w:color="auto" w:fill="5591C7"/>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6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2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5591C7"/>
            </w:tcBorders>
            <w:shd w:val="clear" w:color="auto" w:fill="5591C7"/>
          </w:tcPr>
          <w:p>
            <w:pPr>
              <w:spacing w:after="0"/>
              <w:rPr>
                <w:sz w:val="15"/>
                <w:szCs w:val="15"/>
                <w:color w:val="auto"/>
              </w:rPr>
            </w:pPr>
          </w:p>
        </w:tc>
        <w:tc>
          <w:tcPr>
            <w:tcW w:w="960" w:type="dxa"/>
            <w:vAlign w:val="bottom"/>
            <w:tcBorders>
              <w:bottom w:val="single" w:sz="8" w:color="auto"/>
            </w:tcBorders>
            <w:shd w:val="clear" w:color="auto" w:fill="5591C7"/>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5591C7"/>
          </w:tcPr>
          <w:p>
            <w:pPr>
              <w:spacing w:after="0"/>
              <w:rPr>
                <w:sz w:val="15"/>
                <w:szCs w:val="15"/>
                <w:color w:val="auto"/>
              </w:rPr>
            </w:pPr>
          </w:p>
        </w:tc>
        <w:tc>
          <w:tcPr>
            <w:tcW w:w="160" w:type="dxa"/>
            <w:vAlign w:val="bottom"/>
            <w:tcBorders>
              <w:bottom w:val="single" w:sz="8" w:color="5591C7"/>
            </w:tcBorders>
            <w:shd w:val="clear" w:color="auto" w:fill="5591C7"/>
          </w:tcPr>
          <w:p>
            <w:pPr>
              <w:spacing w:after="0"/>
              <w:rPr>
                <w:sz w:val="15"/>
                <w:szCs w:val="15"/>
                <w:color w:val="auto"/>
              </w:rPr>
            </w:pPr>
          </w:p>
        </w:tc>
        <w:tc>
          <w:tcPr>
            <w:tcW w:w="84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10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1020" w:type="dxa"/>
            <w:vAlign w:val="bottom"/>
            <w:tcBorders>
              <w:bottom w:val="single" w:sz="8" w:color="auto"/>
            </w:tcBorders>
            <w:shd w:val="clear" w:color="auto" w:fill="5591C7"/>
          </w:tcPr>
          <w:p>
            <w:pPr>
              <w:jc w:val="right"/>
              <w:ind w:right="36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5591C7"/>
            </w:tcBorders>
            <w:shd w:val="clear" w:color="auto" w:fill="5591C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Rohit Kapoor</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600,000</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1,200,000</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651,563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1,024,313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4/29/2015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(4)</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3,140,000</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37,500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1,303,125</w:t>
            </w:r>
          </w:p>
        </w:tc>
        <w:tc>
          <w:tcPr>
            <w:tcW w:w="0" w:type="dxa"/>
            <w:vAlign w:val="bottom"/>
          </w:tcPr>
          <w:p>
            <w:pPr>
              <w:spacing w:after="0"/>
              <w:rPr>
                <w:sz w:val="1"/>
                <w:szCs w:val="1"/>
                <w:color w:val="auto"/>
              </w:rPr>
            </w:pPr>
          </w:p>
        </w:tc>
      </w:tr>
      <w:tr>
        <w:trPr>
          <w:trHeight w:val="191"/>
        </w:trPr>
        <w:tc>
          <w:tcPr>
            <w:tcW w:w="1620" w:type="dxa"/>
            <w:vAlign w:val="bottom"/>
            <w:gridSpan w:val="2"/>
          </w:tcPr>
          <w:p>
            <w:pPr>
              <w:ind w:left="100"/>
              <w:spacing w:after="0"/>
              <w:rPr>
                <w:sz w:val="20"/>
                <w:szCs w:val="20"/>
                <w:color w:val="auto"/>
              </w:rPr>
            </w:pPr>
            <w:r>
              <w:rPr>
                <w:rFonts w:ascii="Arial" w:cs="Arial" w:eastAsia="Arial" w:hAnsi="Arial"/>
                <w:sz w:val="14"/>
                <w:szCs w:val="14"/>
                <w:color w:val="auto"/>
              </w:rPr>
              <w:t>Vishal Chhibbar</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145,529</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291,057</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130,313</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204,863</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48"/>
              <w:spacing w:after="0" w:line="188" w:lineRule="exact"/>
              <w:rPr>
                <w:sz w:val="20"/>
                <w:szCs w:val="20"/>
                <w:color w:val="auto"/>
              </w:rPr>
            </w:pPr>
            <w:r>
              <w:rPr>
                <w:rFonts w:ascii="Arial" w:cs="Arial" w:eastAsia="Arial" w:hAnsi="Arial"/>
                <w:sz w:val="13"/>
                <w:szCs w:val="13"/>
                <w:color w:val="auto"/>
              </w:rPr>
              <w:t xml:space="preserve">7,500 </w:t>
            </w:r>
            <w:r>
              <w:rPr>
                <w:rFonts w:ascii="Arial" w:cs="Arial" w:eastAsia="Arial" w:hAnsi="Arial"/>
                <w:sz w:val="21"/>
                <w:szCs w:val="21"/>
                <w:color w:val="auto"/>
                <w:vertAlign w:val="superscript"/>
              </w:rPr>
              <w:t>(5)</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260,625</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Pavan Bagai</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237,862</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475,725</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217,188</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341,438</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12,500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434,375</w:t>
            </w:r>
          </w:p>
        </w:tc>
        <w:tc>
          <w:tcPr>
            <w:tcW w:w="0" w:type="dxa"/>
            <w:vAlign w:val="bottom"/>
          </w:tcPr>
          <w:p>
            <w:pPr>
              <w:spacing w:after="0"/>
              <w:rPr>
                <w:sz w:val="1"/>
                <w:szCs w:val="1"/>
                <w:color w:val="auto"/>
              </w:rPr>
            </w:pPr>
          </w:p>
        </w:tc>
      </w:tr>
      <w:tr>
        <w:trPr>
          <w:trHeight w:val="191"/>
        </w:trPr>
        <w:tc>
          <w:tcPr>
            <w:tcW w:w="1620" w:type="dxa"/>
            <w:vAlign w:val="bottom"/>
            <w:gridSpan w:val="2"/>
          </w:tcPr>
          <w:p>
            <w:pPr>
              <w:ind w:left="100"/>
              <w:spacing w:after="0"/>
              <w:rPr>
                <w:sz w:val="20"/>
                <w:szCs w:val="20"/>
                <w:color w:val="auto"/>
              </w:rPr>
            </w:pPr>
            <w:r>
              <w:rPr>
                <w:rFonts w:ascii="Arial" w:cs="Arial" w:eastAsia="Arial" w:hAnsi="Arial"/>
                <w:sz w:val="14"/>
                <w:szCs w:val="14"/>
                <w:color w:val="auto"/>
              </w:rPr>
              <w:t>Nalin Miglani</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240,000</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480,000</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104,250</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163,890</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48"/>
              <w:spacing w:after="0" w:line="188" w:lineRule="exact"/>
              <w:rPr>
                <w:sz w:val="20"/>
                <w:szCs w:val="20"/>
                <w:color w:val="auto"/>
              </w:rPr>
            </w:pPr>
            <w:r>
              <w:rPr>
                <w:rFonts w:ascii="Arial" w:cs="Arial" w:eastAsia="Arial" w:hAnsi="Arial"/>
                <w:sz w:val="13"/>
                <w:szCs w:val="13"/>
                <w:color w:val="auto"/>
              </w:rPr>
              <w:t xml:space="preserve">6,000 </w:t>
            </w:r>
            <w:r>
              <w:rPr>
                <w:rFonts w:ascii="Arial" w:cs="Arial" w:eastAsia="Arial" w:hAnsi="Arial"/>
                <w:sz w:val="21"/>
                <w:szCs w:val="21"/>
                <w:color w:val="auto"/>
                <w:vertAlign w:val="superscript"/>
              </w:rPr>
              <w:t>(5)</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208,500</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Henry Schweppe</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337,500</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675,000</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130,313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204,863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7,500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260,625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100" w:hanging="652"/>
        <w:spacing w:after="0" w:line="241"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reflect the target and maximum cash incentive bonuses set for 2015. For details of our annual incentive bonus program, see “Compensation Discussion and Analysis – Incentive Bonus” beginning on page 32.</w:t>
      </w: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annual awards of Revenue-Linked PRSUs granted under the 2015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annual awards of Relative TSR-Linked PRSUs granted under the 2015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one-time Stock Price Performance Award granted under the 2006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2015 Plan, subject to the vesting set forth in footnote 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9" w:right="239" w:bottom="1440" w:gutter="0" w:footer="0" w:header="0"/>
        </w:sectPr>
      </w:pPr>
    </w:p>
    <w:bookmarkStart w:id="48" w:name="page49"/>
    <w:bookmarkEnd w:id="48"/>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grant date fair value of the estimated future payouts under equity incentive plan awards are based on the Monte Carlo value.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vesting schedules of the stock grants mentioned in the table are as follows (subject to continued employment through each applicable vesting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8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4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Vesting</w:t>
            </w:r>
          </w:p>
        </w:tc>
        <w:tc>
          <w:tcPr>
            <w:tcW w:w="100" w:type="dxa"/>
            <w:vAlign w:val="bottom"/>
            <w:shd w:val="clear" w:color="auto" w:fill="5591C7"/>
          </w:tcPr>
          <w:p>
            <w:pPr>
              <w:spacing w:after="0"/>
              <w:rPr>
                <w:sz w:val="14"/>
                <w:szCs w:val="14"/>
                <w:color w:val="auto"/>
              </w:rPr>
            </w:pPr>
          </w:p>
        </w:tc>
        <w:tc>
          <w:tcPr>
            <w:tcW w:w="59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300" w:type="dxa"/>
            <w:vAlign w:val="bottom"/>
            <w:tcBorders>
              <w:bottom w:val="single" w:sz="8" w:color="auto"/>
            </w:tcBorders>
            <w:shd w:val="clear" w:color="auto" w:fill="5591C7"/>
          </w:tcPr>
          <w:p>
            <w:pPr>
              <w:ind w:left="9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12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Grant Date</w:t>
            </w: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Start Date</w:t>
            </w:r>
          </w:p>
        </w:tc>
        <w:tc>
          <w:tcPr>
            <w:tcW w:w="6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5960" w:type="dxa"/>
            <w:vAlign w:val="bottom"/>
            <w:tcBorders>
              <w:bottom w:val="single" w:sz="8" w:color="auto"/>
            </w:tcBorders>
            <w:shd w:val="clear" w:color="auto" w:fill="5591C7"/>
          </w:tcPr>
          <w:p>
            <w:pPr>
              <w:ind w:left="2380"/>
              <w:spacing w:after="0"/>
              <w:rPr>
                <w:sz w:val="20"/>
                <w:szCs w:val="20"/>
                <w:color w:val="auto"/>
              </w:rPr>
            </w:pPr>
            <w:r>
              <w:rPr>
                <w:rFonts w:ascii="Arial" w:cs="Arial" w:eastAsia="Arial" w:hAnsi="Arial"/>
                <w:sz w:val="14"/>
                <w:szCs w:val="14"/>
                <w:b w:val="1"/>
                <w:bCs w:val="1"/>
                <w:color w:val="auto"/>
              </w:rPr>
              <w:t>Vesting Schedule</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80"/>
        </w:trPr>
        <w:tc>
          <w:tcPr>
            <w:tcW w:w="230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5"/>
                <w:szCs w:val="15"/>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5"/>
                <w:szCs w:val="15"/>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4/29/2015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4/29/2015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Stock Price Performance Award</w:t>
            </w:r>
            <w:r>
              <w:rPr>
                <w:rFonts w:ascii="Arial" w:cs="Arial" w:eastAsia="Arial" w:hAnsi="Arial"/>
                <w:sz w:val="14"/>
                <w:szCs w:val="14"/>
                <w:color w:val="auto"/>
              </w:rPr>
              <w:t>: 100% vesting on 12/31/2017</w:t>
            </w:r>
          </w:p>
        </w:tc>
      </w:tr>
      <w:tr>
        <w:trPr>
          <w:trHeight w:val="191"/>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5"/>
                <w:szCs w:val="15"/>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page 36.</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Pavan Bagai</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80"/>
        </w:trPr>
        <w:tc>
          <w:tcPr>
            <w:tcW w:w="230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5"/>
                <w:szCs w:val="15"/>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5"/>
                <w:szCs w:val="15"/>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91"/>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Nalin Miglani</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5"/>
                <w:szCs w:val="15"/>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page 36.</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Henry Schweppe</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80"/>
        </w:trPr>
        <w:tc>
          <w:tcPr>
            <w:tcW w:w="2300" w:type="dxa"/>
            <w:vAlign w:val="bottom"/>
            <w:shd w:val="clear" w:color="auto" w:fill="B8CCE4"/>
          </w:tcPr>
          <w:p>
            <w:pPr>
              <w:spacing w:after="0"/>
              <w:rPr>
                <w:sz w:val="15"/>
                <w:szCs w:val="15"/>
                <w:color w:val="auto"/>
              </w:rPr>
            </w:pPr>
          </w:p>
        </w:tc>
        <w:tc>
          <w:tcPr>
            <w:tcW w:w="120" w:type="dxa"/>
            <w:vAlign w:val="bottom"/>
            <w:shd w:val="clear" w:color="auto" w:fill="B8CCE4"/>
          </w:tcPr>
          <w:p>
            <w:pPr>
              <w:spacing w:after="0"/>
              <w:rPr>
                <w:sz w:val="15"/>
                <w:szCs w:val="15"/>
                <w:color w:val="auto"/>
              </w:rPr>
            </w:pPr>
          </w:p>
        </w:tc>
        <w:tc>
          <w:tcPr>
            <w:tcW w:w="13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CE4"/>
          </w:tcPr>
          <w:p>
            <w:pPr>
              <w:spacing w:after="0"/>
              <w:rPr>
                <w:sz w:val="15"/>
                <w:szCs w:val="15"/>
                <w:color w:val="auto"/>
              </w:rPr>
            </w:pPr>
          </w:p>
        </w:tc>
        <w:tc>
          <w:tcPr>
            <w:tcW w:w="14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CE4"/>
          </w:tcPr>
          <w:p>
            <w:pPr>
              <w:spacing w:after="0"/>
              <w:rPr>
                <w:sz w:val="15"/>
                <w:szCs w:val="15"/>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128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128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CE4"/>
          </w:tcPr>
          <w:p>
            <w:pPr>
              <w:spacing w:after="0"/>
              <w:rPr>
                <w:sz w:val="16"/>
                <w:szCs w:val="16"/>
                <w:color w:val="auto"/>
              </w:rPr>
            </w:pPr>
          </w:p>
        </w:tc>
        <w:tc>
          <w:tcPr>
            <w:tcW w:w="120" w:type="dxa"/>
            <w:vAlign w:val="bottom"/>
            <w:shd w:val="clear" w:color="auto" w:fill="B8CCE4"/>
          </w:tcPr>
          <w:p>
            <w:pPr>
              <w:spacing w:after="0"/>
              <w:rPr>
                <w:sz w:val="16"/>
                <w:szCs w:val="16"/>
                <w:color w:val="auto"/>
              </w:rPr>
            </w:pPr>
          </w:p>
        </w:tc>
        <w:tc>
          <w:tcPr>
            <w:tcW w:w="13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CE4"/>
          </w:tcPr>
          <w:p>
            <w:pPr>
              <w:spacing w:after="0"/>
              <w:rPr>
                <w:sz w:val="16"/>
                <w:szCs w:val="16"/>
                <w:color w:val="auto"/>
              </w:rPr>
            </w:pPr>
          </w:p>
        </w:tc>
        <w:tc>
          <w:tcPr>
            <w:tcW w:w="14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CE4"/>
          </w:tcPr>
          <w:p>
            <w:pPr>
              <w:spacing w:after="0"/>
              <w:rPr>
                <w:sz w:val="16"/>
                <w:szCs w:val="16"/>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Employment Agreements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216"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dated April 29, 2015. Mr. Kapoor’s employment agreement provides for an initial term that commences January 1, 2015 and extends until December 31, 2017 and automatically renews for successive one-year periods unless terminated with 120 days prior notice.</w:t>
      </w:r>
    </w:p>
    <w:p>
      <w:pPr>
        <w:spacing w:after="0" w:line="170"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Kapoor’s base salary was increased to $600,000, effective January 1, 2015. Mr. Kapoor’s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can be increased at our sole discretion and cannot be decreased unless a Company-wide decrease in pay is implemented. Mr. Kapoor can earn an annual cash bonus, with a target of 100% of base salary and a maximum of 200%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89"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Pursuant to the terms of our 2006 Omnibus Award Plan (the “2006 Plan”), Mr. Kapoor received a Stock Price Performance Award in the second quarter of 2015 that he may earn based on the Company’s average stock price exceeding certain targets during the 60 day period prior to December 31, 2017 and contingent upon his continuous service through that date. The amount of PRUSs Mr. Kapoor ultimately receives may be between 0% and 200% of his Target Award, based on actual performance.</w:t>
      </w:r>
    </w:p>
    <w:p>
      <w:pPr>
        <w:spacing w:after="0" w:line="170"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Mr. Kapoor with certain personal benefits, including certain club memberships, term life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16"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Mr. Chhibbar serves as our Executive Vice President and CFO, and was based in India until December 31, 2015. We entered into an employment agreement with him, effective May 1, 2009, which was in effect until December 31, 2015.</w:t>
      </w:r>
    </w:p>
    <w:p>
      <w:pPr>
        <w:spacing w:after="0" w:line="165"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Chhibbar’s annual fixed compensation, measured in his home currency of Indian rupees, was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5.4% effective April 1, 2015. Mr. Chhibbar’s annual fixed compensation includes base salary, as well as amounts available as a leave travel allowance, a housing allowance, an automobile allowance, a medical allowance and a cash supplementary allowance. In addition, under his agreement, Mr. Chhibbar can earn an annual cash bonus, with a target of 50% of annual fixed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50" w:name="page51"/>
    <w:bookmarkEnd w:id="50"/>
    <w:p>
      <w:pPr>
        <w:jc w:val="both"/>
        <w:ind w:right="240"/>
        <w:spacing w:after="0"/>
        <w:rPr>
          <w:sz w:val="20"/>
          <w:szCs w:val="20"/>
          <w:color w:val="auto"/>
        </w:rPr>
      </w:pPr>
      <w:r>
        <w:rPr>
          <w:rFonts w:ascii="Arial" w:cs="Arial" w:eastAsia="Arial" w:hAnsi="Arial"/>
          <w:sz w:val="18"/>
          <w:szCs w:val="18"/>
          <w:color w:val="auto"/>
        </w:rPr>
        <w:t>compensation and a maximum of 100% of annual fixed compensation, based upon the attainment of performance criteria determined by our Compensation Committee. Mr. Chhibbar is also eligible, subject to performance and other conditions, to receive annual equity awards at the discretion of the Compensation Committee.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2015 Year-End” beginning on page 56.</w:t>
      </w:r>
    </w:p>
    <w:p>
      <w:pPr>
        <w:spacing w:after="0" w:line="183" w:lineRule="exact"/>
        <w:rPr>
          <w:sz w:val="20"/>
          <w:szCs w:val="20"/>
          <w:color w:val="auto"/>
        </w:rPr>
      </w:pPr>
    </w:p>
    <w:p>
      <w:pPr>
        <w:ind w:right="300" w:firstLine="571"/>
        <w:spacing w:after="0" w:line="246" w:lineRule="auto"/>
        <w:rPr>
          <w:sz w:val="20"/>
          <w:szCs w:val="20"/>
          <w:color w:val="auto"/>
        </w:rPr>
      </w:pPr>
      <w:r>
        <w:rPr>
          <w:rFonts w:ascii="Arial" w:cs="Arial" w:eastAsia="Arial" w:hAnsi="Arial"/>
          <w:sz w:val="18"/>
          <w:szCs w:val="18"/>
          <w:color w:val="auto"/>
        </w:rPr>
        <w:t>Please refer to page 40 of the Compensation Discussion and Analysis for a summary of the material terms of Mr. Chhibbar’s revised employment agreement effective January 1,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1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agreement, effective March 15, 2011, each of which will continue throughout Mr. Bagai’s employment with the Company.</w:t>
      </w:r>
    </w:p>
    <w:p>
      <w:pPr>
        <w:spacing w:after="0" w:line="171"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Bagai’s annual fixed compensation, measured in his home currency of Indian rupees, was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6.5% effective April 1, 2015.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in 2015,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89"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Mr. Bagai’s employment and severance agreements also include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Nalin Miglani</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Mr. Miglani serves as our Executive Vice President, Global Head of Human Resources, and is based at our executive offices in New York, New York. We entered into an employment agreement with him, effective December 1, 2014, which will continue throughout Mr. Miglani’s employment with the Company.</w:t>
      </w:r>
    </w:p>
    <w:p>
      <w:pPr>
        <w:spacing w:after="0" w:line="17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Miglani’s base salary is $400,000, which may be increased from time to time by our Board. While,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Mr. Miglani can earn an annual cash bonus, with a target of 60% of base salary and a maximum of 120%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2015 Year-End” beginning on page 49 and (ii) a one-time joining bonus of $200,000 half of which was paid on the commencement of his employment and the other half paid in March 2015, based on his continued service with the Company. Mr. Miglani is entitled to receive $100,000 in connection with his relocation from Amsterdam to New York.</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1" w:name="page52"/>
    <w:bookmarkEnd w:id="51"/>
    <w:p>
      <w:pPr>
        <w:ind w:right="220" w:firstLine="648"/>
        <w:spacing w:after="0" w:line="246" w:lineRule="auto"/>
        <w:rPr>
          <w:sz w:val="20"/>
          <w:szCs w:val="20"/>
          <w:color w:val="auto"/>
        </w:rPr>
      </w:pPr>
      <w:r>
        <w:rPr>
          <w:rFonts w:ascii="Arial" w:cs="Arial" w:eastAsia="Arial" w:hAnsi="Arial"/>
          <w:sz w:val="18"/>
          <w:szCs w:val="18"/>
          <w:color w:val="auto"/>
        </w:rPr>
        <w:t>Mr. Miglani’s employment agreement also includes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Henry Schweppe</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Mr. Schweppe is our former President, Global Business and Marketing of Holdings, and was based at our executive offices in New York, New York. We entered into an employment agreement with him, effective October 6, 2014. His employment with the Company terminated as of March 18, 2016.</w:t>
      </w:r>
    </w:p>
    <w:p>
      <w:pPr>
        <w:spacing w:after="0" w:line="17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Schweppe’s base salary was $450,000. While employed, Mr. Schweppe was eligible to earn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bonus, with a target of 75% of base salary and a maximum of 150% of base salary, based upon attainment of performance criteria determined by our Compensation Committee. Mr. Schweppe was also eligible, subject to performance and other conditions, to receive annual equity awards at the discretion of the Compensation Committee. Mr. Schweppe’s employment agreement provided for: (i) an initial equity award of restricted stock units valued at $500,000 as of the date of grant that vest according to the schedule described below under “Outstanding Equity Awards at Fiscal 2015 Year-End” beginning on page 49 and (ii) a one-time joining bonus of $ 350,000 half of which was paid on the commencement of his employment and the other half of which was paid in March 2015. We agreed to pay up to $200,000 in legal fees on behalf of Mr. Schweppe in connection with his resignation from his prior employer should he have to resolve any matters concerning his noncompetition agreement with his prior employer.</w:t>
      </w:r>
    </w:p>
    <w:p>
      <w:pPr>
        <w:spacing w:after="0" w:line="189"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Mr. Schweppe’s employment agreement also included severance, termination and noncompetition provisions which are described below under “Potential Payments upon Termination or Change in Control at Fiscal 2015 Year-End” beginning on page 56.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Outstanding Equity Awards at Fiscal 2015 Year-End</w:t>
      </w:r>
    </w:p>
    <w:p>
      <w:pPr>
        <w:spacing w:after="0" w:line="22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following table sets forth the equity awards we have made to our named executive officers that were outstanding as of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2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1600" w:type="dxa"/>
            <w:vAlign w:val="bottom"/>
            <w:tcBorders>
              <w:bottom w:val="single" w:sz="8" w:color="auto"/>
            </w:tcBorders>
            <w:gridSpan w:val="2"/>
            <w:shd w:val="clear" w:color="auto" w:fill="5591C7"/>
          </w:tcPr>
          <w:p>
            <w:pPr>
              <w:ind w:left="5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98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2100" w:type="dxa"/>
            <w:vAlign w:val="bottom"/>
            <w:tcBorders>
              <w:bottom w:val="single" w:sz="8" w:color="auto"/>
            </w:tcBorders>
            <w:gridSpan w:val="5"/>
            <w:shd w:val="clear" w:color="auto" w:fill="5591C7"/>
          </w:tcPr>
          <w:p>
            <w:pPr>
              <w:ind w:left="7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r>
      <w:tr>
        <w:trPr>
          <w:trHeight w:val="169"/>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of Shares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or Units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Shares or</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Stock That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Rights That</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Have</w:t>
            </w:r>
          </w:p>
        </w:tc>
      </w:tr>
      <w:tr>
        <w:trPr>
          <w:trHeight w:val="175"/>
        </w:trPr>
        <w:tc>
          <w:tcPr>
            <w:tcW w:w="230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60" w:type="dxa"/>
            <w:vAlign w:val="bottom"/>
            <w:shd w:val="clear" w:color="auto" w:fill="5591C7"/>
          </w:tcPr>
          <w:p>
            <w:pPr>
              <w:spacing w:after="0"/>
              <w:rPr>
                <w:sz w:val="15"/>
                <w:szCs w:val="15"/>
                <w:color w:val="auto"/>
              </w:rPr>
            </w:pPr>
          </w:p>
        </w:tc>
        <w:tc>
          <w:tcPr>
            <w:tcW w:w="16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40" w:type="dxa"/>
            <w:vAlign w:val="bottom"/>
            <w:shd w:val="clear" w:color="auto" w:fill="5591C7"/>
          </w:tcPr>
          <w:p>
            <w:pPr>
              <w:spacing w:after="0"/>
              <w:rPr>
                <w:sz w:val="15"/>
                <w:szCs w:val="15"/>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60" w:type="dxa"/>
            <w:vAlign w:val="bottom"/>
            <w:shd w:val="clear" w:color="auto" w:fill="5591C7"/>
          </w:tcPr>
          <w:p>
            <w:pPr>
              <w:spacing w:after="0"/>
              <w:rPr>
                <w:sz w:val="15"/>
                <w:szCs w:val="15"/>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60" w:type="dxa"/>
            <w:vAlign w:val="bottom"/>
            <w:shd w:val="clear" w:color="auto" w:fill="5591C7"/>
          </w:tcPr>
          <w:p>
            <w:pPr>
              <w:spacing w:after="0"/>
              <w:rPr>
                <w:sz w:val="15"/>
                <w:szCs w:val="15"/>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5591C7"/>
          </w:tcPr>
          <w:p>
            <w:pPr>
              <w:spacing w:after="0"/>
              <w:rPr>
                <w:sz w:val="15"/>
                <w:szCs w:val="15"/>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40" w:type="dxa"/>
            <w:vAlign w:val="bottom"/>
            <w:shd w:val="clear" w:color="auto" w:fill="5591C7"/>
          </w:tcPr>
          <w:p>
            <w:pPr>
              <w:spacing w:after="0"/>
              <w:rPr>
                <w:sz w:val="14"/>
                <w:szCs w:val="14"/>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Vested</w:t>
            </w:r>
          </w:p>
        </w:tc>
      </w:tr>
      <w:tr>
        <w:trPr>
          <w:trHeight w:val="196"/>
        </w:trPr>
        <w:tc>
          <w:tcPr>
            <w:tcW w:w="230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auto"/>
            </w:tcBorders>
            <w:shd w:val="clear" w:color="auto" w:fill="5591C7"/>
          </w:tcPr>
          <w:p>
            <w:pPr>
              <w:spacing w:after="0"/>
              <w:rPr>
                <w:sz w:val="17"/>
                <w:szCs w:val="17"/>
                <w:color w:val="auto"/>
              </w:rPr>
            </w:pPr>
          </w:p>
        </w:tc>
        <w:tc>
          <w:tcPr>
            <w:tcW w:w="12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5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100" w:type="dxa"/>
            <w:vAlign w:val="bottom"/>
            <w:tcBorders>
              <w:bottom w:val="single" w:sz="8" w:color="5591C7"/>
            </w:tcBorders>
            <w:shd w:val="clear" w:color="auto" w:fill="5591C7"/>
          </w:tcPr>
          <w:p>
            <w:pPr>
              <w:spacing w:after="0"/>
              <w:rPr>
                <w:sz w:val="17"/>
                <w:szCs w:val="17"/>
                <w:color w:val="auto"/>
              </w:rPr>
            </w:pPr>
          </w:p>
        </w:tc>
        <w:tc>
          <w:tcPr>
            <w:tcW w:w="8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Price ($)</w:t>
            </w:r>
          </w:p>
        </w:tc>
        <w:tc>
          <w:tcPr>
            <w:tcW w:w="60" w:type="dxa"/>
            <w:vAlign w:val="bottom"/>
            <w:tcBorders>
              <w:bottom w:val="single" w:sz="8" w:color="5591C7"/>
            </w:tcBorders>
            <w:shd w:val="clear" w:color="auto" w:fill="5591C7"/>
          </w:tcPr>
          <w:p>
            <w:pPr>
              <w:spacing w:after="0"/>
              <w:rPr>
                <w:sz w:val="17"/>
                <w:szCs w:val="17"/>
                <w:color w:val="auto"/>
              </w:rPr>
            </w:pPr>
          </w:p>
        </w:tc>
        <w:tc>
          <w:tcPr>
            <w:tcW w:w="40" w:type="dxa"/>
            <w:vAlign w:val="bottom"/>
            <w:tcBorders>
              <w:bottom w:val="single" w:sz="8" w:color="5591C7"/>
            </w:tcBorders>
            <w:shd w:val="clear" w:color="auto" w:fill="5591C7"/>
          </w:tcPr>
          <w:p>
            <w:pPr>
              <w:spacing w:after="0"/>
              <w:rPr>
                <w:sz w:val="17"/>
                <w:szCs w:val="17"/>
                <w:color w:val="auto"/>
              </w:rPr>
            </w:pPr>
          </w:p>
        </w:tc>
        <w:tc>
          <w:tcPr>
            <w:tcW w:w="1040" w:type="dxa"/>
            <w:vAlign w:val="bottom"/>
            <w:tcBorders>
              <w:bottom w:val="single" w:sz="8" w:color="auto"/>
            </w:tcBorders>
            <w:gridSpan w:val="2"/>
            <w:shd w:val="clear" w:color="auto" w:fill="5591C7"/>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700" w:type="dxa"/>
            <w:vAlign w:val="bottom"/>
            <w:tcBorders>
              <w:bottom w:val="single" w:sz="8" w:color="auto"/>
            </w:tcBorders>
            <w:gridSpan w:val="2"/>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0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(3)(5)</w:t>
            </w:r>
          </w:p>
        </w:tc>
        <w:tc>
          <w:tcPr>
            <w:tcW w:w="40" w:type="dxa"/>
            <w:vAlign w:val="bottom"/>
            <w:tcBorders>
              <w:bottom w:val="single" w:sz="8" w:color="5591C7"/>
            </w:tcBorders>
            <w:shd w:val="clear" w:color="auto" w:fill="5591C7"/>
          </w:tcPr>
          <w:p>
            <w:pPr>
              <w:spacing w:after="0"/>
              <w:rPr>
                <w:sz w:val="17"/>
                <w:szCs w:val="17"/>
                <w:color w:val="auto"/>
              </w:rPr>
            </w:pPr>
          </w:p>
        </w:tc>
        <w:tc>
          <w:tcPr>
            <w:tcW w:w="12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00" w:type="dxa"/>
            <w:vAlign w:val="bottom"/>
            <w:tcBorders>
              <w:bottom w:val="single" w:sz="8" w:color="5591C7"/>
            </w:tcBorders>
            <w:shd w:val="clear" w:color="auto" w:fill="5591C7"/>
          </w:tcPr>
          <w:p>
            <w:pPr>
              <w:spacing w:after="0"/>
              <w:rPr>
                <w:sz w:val="17"/>
                <w:szCs w:val="17"/>
                <w:color w:val="auto"/>
              </w:rPr>
            </w:pP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Rohit Kapoor</w:t>
            </w: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11.88</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7/26/2016</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16.96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1/23/2018</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196,400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8.75</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2/10/2019</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97,500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19.76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73,125</w:t>
            </w:r>
          </w:p>
        </w:tc>
        <w:tc>
          <w:tcPr>
            <w:tcW w:w="60" w:type="dxa"/>
            <w:vAlign w:val="bottom"/>
            <w:shd w:val="clear" w:color="auto" w:fill="B8CDE8"/>
          </w:tcPr>
          <w:p>
            <w:pPr>
              <w:spacing w:after="0"/>
              <w:rPr>
                <w:sz w:val="16"/>
                <w:szCs w:val="16"/>
                <w:color w:val="auto"/>
              </w:rPr>
            </w:pPr>
          </w:p>
        </w:tc>
        <w:tc>
          <w:tcPr>
            <w:tcW w:w="15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24,375</w:t>
            </w: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24.77</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9,375</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421,219</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1,684,875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674</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30,283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91"/>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2,409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108,236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28,125</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1,263,656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1,684,875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12,499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561,580</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12,502</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561,715</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6,249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280,768</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12,501</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561,670</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1,684,875</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842,438</w:t>
            </w:r>
          </w:p>
        </w:tc>
      </w:tr>
      <w:tr>
        <w:trPr>
          <w:trHeight w:val="188"/>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4,493,000</w:t>
            </w:r>
          </w:p>
        </w:tc>
      </w:tr>
      <w:tr>
        <w:trPr>
          <w:trHeight w:val="191"/>
        </w:trPr>
        <w:tc>
          <w:tcPr>
            <w:tcW w:w="2300" w:type="dxa"/>
            <w:vAlign w:val="bottom"/>
          </w:tcPr>
          <w:p>
            <w:pPr>
              <w:ind w:left="100"/>
              <w:spacing w:after="0"/>
              <w:rPr>
                <w:sz w:val="20"/>
                <w:szCs w:val="20"/>
                <w:color w:val="auto"/>
              </w:rPr>
            </w:pPr>
            <w:r>
              <w:rPr>
                <w:rFonts w:ascii="Arial" w:cs="Arial" w:eastAsia="Arial" w:hAnsi="Arial"/>
                <w:sz w:val="14"/>
                <w:szCs w:val="14"/>
                <w:color w:val="auto"/>
              </w:rPr>
              <w:t>Vishal Chhibbar</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50,209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9.59</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6/1/2019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6,350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19.76</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4,830</w:t>
            </w:r>
          </w:p>
        </w:tc>
        <w:tc>
          <w:tcPr>
            <w:tcW w:w="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24.77</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1,700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76,381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8,400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377,412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297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13,344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6,300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283,059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751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33,742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7,500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336,975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2,333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104,822</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2,334</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104,867</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1,249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56,118</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2,501</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112,370</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314,510</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168,488</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6"/>
        </w:trPr>
        <w:tc>
          <w:tcPr>
            <w:tcW w:w="230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2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1600" w:type="dxa"/>
            <w:vAlign w:val="bottom"/>
            <w:tcBorders>
              <w:bottom w:val="single" w:sz="8" w:color="auto"/>
            </w:tcBorders>
            <w:gridSpan w:val="2"/>
            <w:shd w:val="clear" w:color="auto" w:fill="5591C7"/>
          </w:tcPr>
          <w:p>
            <w:pPr>
              <w:ind w:left="5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98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2100" w:type="dxa"/>
            <w:vAlign w:val="bottom"/>
            <w:tcBorders>
              <w:bottom w:val="single" w:sz="8" w:color="auto"/>
            </w:tcBorders>
            <w:gridSpan w:val="5"/>
            <w:shd w:val="clear" w:color="auto" w:fill="5591C7"/>
          </w:tcPr>
          <w:p>
            <w:pPr>
              <w:ind w:left="7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r>
      <w:tr>
        <w:trPr>
          <w:trHeight w:val="169"/>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of Shares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or Units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Shares or</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Stock That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Rights That</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Have</w:t>
            </w:r>
          </w:p>
        </w:tc>
      </w:tr>
      <w:tr>
        <w:trPr>
          <w:trHeight w:val="175"/>
        </w:trPr>
        <w:tc>
          <w:tcPr>
            <w:tcW w:w="230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60" w:type="dxa"/>
            <w:vAlign w:val="bottom"/>
            <w:shd w:val="clear" w:color="auto" w:fill="5591C7"/>
          </w:tcPr>
          <w:p>
            <w:pPr>
              <w:spacing w:after="0"/>
              <w:rPr>
                <w:sz w:val="15"/>
                <w:szCs w:val="15"/>
                <w:color w:val="auto"/>
              </w:rPr>
            </w:pPr>
          </w:p>
        </w:tc>
        <w:tc>
          <w:tcPr>
            <w:tcW w:w="16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40" w:type="dxa"/>
            <w:vAlign w:val="bottom"/>
            <w:shd w:val="clear" w:color="auto" w:fill="5591C7"/>
          </w:tcPr>
          <w:p>
            <w:pPr>
              <w:spacing w:after="0"/>
              <w:rPr>
                <w:sz w:val="15"/>
                <w:szCs w:val="15"/>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60" w:type="dxa"/>
            <w:vAlign w:val="bottom"/>
            <w:shd w:val="clear" w:color="auto" w:fill="5591C7"/>
          </w:tcPr>
          <w:p>
            <w:pPr>
              <w:spacing w:after="0"/>
              <w:rPr>
                <w:sz w:val="15"/>
                <w:szCs w:val="15"/>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60" w:type="dxa"/>
            <w:vAlign w:val="bottom"/>
            <w:shd w:val="clear" w:color="auto" w:fill="5591C7"/>
          </w:tcPr>
          <w:p>
            <w:pPr>
              <w:spacing w:after="0"/>
              <w:rPr>
                <w:sz w:val="15"/>
                <w:szCs w:val="15"/>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5591C7"/>
          </w:tcPr>
          <w:p>
            <w:pPr>
              <w:spacing w:after="0"/>
              <w:rPr>
                <w:sz w:val="15"/>
                <w:szCs w:val="15"/>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40" w:type="dxa"/>
            <w:vAlign w:val="bottom"/>
            <w:shd w:val="clear" w:color="auto" w:fill="5591C7"/>
          </w:tcPr>
          <w:p>
            <w:pPr>
              <w:spacing w:after="0"/>
              <w:rPr>
                <w:sz w:val="14"/>
                <w:szCs w:val="14"/>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Vested</w:t>
            </w:r>
          </w:p>
        </w:tc>
      </w:tr>
      <w:tr>
        <w:trPr>
          <w:trHeight w:val="196"/>
        </w:trPr>
        <w:tc>
          <w:tcPr>
            <w:tcW w:w="230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auto"/>
            </w:tcBorders>
            <w:shd w:val="clear" w:color="auto" w:fill="5591C7"/>
          </w:tcPr>
          <w:p>
            <w:pPr>
              <w:spacing w:after="0"/>
              <w:rPr>
                <w:sz w:val="17"/>
                <w:szCs w:val="17"/>
                <w:color w:val="auto"/>
              </w:rPr>
            </w:pPr>
          </w:p>
        </w:tc>
        <w:tc>
          <w:tcPr>
            <w:tcW w:w="12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5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100" w:type="dxa"/>
            <w:vAlign w:val="bottom"/>
            <w:tcBorders>
              <w:bottom w:val="single" w:sz="8" w:color="5591C7"/>
            </w:tcBorders>
            <w:shd w:val="clear" w:color="auto" w:fill="5591C7"/>
          </w:tcPr>
          <w:p>
            <w:pPr>
              <w:spacing w:after="0"/>
              <w:rPr>
                <w:sz w:val="17"/>
                <w:szCs w:val="17"/>
                <w:color w:val="auto"/>
              </w:rPr>
            </w:pPr>
          </w:p>
        </w:tc>
        <w:tc>
          <w:tcPr>
            <w:tcW w:w="8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Price ($)</w:t>
            </w:r>
          </w:p>
        </w:tc>
        <w:tc>
          <w:tcPr>
            <w:tcW w:w="60" w:type="dxa"/>
            <w:vAlign w:val="bottom"/>
            <w:tcBorders>
              <w:bottom w:val="single" w:sz="8" w:color="5591C7"/>
            </w:tcBorders>
            <w:shd w:val="clear" w:color="auto" w:fill="5591C7"/>
          </w:tcPr>
          <w:p>
            <w:pPr>
              <w:spacing w:after="0"/>
              <w:rPr>
                <w:sz w:val="17"/>
                <w:szCs w:val="17"/>
                <w:color w:val="auto"/>
              </w:rPr>
            </w:pPr>
          </w:p>
        </w:tc>
        <w:tc>
          <w:tcPr>
            <w:tcW w:w="40" w:type="dxa"/>
            <w:vAlign w:val="bottom"/>
            <w:tcBorders>
              <w:bottom w:val="single" w:sz="8" w:color="5591C7"/>
            </w:tcBorders>
            <w:shd w:val="clear" w:color="auto" w:fill="5591C7"/>
          </w:tcPr>
          <w:p>
            <w:pPr>
              <w:spacing w:after="0"/>
              <w:rPr>
                <w:sz w:val="17"/>
                <w:szCs w:val="17"/>
                <w:color w:val="auto"/>
              </w:rPr>
            </w:pPr>
          </w:p>
        </w:tc>
        <w:tc>
          <w:tcPr>
            <w:tcW w:w="1040" w:type="dxa"/>
            <w:vAlign w:val="bottom"/>
            <w:tcBorders>
              <w:bottom w:val="single" w:sz="8" w:color="auto"/>
            </w:tcBorders>
            <w:gridSpan w:val="2"/>
            <w:shd w:val="clear" w:color="auto" w:fill="5591C7"/>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700" w:type="dxa"/>
            <w:vAlign w:val="bottom"/>
            <w:tcBorders>
              <w:bottom w:val="single" w:sz="8" w:color="auto"/>
            </w:tcBorders>
            <w:gridSpan w:val="2"/>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0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(3)(5)</w:t>
            </w:r>
          </w:p>
        </w:tc>
        <w:tc>
          <w:tcPr>
            <w:tcW w:w="40" w:type="dxa"/>
            <w:vAlign w:val="bottom"/>
            <w:tcBorders>
              <w:bottom w:val="single" w:sz="8" w:color="5591C7"/>
            </w:tcBorders>
            <w:shd w:val="clear" w:color="auto" w:fill="5591C7"/>
          </w:tcPr>
          <w:p>
            <w:pPr>
              <w:spacing w:after="0"/>
              <w:rPr>
                <w:sz w:val="17"/>
                <w:szCs w:val="17"/>
                <w:color w:val="auto"/>
              </w:rPr>
            </w:pPr>
          </w:p>
        </w:tc>
        <w:tc>
          <w:tcPr>
            <w:tcW w:w="12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00" w:type="dxa"/>
            <w:vAlign w:val="bottom"/>
            <w:tcBorders>
              <w:bottom w:val="single" w:sz="8" w:color="5591C7"/>
            </w:tcBorders>
            <w:shd w:val="clear" w:color="auto" w:fill="5591C7"/>
          </w:tcPr>
          <w:p>
            <w:pPr>
              <w:spacing w:after="0"/>
              <w:rPr>
                <w:sz w:val="17"/>
                <w:szCs w:val="17"/>
                <w:color w:val="auto"/>
              </w:rPr>
            </w:pP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Pavan Bagai</w:t>
            </w: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13,000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19.76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19,500</w:t>
            </w:r>
          </w:p>
        </w:tc>
        <w:tc>
          <w:tcPr>
            <w:tcW w:w="60" w:type="dxa"/>
            <w:vAlign w:val="bottom"/>
            <w:shd w:val="clear" w:color="auto" w:fill="B8CDE8"/>
          </w:tcPr>
          <w:p>
            <w:pPr>
              <w:spacing w:after="0"/>
              <w:rPr>
                <w:sz w:val="16"/>
                <w:szCs w:val="16"/>
                <w:color w:val="auto"/>
              </w:rPr>
            </w:pPr>
          </w:p>
        </w:tc>
        <w:tc>
          <w:tcPr>
            <w:tcW w:w="15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24.77</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5,000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224,650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461</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20,713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16,100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723,373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10,350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465,026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1,203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54,051</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561,625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91"/>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3,833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172,217</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3,834</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172,262</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2,083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93,589</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4,167</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187,223</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11,500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516,695</w:t>
            </w:r>
          </w:p>
        </w:tc>
      </w:tr>
      <w:tr>
        <w:trPr>
          <w:trHeight w:val="188"/>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280,813</w:t>
            </w:r>
          </w:p>
        </w:tc>
      </w:tr>
      <w:tr>
        <w:trPr>
          <w:trHeight w:val="191"/>
        </w:trPr>
        <w:tc>
          <w:tcPr>
            <w:tcW w:w="2300" w:type="dxa"/>
            <w:vAlign w:val="bottom"/>
          </w:tcPr>
          <w:p>
            <w:pPr>
              <w:ind w:left="100"/>
              <w:spacing w:after="0"/>
              <w:rPr>
                <w:sz w:val="20"/>
                <w:szCs w:val="20"/>
                <w:color w:val="auto"/>
              </w:rPr>
            </w:pPr>
            <w:r>
              <w:rPr>
                <w:rFonts w:ascii="Arial" w:cs="Arial" w:eastAsia="Arial" w:hAnsi="Arial"/>
                <w:sz w:val="14"/>
                <w:szCs w:val="14"/>
                <w:color w:val="auto"/>
              </w:rPr>
              <w:t>Nalin Miglani</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18,000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808,740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6,000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269,580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999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44,885</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89,905</w:t>
            </w:r>
          </w:p>
        </w:tc>
      </w:tr>
      <w:tr>
        <w:trPr>
          <w:trHeight w:val="188"/>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134,790</w:t>
            </w: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Henry Schweppe</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18,153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815,614</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800" w:type="dxa"/>
            <w:vAlign w:val="bottom"/>
            <w:gridSpan w:val="4"/>
            <w:shd w:val="clear" w:color="auto" w:fill="B8CCE4"/>
          </w:tcPr>
          <w:p>
            <w:pPr>
              <w:jc w:val="right"/>
              <w:ind w:right="40"/>
              <w:spacing w:after="0"/>
              <w:rPr>
                <w:sz w:val="20"/>
                <w:szCs w:val="20"/>
                <w:color w:val="auto"/>
              </w:rPr>
            </w:pPr>
            <w:r>
              <w:rPr>
                <w:rFonts w:ascii="Arial" w:cs="Arial" w:eastAsia="Arial" w:hAnsi="Arial"/>
                <w:sz w:val="14"/>
                <w:szCs w:val="14"/>
                <w:color w:val="auto"/>
              </w:rPr>
              <w:t>7,500</w:t>
            </w:r>
          </w:p>
        </w:tc>
        <w:tc>
          <w:tcPr>
            <w:tcW w:w="10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336,975</w:t>
            </w: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92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120" w:type="dxa"/>
            <w:vAlign w:val="bottom"/>
            <w:shd w:val="clear" w:color="auto" w:fill="B8CCE4"/>
          </w:tcPr>
          <w:p>
            <w:pPr>
              <w:spacing w:after="0"/>
              <w:rPr>
                <w:sz w:val="16"/>
                <w:szCs w:val="16"/>
                <w:color w:val="auto"/>
              </w:rPr>
            </w:pPr>
          </w:p>
        </w:tc>
        <w:tc>
          <w:tcPr>
            <w:tcW w:w="92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800" w:type="dxa"/>
            <w:vAlign w:val="bottom"/>
            <w:gridSpan w:val="4"/>
            <w:shd w:val="clear" w:color="auto" w:fill="B8CCE4"/>
          </w:tcPr>
          <w:p>
            <w:pPr>
              <w:jc w:val="right"/>
              <w:ind w:right="40"/>
              <w:spacing w:after="0"/>
              <w:rPr>
                <w:sz w:val="20"/>
                <w:szCs w:val="20"/>
                <w:color w:val="auto"/>
              </w:rPr>
            </w:pPr>
            <w:r>
              <w:rPr>
                <w:rFonts w:ascii="Arial" w:cs="Arial" w:eastAsia="Arial" w:hAnsi="Arial"/>
                <w:sz w:val="14"/>
                <w:szCs w:val="14"/>
                <w:color w:val="auto"/>
              </w:rPr>
              <w:t>1,249</w:t>
            </w:r>
          </w:p>
        </w:tc>
        <w:tc>
          <w:tcPr>
            <w:tcW w:w="10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56,118</w:t>
            </w:r>
          </w:p>
        </w:tc>
        <w:tc>
          <w:tcPr>
            <w:tcW w:w="60" w:type="dxa"/>
            <w:vAlign w:val="bottom"/>
            <w:shd w:val="clear" w:color="auto" w:fill="B8CCE4"/>
          </w:tcPr>
          <w:p>
            <w:pPr>
              <w:spacing w:after="0"/>
              <w:rPr>
                <w:sz w:val="16"/>
                <w:szCs w:val="16"/>
                <w:color w:val="auto"/>
              </w:rPr>
            </w:pPr>
          </w:p>
        </w:tc>
        <w:tc>
          <w:tcPr>
            <w:tcW w:w="9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2,501</w:t>
            </w:r>
          </w:p>
        </w:tc>
        <w:tc>
          <w:tcPr>
            <w:tcW w:w="40" w:type="dxa"/>
            <w:vAlign w:val="bottom"/>
            <w:shd w:val="clear" w:color="auto" w:fill="B8CCE4"/>
          </w:tcPr>
          <w:p>
            <w:pPr>
              <w:spacing w:after="0"/>
              <w:rPr>
                <w:sz w:val="16"/>
                <w:szCs w:val="16"/>
                <w:color w:val="auto"/>
              </w:rPr>
            </w:pPr>
          </w:p>
        </w:tc>
        <w:tc>
          <w:tcPr>
            <w:tcW w:w="114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112,370</w:t>
            </w: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4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02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9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3,750</w:t>
            </w:r>
          </w:p>
        </w:tc>
        <w:tc>
          <w:tcPr>
            <w:tcW w:w="40" w:type="dxa"/>
            <w:vAlign w:val="bottom"/>
            <w:shd w:val="clear" w:color="auto" w:fill="B8CCE4"/>
          </w:tcPr>
          <w:p>
            <w:pPr>
              <w:spacing w:after="0"/>
              <w:rPr>
                <w:sz w:val="16"/>
                <w:szCs w:val="16"/>
                <w:color w:val="auto"/>
              </w:rPr>
            </w:pPr>
          </w:p>
        </w:tc>
        <w:tc>
          <w:tcPr>
            <w:tcW w:w="114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168,488</w:t>
            </w:r>
          </w:p>
        </w:tc>
      </w:tr>
    </w:tbl>
    <w:p>
      <w:pPr>
        <w:spacing w:after="0" w:line="207" w:lineRule="exact"/>
        <w:rPr>
          <w:sz w:val="20"/>
          <w:szCs w:val="20"/>
          <w:color w:val="auto"/>
        </w:rPr>
      </w:pPr>
    </w:p>
    <w:p>
      <w:pPr>
        <w:ind w:left="660" w:right="660" w:hanging="328"/>
        <w:spacing w:after="0" w:line="258" w:lineRule="auto"/>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vested and exercisable in accordance with the following schedules (generally subject to continued employment through each applicable vesting date):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Expiration Date</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0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(mm/dd/yyyy)</w:t>
            </w:r>
          </w:p>
        </w:tc>
        <w:tc>
          <w:tcPr>
            <w:tcW w:w="460" w:type="dxa"/>
            <w:vAlign w:val="bottom"/>
            <w:tcBorders>
              <w:bottom w:val="single" w:sz="8" w:color="5591C7"/>
            </w:tcBorders>
            <w:shd w:val="clear" w:color="auto" w:fill="5591C7"/>
          </w:tcPr>
          <w:p>
            <w:pPr>
              <w:spacing w:after="0"/>
              <w:rPr>
                <w:sz w:val="15"/>
                <w:szCs w:val="15"/>
                <w:color w:val="auto"/>
              </w:rPr>
            </w:pPr>
          </w:p>
        </w:tc>
        <w:tc>
          <w:tcPr>
            <w:tcW w:w="8800" w:type="dxa"/>
            <w:vAlign w:val="bottom"/>
            <w:tcBorders>
              <w:bottom w:val="single" w:sz="8" w:color="auto"/>
            </w:tcBorders>
            <w:shd w:val="clear" w:color="auto" w:fill="5591C7"/>
          </w:tcPr>
          <w:p>
            <w:pPr>
              <w:ind w:left="320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060" w:type="dxa"/>
            <w:vAlign w:val="bottom"/>
          </w:tcPr>
          <w:p>
            <w:pPr>
              <w:jc w:val="center"/>
              <w:ind w:left="28"/>
              <w:spacing w:after="0"/>
              <w:rPr>
                <w:sz w:val="20"/>
                <w:szCs w:val="20"/>
                <w:color w:val="auto"/>
              </w:rPr>
            </w:pPr>
            <w:r>
              <w:rPr>
                <w:rFonts w:ascii="Arial" w:cs="Arial" w:eastAsia="Arial" w:hAnsi="Arial"/>
                <w:sz w:val="14"/>
                <w:szCs w:val="14"/>
                <w:color w:val="auto"/>
              </w:rPr>
              <w:t>7/26/2016</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November 14, 2006, November 14, 2007, November 14, 2008 and November 14,</w:t>
            </w:r>
          </w:p>
        </w:tc>
      </w:tr>
      <w:tr>
        <w:trPr>
          <w:trHeight w:val="171"/>
        </w:trPr>
        <w:tc>
          <w:tcPr>
            <w:tcW w:w="2060" w:type="dxa"/>
            <w:vAlign w:val="bottom"/>
          </w:tcPr>
          <w:p>
            <w:pPr>
              <w:spacing w:after="0"/>
              <w:rPr>
                <w:sz w:val="14"/>
                <w:szCs w:val="14"/>
                <w:color w:val="auto"/>
              </w:rPr>
            </w:pPr>
          </w:p>
        </w:tc>
        <w:tc>
          <w:tcPr>
            <w:tcW w:w="9260" w:type="dxa"/>
            <w:vAlign w:val="bottom"/>
            <w:gridSpan w:val="2"/>
          </w:tcPr>
          <w:p>
            <w:pPr>
              <w:ind w:left="46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89"/>
        </w:trPr>
        <w:tc>
          <w:tcPr>
            <w:tcW w:w="2060" w:type="dxa"/>
            <w:vAlign w:val="bottom"/>
            <w:shd w:val="clear" w:color="auto" w:fill="B8CDE8"/>
          </w:tcPr>
          <w:p>
            <w:pPr>
              <w:jc w:val="center"/>
              <w:ind w:left="28"/>
              <w:spacing w:after="0"/>
              <w:rPr>
                <w:sz w:val="20"/>
                <w:szCs w:val="20"/>
                <w:color w:val="auto"/>
              </w:rPr>
            </w:pPr>
            <w:r>
              <w:rPr>
                <w:rFonts w:ascii="Arial" w:cs="Arial" w:eastAsia="Arial" w:hAnsi="Arial"/>
                <w:sz w:val="14"/>
                <w:szCs w:val="14"/>
                <w:color w:val="auto"/>
              </w:rPr>
              <w:t>1/23/2018</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Kapoor, 25% of the options vested on each of January 23, 2009, January 23, 2010, January 23, 2011 and January 23, 2012.</w:t>
            </w:r>
          </w:p>
        </w:tc>
      </w:tr>
      <w:tr>
        <w:trPr>
          <w:trHeight w:val="189"/>
        </w:trPr>
        <w:tc>
          <w:tcPr>
            <w:tcW w:w="2060" w:type="dxa"/>
            <w:vAlign w:val="bottom"/>
          </w:tcPr>
          <w:p>
            <w:pPr>
              <w:jc w:val="center"/>
              <w:ind w:left="28"/>
              <w:spacing w:after="0"/>
              <w:rPr>
                <w:sz w:val="20"/>
                <w:szCs w:val="20"/>
                <w:color w:val="auto"/>
              </w:rPr>
            </w:pPr>
            <w:r>
              <w:rPr>
                <w:rFonts w:ascii="Arial" w:cs="Arial" w:eastAsia="Arial" w:hAnsi="Arial"/>
                <w:sz w:val="14"/>
                <w:szCs w:val="14"/>
                <w:color w:val="auto"/>
              </w:rPr>
              <w:t>2/10/2019</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February 10, 2010, February 10, 2011, February 10, 2012 and February 10, 2013.</w:t>
            </w:r>
          </w:p>
        </w:tc>
      </w:tr>
      <w:tr>
        <w:trPr>
          <w:trHeight w:val="180"/>
        </w:trPr>
        <w:tc>
          <w:tcPr>
            <w:tcW w:w="2060" w:type="dxa"/>
            <w:vAlign w:val="bottom"/>
            <w:shd w:val="clear" w:color="auto" w:fill="B8CDE8"/>
          </w:tcPr>
          <w:p>
            <w:pPr>
              <w:jc w:val="center"/>
              <w:ind w:left="28"/>
              <w:spacing w:after="0"/>
              <w:rPr>
                <w:sz w:val="20"/>
                <w:szCs w:val="20"/>
                <w:color w:val="auto"/>
              </w:rPr>
            </w:pPr>
            <w:r>
              <w:rPr>
                <w:rFonts w:ascii="Arial" w:cs="Arial" w:eastAsia="Arial" w:hAnsi="Arial"/>
                <w:sz w:val="14"/>
                <w:szCs w:val="14"/>
                <w:color w:val="auto"/>
              </w:rPr>
              <w:t>6/1/2019</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Chhibbar, 10% of the options vested on June 1, 2010, an additional 20% of the options vested on June 1, 2011, an additional 30%</w:t>
            </w:r>
          </w:p>
        </w:tc>
      </w:tr>
      <w:tr>
        <w:trPr>
          <w:trHeight w:val="171"/>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of the options vested on June 1, 2012 and the remaining 40% of the options vested on June 1, 2013.</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Expiration Date</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0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(mm/dd/yyyy)</w:t>
            </w:r>
          </w:p>
        </w:tc>
        <w:tc>
          <w:tcPr>
            <w:tcW w:w="460" w:type="dxa"/>
            <w:vAlign w:val="bottom"/>
            <w:tcBorders>
              <w:bottom w:val="single" w:sz="8" w:color="5591C7"/>
            </w:tcBorders>
            <w:shd w:val="clear" w:color="auto" w:fill="5591C7"/>
          </w:tcPr>
          <w:p>
            <w:pPr>
              <w:spacing w:after="0"/>
              <w:rPr>
                <w:sz w:val="15"/>
                <w:szCs w:val="15"/>
                <w:color w:val="auto"/>
              </w:rPr>
            </w:pPr>
          </w:p>
        </w:tc>
        <w:tc>
          <w:tcPr>
            <w:tcW w:w="8800" w:type="dxa"/>
            <w:vAlign w:val="bottom"/>
            <w:tcBorders>
              <w:bottom w:val="single" w:sz="8" w:color="auto"/>
            </w:tcBorders>
            <w:shd w:val="clear" w:color="auto" w:fill="5591C7"/>
          </w:tcPr>
          <w:p>
            <w:pPr>
              <w:ind w:left="320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060" w:type="dxa"/>
            <w:vAlign w:val="bottom"/>
          </w:tcPr>
          <w:p>
            <w:pPr>
              <w:jc w:val="right"/>
              <w:ind w:right="628"/>
              <w:spacing w:after="0"/>
              <w:rPr>
                <w:sz w:val="20"/>
                <w:szCs w:val="20"/>
                <w:color w:val="auto"/>
              </w:rPr>
            </w:pPr>
            <w:r>
              <w:rPr>
                <w:rFonts w:ascii="Arial" w:cs="Arial" w:eastAsia="Arial" w:hAnsi="Arial"/>
                <w:sz w:val="14"/>
                <w:szCs w:val="14"/>
                <w:color w:val="auto"/>
              </w:rPr>
              <w:t>2/3/2021</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February 3, 2012, February 3, 2013, February 3, 2014 and February 3, 2015.</w:t>
            </w:r>
          </w:p>
        </w:tc>
      </w:tr>
      <w:tr>
        <w:trPr>
          <w:trHeight w:val="162"/>
        </w:trPr>
        <w:tc>
          <w:tcPr>
            <w:tcW w:w="2060" w:type="dxa"/>
            <w:vAlign w:val="bottom"/>
          </w:tcPr>
          <w:p>
            <w:pPr>
              <w:spacing w:after="0"/>
              <w:rPr>
                <w:sz w:val="14"/>
                <w:szCs w:val="14"/>
                <w:color w:val="auto"/>
              </w:rPr>
            </w:pP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Messrs. Chhibbar and Bagai, 10% of the options vested on February 3, 2012, an additional 20% of the options vested on February 3,</w:t>
            </w:r>
          </w:p>
        </w:tc>
      </w:tr>
      <w:tr>
        <w:trPr>
          <w:trHeight w:val="171"/>
        </w:trPr>
        <w:tc>
          <w:tcPr>
            <w:tcW w:w="2060" w:type="dxa"/>
            <w:vAlign w:val="bottom"/>
          </w:tcPr>
          <w:p>
            <w:pPr>
              <w:spacing w:after="0"/>
              <w:rPr>
                <w:sz w:val="14"/>
                <w:szCs w:val="14"/>
                <w:color w:val="auto"/>
              </w:rPr>
            </w:pP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2013, an additional 30% of the options vested on February 3, 2014 and the remaining 40% of the options vested on February 3, 2015.</w:t>
            </w:r>
          </w:p>
        </w:tc>
      </w:tr>
      <w:tr>
        <w:trPr>
          <w:trHeight w:val="180"/>
        </w:trPr>
        <w:tc>
          <w:tcPr>
            <w:tcW w:w="2060" w:type="dxa"/>
            <w:vAlign w:val="bottom"/>
            <w:shd w:val="clear" w:color="auto" w:fill="B8CDE8"/>
          </w:tcPr>
          <w:p>
            <w:pPr>
              <w:jc w:val="right"/>
              <w:ind w:right="628"/>
              <w:spacing w:after="0"/>
              <w:rPr>
                <w:sz w:val="20"/>
                <w:szCs w:val="20"/>
                <w:color w:val="auto"/>
              </w:rPr>
            </w:pPr>
            <w:r>
              <w:rPr>
                <w:rFonts w:ascii="Arial" w:cs="Arial" w:eastAsia="Arial" w:hAnsi="Arial"/>
                <w:sz w:val="14"/>
                <w:szCs w:val="14"/>
                <w:color w:val="auto"/>
              </w:rPr>
              <w:t>2/7/2022</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Kapoor, 25% of the options vested on each of February 7, 2013, February 7, 2014, February 7, 2015 and February 7, 2016.</w:t>
            </w:r>
          </w:p>
        </w:tc>
      </w:tr>
      <w:tr>
        <w:trPr>
          <w:trHeight w:val="162"/>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Messrs. Chhibbar and Bagai, 10% of the options vested on February 7, 2013, 20% of the options vested on February 7, 2014, 30% of</w:t>
            </w:r>
          </w:p>
        </w:tc>
      </w:tr>
      <w:tr>
        <w:trPr>
          <w:trHeight w:val="171"/>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the options vested on February 7, 2015, and 40% of the options vested on February 7, 2016.</w:t>
            </w:r>
          </w:p>
        </w:tc>
      </w:tr>
    </w:tbl>
    <w:p>
      <w:pPr>
        <w:spacing w:after="0" w:line="207" w:lineRule="exact"/>
        <w:rPr>
          <w:sz w:val="20"/>
          <w:szCs w:val="20"/>
          <w:color w:val="auto"/>
        </w:rPr>
      </w:pPr>
    </w:p>
    <w:p>
      <w:pPr>
        <w:ind w:left="660" w:right="140" w:hanging="328"/>
        <w:spacing w:after="0" w:line="258"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restricted stock unit awards in this table vest and convert to shares in accordance with the following schedules (generally subject to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 of Units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Unvested as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6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9,375</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7, 2013, February 7, 2014, February 7, 2015 and</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February 7, 2016.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8, 2014, February 8, 2015 and February 8, 2016. The</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remaining 25% of the restricted stock units will vest on February 8, 2017.</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8, 2014, February 8, 2015 and February 8, 2016.</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13, 2015 and February 13, 2016. The remaining</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will vest on February 13, 2017.</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28,125</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13, 2015 and February 13, 2016. An additional 25%</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of the restricted stock units will vest on each of February 13, 2017 and February 13, 2018.</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February 26, 2016. An additional 25% of the restricted stock units will</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vest on each of February 26, 2017, February 26, 2018 and February 26, 2019.</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12,499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6,249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7, 2013, 20% of the restricted stock units vested on February</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7, 2014, 30% of the restricted stock units vested on February 7, 2015, and 40% of the restricted stock units will</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vest on February 7, 2016.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8, 2014, 20% of the restricted stock units vested on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February 8, 2015, 30% of the restricted stock vested on February 8, 2016, and the remaining 40% of the restricted</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stock units will vest on February 8, 2017.</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33.33% of the restricted stock units vested on each of February 8, 2014, February 8, 2015 and February 8, 2016.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6,300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13, 2015 and 20% of the restricted stock units vested on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February 13, 2016. An additional 30% of the restricted stock units will vest on February 13, 2017 and the</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remaining 40% of the restricted stock units will vest on February 13, 2018.</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5" w:name="page56"/>
    <w:bookmarkEnd w:id="55"/>
    <w:p>
      <w:pPr>
        <w:spacing w:after="0" w:line="324"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Pavan Bagai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Nalin Miglani</w:t>
      </w:r>
    </w:p>
    <w:p>
      <w:pPr>
        <w:spacing w:after="0" w:line="20" w:lineRule="exact"/>
        <w:rPr>
          <w:sz w:val="20"/>
          <w:szCs w:val="20"/>
          <w:color w:val="auto"/>
        </w:rPr>
      </w:pPr>
      <w:r>
        <w:rPr>
          <w:sz w:val="20"/>
          <w:szCs w:val="20"/>
          <w:color w:val="auto"/>
        </w:rPr>
        <w:br w:type="column"/>
      </w:r>
    </w:p>
    <w:p>
      <w:pPr>
        <w:ind w:left="360" w:right="7920" w:firstLine="93"/>
        <w:spacing w:after="0" w:line="255" w:lineRule="auto"/>
        <w:tabs>
          <w:tab w:leader="none" w:pos="576"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of Units Unvested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-216535</wp:posOffset>
            </wp:positionV>
            <wp:extent cx="7246620"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left="420"/>
        <w:spacing w:after="0"/>
        <w:tabs>
          <w:tab w:leader="none" w:pos="4140" w:val="left"/>
        </w:tabs>
        <w:rPr>
          <w:sz w:val="20"/>
          <w:szCs w:val="20"/>
          <w:color w:val="auto"/>
        </w:rPr>
      </w:pPr>
      <w:r>
        <w:rPr>
          <w:rFonts w:ascii="Arial" w:cs="Arial" w:eastAsia="Arial" w:hAnsi="Arial"/>
          <w:sz w:val="14"/>
          <w:szCs w:val="14"/>
          <w:b w:val="1"/>
          <w:bCs w:val="1"/>
          <w:color w:val="auto"/>
        </w:rPr>
        <w:t>of 12/31/15</w:t>
      </w:r>
      <w:r>
        <w:rPr>
          <w:sz w:val="20"/>
          <w:szCs w:val="20"/>
          <w:color w:val="auto"/>
        </w:rPr>
        <w:tab/>
      </w:r>
      <w:r>
        <w:rPr>
          <w:rFonts w:ascii="Arial" w:cs="Arial" w:eastAsia="Arial" w:hAnsi="Arial"/>
          <w:sz w:val="14"/>
          <w:szCs w:val="14"/>
          <w:b w:val="1"/>
          <w:bCs w:val="1"/>
          <w:color w:val="auto"/>
        </w:rPr>
        <w:t>Vesting Schedule of Original Grant</w:t>
      </w:r>
    </w:p>
    <w:p>
      <w:pPr>
        <w:spacing w:after="0" w:line="42" w:lineRule="exact"/>
        <w:rPr>
          <w:sz w:val="20"/>
          <w:szCs w:val="20"/>
          <w:color w:val="auto"/>
        </w:rPr>
      </w:pPr>
    </w:p>
    <w:p>
      <w:pPr>
        <w:ind w:left="1700" w:hanging="1019"/>
        <w:spacing w:after="0"/>
        <w:tabs>
          <w:tab w:leader="none" w:pos="1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33.33% of the restricted stock units vested on each of February 13, 2015 and February 13, 2016. The remaining</w:t>
      </w:r>
    </w:p>
    <w:p>
      <w:pPr>
        <w:spacing w:after="0" w:line="1" w:lineRule="exact"/>
        <w:rPr>
          <w:rFonts w:ascii="Arial" w:cs="Arial" w:eastAsia="Arial" w:hAnsi="Arial"/>
          <w:sz w:val="14"/>
          <w:szCs w:val="14"/>
          <w:color w:val="auto"/>
        </w:rPr>
      </w:pPr>
    </w:p>
    <w:p>
      <w:pPr>
        <w:ind w:left="1700"/>
        <w:spacing w:after="0"/>
        <w:rPr>
          <w:rFonts w:ascii="Arial" w:cs="Arial" w:eastAsia="Arial" w:hAnsi="Arial"/>
          <w:sz w:val="14"/>
          <w:szCs w:val="14"/>
          <w:color w:val="auto"/>
        </w:rPr>
      </w:pPr>
      <w:r>
        <w:rPr>
          <w:rFonts w:ascii="Arial" w:cs="Arial" w:eastAsia="Arial" w:hAnsi="Arial"/>
          <w:sz w:val="14"/>
          <w:szCs w:val="14"/>
          <w:color w:val="auto"/>
        </w:rPr>
        <w:t>33.33% of the restricted stock units will vest on February 13, 2017.</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center"/>
              <w:spacing w:after="0"/>
              <w:rPr>
                <w:sz w:val="20"/>
                <w:szCs w:val="20"/>
                <w:color w:val="auto"/>
              </w:rPr>
            </w:pPr>
            <w:r>
              <w:rPr>
                <w:rFonts w:ascii="Arial" w:cs="Arial" w:eastAsia="Arial" w:hAnsi="Arial"/>
                <w:sz w:val="14"/>
                <w:szCs w:val="14"/>
                <w:color w:val="auto"/>
              </w:rPr>
              <w:t>7,500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2,333</w:t>
            </w:r>
          </w:p>
        </w:tc>
        <w:tc>
          <w:tcPr>
            <w:tcW w:w="7520" w:type="dxa"/>
            <w:vAlign w:val="bottom"/>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1,249</w:t>
            </w:r>
          </w:p>
        </w:tc>
        <w:tc>
          <w:tcPr>
            <w:tcW w:w="7520" w:type="dxa"/>
            <w:vAlign w:val="bottom"/>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5,000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7, 2013, 20% of the restricted stock units vested on February</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7, 2014, 30% of the restricted stock units vested on February 7, 2015, and 40% of the restricted stock units will</w:t>
            </w:r>
          </w:p>
        </w:tc>
      </w:tr>
      <w:tr>
        <w:trPr>
          <w:trHeight w:val="171"/>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7, 2016.</w:t>
            </w:r>
          </w:p>
        </w:tc>
      </w:tr>
      <w:tr>
        <w:trPr>
          <w:trHeight w:val="18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461</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8, 2014, February 8, 2015, and February 8, 2016.</w:t>
            </w:r>
          </w:p>
        </w:tc>
      </w:tr>
      <w:tr>
        <w:trPr>
          <w:trHeight w:val="180"/>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16,100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8, 2014, 20% of the restricted stock units vested on</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February 8, 2015, 30% of the restricted stock vested on February 8, 2016, and the remaining 40% of the restricted</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stock units will vest on February 8, 2017.</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10,350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13, 2015 and 20% of the restricted stock units vested on</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February 13, 2016. An additional 30% of the restricted stock units will vest on February 13, 2017 and the</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remaining 40% of the restricted stock units will vest on February 13, 2018.</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1,203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33.33% of the restricted stock units vested on each of February 13, 2015 and February 13, 2016. The remaining</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33.33% of the restricted stock units will vest on February 13, 2017.</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12,500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3,833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2,083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1"/>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80"/>
        </w:trPr>
        <w:tc>
          <w:tcPr>
            <w:tcW w:w="1600" w:type="dxa"/>
            <w:vAlign w:val="bottom"/>
          </w:tcPr>
          <w:p>
            <w:pPr>
              <w:jc w:val="center"/>
              <w:spacing w:after="0"/>
              <w:rPr>
                <w:sz w:val="20"/>
                <w:szCs w:val="20"/>
                <w:color w:val="auto"/>
              </w:rPr>
            </w:pPr>
            <w:r>
              <w:rPr>
                <w:rFonts w:ascii="Arial" w:cs="Arial" w:eastAsia="Arial" w:hAnsi="Arial"/>
                <w:sz w:val="14"/>
                <w:szCs w:val="14"/>
                <w:color w:val="auto"/>
              </w:rPr>
              <w:t>18,000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December 4, 2015.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December 4, 2016, an additional 30 of the restricted stock units will vest on December 4, 2017 and the</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remaining 40% of the restricted stock units will vest on December 4, 2018.</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6,000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-2950210</wp:posOffset>
            </wp:positionV>
            <wp:extent cx="7246620" cy="2298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60" w:space="720"/>
            <w:col w:w="9120"/>
          </w:cols>
          <w:pgMar w:left="360" w:top="923" w:right="239" w:bottom="1440" w:gutter="0" w:footer="0" w:header="0"/>
        </w:sectPr>
      </w:pPr>
    </w:p>
    <w:bookmarkStart w:id="56" w:name="page57"/>
    <w:bookmarkEnd w:id="56"/>
    <w:p>
      <w:pPr>
        <w:jc w:val="center"/>
        <w:ind w:left="2660"/>
        <w:spacing w:after="0"/>
        <w:rPr>
          <w:sz w:val="20"/>
          <w:szCs w:val="20"/>
          <w:color w:val="auto"/>
        </w:rPr>
      </w:pPr>
      <w:r>
        <w:rPr>
          <w:rFonts w:ascii="Arial" w:cs="Arial" w:eastAsia="Arial" w:hAnsi="Arial"/>
          <w:sz w:val="14"/>
          <w:szCs w:val="14"/>
          <w:b w:val="1"/>
          <w:bCs w:val="1"/>
          <w:color w:val="auto"/>
        </w:rPr>
        <w:t># of Units</w:t>
      </w:r>
    </w:p>
    <w:p>
      <w:pPr>
        <w:spacing w:after="0" w:line="19" w:lineRule="exact"/>
        <w:rPr>
          <w:sz w:val="20"/>
          <w:szCs w:val="20"/>
          <w:color w:val="auto"/>
        </w:rPr>
      </w:pPr>
    </w:p>
    <w:p>
      <w:pPr>
        <w:jc w:val="center"/>
        <w:ind w:left="2660"/>
        <w:spacing w:after="0"/>
        <w:rPr>
          <w:sz w:val="20"/>
          <w:szCs w:val="20"/>
          <w:color w:val="auto"/>
        </w:rPr>
      </w:pPr>
      <w:r>
        <w:rPr>
          <w:rFonts w:ascii="Arial" w:cs="Arial" w:eastAsia="Arial" w:hAnsi="Arial"/>
          <w:sz w:val="14"/>
          <w:szCs w:val="14"/>
          <w:b w:val="1"/>
          <w:bCs w:val="1"/>
          <w:color w:val="auto"/>
        </w:rPr>
        <w:t>Unvested as</w:t>
      </w:r>
    </w:p>
    <w:p>
      <w:pPr>
        <w:spacing w:after="0" w:line="1" w:lineRule="exact"/>
        <w:rPr>
          <w:sz w:val="20"/>
          <w:szCs w:val="20"/>
          <w:color w:val="auto"/>
        </w:rPr>
      </w:pPr>
    </w:p>
    <w:p>
      <w:pPr>
        <w:ind w:left="900"/>
        <w:spacing w:after="0"/>
        <w:tabs>
          <w:tab w:leader="none" w:pos="27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of 12/31/15</w:t>
      </w:r>
    </w:p>
    <w:p>
      <w:pPr>
        <w:spacing w:after="0" w:line="28"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999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Vesting Schedule of Original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-307340</wp:posOffset>
            </wp:positionV>
            <wp:extent cx="7246620" cy="334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40" w:lineRule="exact"/>
        <w:rPr>
          <w:sz w:val="20"/>
          <w:szCs w:val="20"/>
          <w:color w:val="auto"/>
        </w:rPr>
      </w:pPr>
    </w:p>
    <w:p>
      <w:pPr>
        <w:ind w:right="480"/>
        <w:spacing w:after="0" w:line="247" w:lineRule="auto"/>
        <w:rPr>
          <w:sz w:val="20"/>
          <w:szCs w:val="20"/>
          <w:color w:val="auto"/>
        </w:rPr>
      </w:pPr>
      <w:r>
        <w:rPr>
          <w:rFonts w:ascii="Arial" w:cs="Arial" w:eastAsia="Arial" w:hAnsi="Arial"/>
          <w:sz w:val="14"/>
          <w:szCs w:val="14"/>
          <w:color w:val="auto"/>
        </w:rPr>
        <w:t>100% of the Revenue-Linked PRSUs will vest on December 31, 2017. This amount represents the number of Revenue-Linked PRSUs that were “banked” pursuant to the banking feature described in “Compensation Discussion and Analysis – Long-Term Equity Incentives” on page 36.</w:t>
      </w:r>
    </w:p>
    <w:p>
      <w:pPr>
        <w:spacing w:after="0" w:line="16" w:lineRule="exact"/>
        <w:rPr>
          <w:sz w:val="20"/>
          <w:szCs w:val="20"/>
          <w:color w:val="auto"/>
        </w:rPr>
      </w:pPr>
    </w:p>
    <w:p>
      <w:pPr>
        <w:sectPr>
          <w:pgSz w:w="11900" w:h="16838" w:orient="portrait"/>
          <w:cols w:equalWidth="0" w:num="2">
            <w:col w:w="3500" w:space="500"/>
            <w:col w:w="7420"/>
          </w:cols>
          <w:pgMar w:left="240" w:top="923" w:right="239" w:bottom="1440" w:gutter="0" w:footer="0" w:header="0"/>
        </w:sect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B8CDE8"/>
          </w:tcPr>
          <w:p>
            <w:pPr>
              <w:ind w:left="120"/>
              <w:spacing w:after="0"/>
              <w:rPr>
                <w:sz w:val="20"/>
                <w:szCs w:val="20"/>
                <w:color w:val="auto"/>
              </w:rPr>
            </w:pPr>
            <w:r>
              <w:rPr>
                <w:rFonts w:ascii="Arial" w:cs="Arial" w:eastAsia="Arial" w:hAnsi="Arial"/>
                <w:sz w:val="14"/>
                <w:szCs w:val="14"/>
                <w:color w:val="auto"/>
              </w:rPr>
              <w:t>Henry Schweppe</w:t>
            </w: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18,153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October 6, 2015. The remaining restricted stock units were forfeited</w:t>
            </w:r>
          </w:p>
        </w:tc>
      </w:tr>
      <w:tr>
        <w:trPr>
          <w:trHeight w:val="171"/>
        </w:trPr>
        <w:tc>
          <w:tcPr>
            <w:tcW w:w="2300" w:type="dxa"/>
            <w:vAlign w:val="bottom"/>
            <w:shd w:val="clear" w:color="auto" w:fill="B8CDE8"/>
          </w:tcPr>
          <w:p>
            <w:pPr>
              <w:spacing w:after="0"/>
              <w:rPr>
                <w:sz w:val="14"/>
                <w:szCs w:val="14"/>
                <w:color w:val="auto"/>
              </w:rPr>
            </w:pPr>
          </w:p>
        </w:tc>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upon his termination of employment with the Company.</w:t>
            </w:r>
          </w:p>
        </w:tc>
      </w:tr>
      <w:tr>
        <w:trPr>
          <w:trHeight w:val="180"/>
        </w:trPr>
        <w:tc>
          <w:tcPr>
            <w:tcW w:w="2300" w:type="dxa"/>
            <w:vAlign w:val="bottom"/>
            <w:shd w:val="clear" w:color="auto" w:fill="B8CDE8"/>
          </w:tcPr>
          <w:p>
            <w:pPr>
              <w:spacing w:after="0"/>
              <w:rPr>
                <w:sz w:val="15"/>
                <w:szCs w:val="15"/>
                <w:color w:val="auto"/>
              </w:rPr>
            </w:pP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7,500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26, 2016. The remaining restricted stock units were forfeited</w:t>
            </w:r>
          </w:p>
        </w:tc>
      </w:tr>
      <w:tr>
        <w:trPr>
          <w:trHeight w:val="171"/>
        </w:trPr>
        <w:tc>
          <w:tcPr>
            <w:tcW w:w="2300" w:type="dxa"/>
            <w:vAlign w:val="bottom"/>
            <w:shd w:val="clear" w:color="auto" w:fill="B8CDE8"/>
          </w:tcPr>
          <w:p>
            <w:pPr>
              <w:spacing w:after="0"/>
              <w:rPr>
                <w:sz w:val="14"/>
                <w:szCs w:val="14"/>
                <w:color w:val="auto"/>
              </w:rPr>
            </w:pPr>
          </w:p>
        </w:tc>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upon his termination of employment with the Company.</w:t>
            </w:r>
          </w:p>
        </w:tc>
      </w:tr>
      <w:tr>
        <w:trPr>
          <w:trHeight w:val="189"/>
        </w:trPr>
        <w:tc>
          <w:tcPr>
            <w:tcW w:w="2300" w:type="dxa"/>
            <w:vAlign w:val="bottom"/>
            <w:shd w:val="clear" w:color="auto" w:fill="B8CDE8"/>
          </w:tcPr>
          <w:p>
            <w:pPr>
              <w:spacing w:after="0"/>
              <w:rPr>
                <w:sz w:val="16"/>
                <w:szCs w:val="16"/>
                <w:color w:val="auto"/>
              </w:rPr>
            </w:pP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1,249</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All of these Revenue-Linked PRSUs were forfeited upon his termination of employment with the Company.</w:t>
            </w:r>
          </w:p>
        </w:tc>
      </w:tr>
    </w:tbl>
    <w:p>
      <w:pPr>
        <w:spacing w:after="0" w:line="167" w:lineRule="exact"/>
        <w:rPr>
          <w:sz w:val="20"/>
          <w:szCs w:val="20"/>
          <w:color w:val="auto"/>
        </w:rPr>
      </w:pPr>
    </w:p>
    <w:p>
      <w:pPr>
        <w:ind w:left="660" w:right="640" w:hanging="328"/>
        <w:spacing w:after="0" w:line="258"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 of Units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Unvested as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8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12,502</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12,501</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9"/>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8"/>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Stock Price Performance Award will vest on December 31, 2017.</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2,334</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3,750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Pavan Bagai</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3,834</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4,167</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11,500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8"/>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6,250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Nalin Miglani</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 of Units</w:t>
            </w:r>
          </w:p>
        </w:tc>
        <w:tc>
          <w:tcPr>
            <w:tcW w:w="22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Unvested as</w:t>
            </w:r>
          </w:p>
        </w:tc>
        <w:tc>
          <w:tcPr>
            <w:tcW w:w="22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22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8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CE4"/>
          </w:tcPr>
          <w:p>
            <w:pPr>
              <w:ind w:left="120"/>
              <w:spacing w:after="0"/>
              <w:rPr>
                <w:sz w:val="20"/>
                <w:szCs w:val="20"/>
                <w:color w:val="auto"/>
              </w:rPr>
            </w:pPr>
            <w:r>
              <w:rPr>
                <w:rFonts w:ascii="Arial" w:cs="Arial" w:eastAsia="Arial" w:hAnsi="Arial"/>
                <w:sz w:val="14"/>
                <w:szCs w:val="14"/>
                <w:color w:val="auto"/>
              </w:rPr>
              <w:t>Henry Schweppe</w:t>
            </w:r>
          </w:p>
        </w:tc>
        <w:tc>
          <w:tcPr>
            <w:tcW w:w="1480" w:type="dxa"/>
            <w:vAlign w:val="bottom"/>
            <w:gridSpan w:val="2"/>
            <w:shd w:val="clear" w:color="auto" w:fill="B8CCE4"/>
          </w:tcPr>
          <w:p>
            <w:pPr>
              <w:jc w:val="center"/>
              <w:ind w:left="48"/>
              <w:spacing w:after="0"/>
              <w:rPr>
                <w:sz w:val="20"/>
                <w:szCs w:val="20"/>
                <w:color w:val="auto"/>
              </w:rPr>
            </w:pPr>
            <w:r>
              <w:rPr>
                <w:rFonts w:ascii="Arial" w:cs="Arial" w:eastAsia="Arial" w:hAnsi="Arial"/>
                <w:sz w:val="14"/>
                <w:szCs w:val="14"/>
                <w:color w:val="auto"/>
              </w:rPr>
              <w:t>2,501</w:t>
            </w: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All of these remaining Revenue-Linked PRSUs were forfeited upon his termination of employment with the</w:t>
            </w:r>
          </w:p>
        </w:tc>
      </w:tr>
      <w:tr>
        <w:trPr>
          <w:trHeight w:val="171"/>
        </w:trPr>
        <w:tc>
          <w:tcPr>
            <w:tcW w:w="2200" w:type="dxa"/>
            <w:vAlign w:val="bottom"/>
            <w:shd w:val="clear" w:color="auto" w:fill="B8CCE4"/>
          </w:tcPr>
          <w:p>
            <w:pPr>
              <w:spacing w:after="0"/>
              <w:rPr>
                <w:sz w:val="14"/>
                <w:szCs w:val="14"/>
                <w:color w:val="auto"/>
              </w:rPr>
            </w:pPr>
          </w:p>
        </w:tc>
        <w:tc>
          <w:tcPr>
            <w:tcW w:w="1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Company.</w:t>
            </w:r>
          </w:p>
        </w:tc>
      </w:tr>
      <w:tr>
        <w:trPr>
          <w:trHeight w:val="180"/>
        </w:trPr>
        <w:tc>
          <w:tcPr>
            <w:tcW w:w="2200" w:type="dxa"/>
            <w:vAlign w:val="bottom"/>
            <w:shd w:val="clear" w:color="auto" w:fill="B8CCE4"/>
          </w:tcPr>
          <w:p>
            <w:pPr>
              <w:spacing w:after="0"/>
              <w:rPr>
                <w:sz w:val="15"/>
                <w:szCs w:val="15"/>
                <w:color w:val="auto"/>
              </w:rPr>
            </w:pPr>
          </w:p>
        </w:tc>
        <w:tc>
          <w:tcPr>
            <w:tcW w:w="100" w:type="dxa"/>
            <w:vAlign w:val="bottom"/>
            <w:shd w:val="clear" w:color="auto" w:fill="B8CCE4"/>
          </w:tcPr>
          <w:p>
            <w:pPr>
              <w:spacing w:after="0"/>
              <w:rPr>
                <w:sz w:val="15"/>
                <w:szCs w:val="15"/>
                <w:color w:val="auto"/>
              </w:rPr>
            </w:pPr>
          </w:p>
        </w:tc>
        <w:tc>
          <w:tcPr>
            <w:tcW w:w="1480" w:type="dxa"/>
            <w:vAlign w:val="bottom"/>
            <w:gridSpan w:val="2"/>
            <w:shd w:val="clear" w:color="auto" w:fill="B8CCE4"/>
          </w:tcPr>
          <w:p>
            <w:pPr>
              <w:jc w:val="center"/>
              <w:ind w:left="48"/>
              <w:spacing w:after="0"/>
              <w:rPr>
                <w:sz w:val="20"/>
                <w:szCs w:val="20"/>
                <w:color w:val="auto"/>
              </w:rPr>
            </w:pPr>
            <w:r>
              <w:rPr>
                <w:rFonts w:ascii="Arial" w:cs="Arial" w:eastAsia="Arial" w:hAnsi="Arial"/>
                <w:sz w:val="14"/>
                <w:szCs w:val="14"/>
                <w:color w:val="auto"/>
              </w:rPr>
              <w:t>3,750</w:t>
            </w: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All of these remaining Relative TSR-Linked PRSUs were forfeited upon his termination of employment with</w:t>
            </w:r>
          </w:p>
        </w:tc>
      </w:tr>
      <w:tr>
        <w:trPr>
          <w:trHeight w:val="171"/>
        </w:trPr>
        <w:tc>
          <w:tcPr>
            <w:tcW w:w="2200" w:type="dxa"/>
            <w:vAlign w:val="bottom"/>
            <w:shd w:val="clear" w:color="auto" w:fill="B8CCE4"/>
          </w:tcPr>
          <w:p>
            <w:pPr>
              <w:spacing w:after="0"/>
              <w:rPr>
                <w:sz w:val="14"/>
                <w:szCs w:val="14"/>
                <w:color w:val="auto"/>
              </w:rPr>
            </w:pPr>
          </w:p>
        </w:tc>
        <w:tc>
          <w:tcPr>
            <w:tcW w:w="1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the Company.</w:t>
            </w:r>
          </w:p>
        </w:tc>
      </w:tr>
    </w:tbl>
    <w:p>
      <w:pPr>
        <w:spacing w:after="0" w:line="16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$44.93, which was the closing price of our stock on December 31, 2015.</w:t>
      </w:r>
    </w:p>
    <w:p>
      <w:pPr>
        <w:spacing w:after="0" w:line="1" w:lineRule="exact"/>
        <w:rPr>
          <w:rFonts w:ascii="Arial" w:cs="Arial" w:eastAsia="Arial" w:hAnsi="Arial"/>
          <w:sz w:val="14"/>
          <w:szCs w:val="14"/>
          <w:color w:val="auto"/>
        </w:rPr>
      </w:pPr>
    </w:p>
    <w:p>
      <w:pPr>
        <w:ind w:left="660" w:right="520" w:hanging="328"/>
        <w:spacing w:after="0" w:line="258"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shown in this column reflect target performance with the exception of the 2014 Revenue-Linked PRSUs and the 2014 Relative TSR-Linked PRSUs. Amounts shown in this column for the 2014 Revenue-Linked PRSUs and the 2014 Relative TSR-Linked PRSUs reflect maximum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Option Exercises and Stock Vested During Fiscal Year 2015</w:t>
      </w:r>
    </w:p>
    <w:p>
      <w:pPr>
        <w:spacing w:after="0" w:line="220"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5591C7"/>
          </w:tcPr>
          <w:p>
            <w:pPr>
              <w:spacing w:after="0"/>
              <w:rPr>
                <w:sz w:val="18"/>
                <w:szCs w:val="18"/>
                <w:color w:val="auto"/>
              </w:rPr>
            </w:pPr>
          </w:p>
        </w:tc>
        <w:tc>
          <w:tcPr>
            <w:tcW w:w="240" w:type="dxa"/>
            <w:vAlign w:val="bottom"/>
            <w:shd w:val="clear" w:color="auto" w:fill="5591C7"/>
          </w:tcPr>
          <w:p>
            <w:pPr>
              <w:spacing w:after="0"/>
              <w:rPr>
                <w:sz w:val="18"/>
                <w:szCs w:val="18"/>
                <w:color w:val="auto"/>
              </w:rPr>
            </w:pPr>
          </w:p>
        </w:tc>
        <w:tc>
          <w:tcPr>
            <w:tcW w:w="3880" w:type="dxa"/>
            <w:vAlign w:val="bottom"/>
            <w:gridSpan w:val="4"/>
            <w:shd w:val="clear" w:color="auto" w:fill="5591C7"/>
          </w:tcPr>
          <w:p>
            <w:pPr>
              <w:ind w:left="1320"/>
              <w:spacing w:after="0"/>
              <w:rPr>
                <w:sz w:val="20"/>
                <w:szCs w:val="20"/>
                <w:color w:val="auto"/>
              </w:rPr>
            </w:pPr>
            <w:r>
              <w:rPr>
                <w:rFonts w:ascii="Arial" w:cs="Arial" w:eastAsia="Arial" w:hAnsi="Arial"/>
                <w:sz w:val="14"/>
                <w:szCs w:val="14"/>
                <w:b w:val="1"/>
                <w:bCs w:val="1"/>
                <w:color w:val="auto"/>
              </w:rPr>
              <w:t>Option Awards</w:t>
            </w:r>
          </w:p>
        </w:tc>
        <w:tc>
          <w:tcPr>
            <w:tcW w:w="3640" w:type="dxa"/>
            <w:vAlign w:val="bottom"/>
            <w:gridSpan w:val="3"/>
            <w:shd w:val="clear" w:color="auto" w:fill="5591C7"/>
          </w:tcPr>
          <w:p>
            <w:pPr>
              <w:jc w:val="right"/>
              <w:ind w:right="1252"/>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3660" w:type="dxa"/>
            <w:vAlign w:val="bottom"/>
            <w:tcBorders>
              <w:top w:val="single" w:sz="8" w:color="5591C7"/>
            </w:tcBorders>
            <w:shd w:val="clear" w:color="auto" w:fill="5591C7"/>
          </w:tcPr>
          <w:p>
            <w:pPr>
              <w:spacing w:after="0"/>
              <w:rPr>
                <w:sz w:val="12"/>
                <w:szCs w:val="12"/>
                <w:color w:val="auto"/>
              </w:rPr>
            </w:pPr>
          </w:p>
        </w:tc>
        <w:tc>
          <w:tcPr>
            <w:tcW w:w="240" w:type="dxa"/>
            <w:vAlign w:val="bottom"/>
            <w:tcBorders>
              <w:top w:val="single" w:sz="8" w:color="5591C7"/>
            </w:tcBorders>
            <w:shd w:val="clear" w:color="auto" w:fill="5591C7"/>
          </w:tcPr>
          <w:p>
            <w:pPr>
              <w:spacing w:after="0"/>
              <w:rPr>
                <w:sz w:val="12"/>
                <w:szCs w:val="12"/>
                <w:color w:val="auto"/>
              </w:rPr>
            </w:pPr>
          </w:p>
        </w:tc>
        <w:tc>
          <w:tcPr>
            <w:tcW w:w="1940" w:type="dxa"/>
            <w:vAlign w:val="bottom"/>
            <w:tcBorders>
              <w:top w:val="single" w:sz="8" w:color="auto"/>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Borders>
              <w:top w:val="single" w:sz="8" w:color="auto"/>
            </w:tcBorders>
            <w:shd w:val="clear" w:color="auto" w:fill="5591C7"/>
          </w:tcPr>
          <w:p>
            <w:pPr>
              <w:jc w:val="center"/>
              <w:spacing w:after="0" w:line="143" w:lineRule="exact"/>
              <w:rPr>
                <w:sz w:val="20"/>
                <w:szCs w:val="20"/>
                <w:color w:val="auto"/>
              </w:rPr>
            </w:pPr>
            <w:r>
              <w:rPr>
                <w:rFonts w:ascii="Arial" w:cs="Arial" w:eastAsia="Arial" w:hAnsi="Arial"/>
                <w:sz w:val="14"/>
                <w:szCs w:val="14"/>
                <w:b w:val="1"/>
                <w:bCs w:val="1"/>
                <w:color w:val="auto"/>
              </w:rPr>
              <w:t>Value Realized</w:t>
            </w:r>
          </w:p>
        </w:tc>
        <w:tc>
          <w:tcPr>
            <w:tcW w:w="220" w:type="dxa"/>
            <w:vAlign w:val="bottom"/>
            <w:tcBorders>
              <w:top w:val="single" w:sz="8" w:color="5591C7"/>
            </w:tcBorders>
            <w:shd w:val="clear" w:color="auto" w:fill="5591C7"/>
          </w:tcPr>
          <w:p>
            <w:pPr>
              <w:spacing w:after="0"/>
              <w:rPr>
                <w:sz w:val="12"/>
                <w:szCs w:val="12"/>
                <w:color w:val="auto"/>
              </w:rPr>
            </w:pPr>
          </w:p>
        </w:tc>
        <w:tc>
          <w:tcPr>
            <w:tcW w:w="1940" w:type="dxa"/>
            <w:vAlign w:val="bottom"/>
            <w:tcBorders>
              <w:top w:val="single" w:sz="8" w:color="auto"/>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 Shares</w:t>
            </w:r>
          </w:p>
        </w:tc>
        <w:tc>
          <w:tcPr>
            <w:tcW w:w="1700" w:type="dxa"/>
            <w:vAlign w:val="bottom"/>
            <w:tcBorders>
              <w:top w:val="single" w:sz="8" w:color="auto"/>
            </w:tcBorders>
            <w:shd w:val="clear" w:color="auto" w:fill="5591C7"/>
          </w:tcPr>
          <w:p>
            <w:pPr>
              <w:jc w:val="center"/>
              <w:spacing w:after="0" w:line="143" w:lineRule="exact"/>
              <w:rPr>
                <w:sz w:val="20"/>
                <w:szCs w:val="20"/>
                <w:color w:val="auto"/>
              </w:rPr>
            </w:pPr>
            <w:r>
              <w:rPr>
                <w:rFonts w:ascii="Arial" w:cs="Arial" w:eastAsia="Arial" w:hAnsi="Arial"/>
                <w:sz w:val="14"/>
                <w:szCs w:val="14"/>
                <w:b w:val="1"/>
                <w:bCs w:val="1"/>
                <w:color w:val="auto"/>
              </w:rPr>
              <w:t>Value Realized</w:t>
            </w:r>
          </w:p>
        </w:tc>
      </w:tr>
      <w:tr>
        <w:trPr>
          <w:trHeight w:val="162"/>
        </w:trPr>
        <w:tc>
          <w:tcPr>
            <w:tcW w:w="366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Acquired on Exercise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on Exercise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Acquired on Vesting</w:t>
            </w: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175"/>
        </w:trPr>
        <w:tc>
          <w:tcPr>
            <w:tcW w:w="3660" w:type="dxa"/>
            <w:vAlign w:val="bottom"/>
            <w:shd w:val="clear" w:color="auto" w:fill="5591C7"/>
          </w:tcPr>
          <w:p>
            <w:pPr>
              <w:ind w:left="1640"/>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shd w:val="clear" w:color="auto" w:fill="5591C7"/>
          </w:tcPr>
          <w:p>
            <w:pPr>
              <w:jc w:val="center"/>
              <w:ind w:left="132"/>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5"/>
                <w:szCs w:val="15"/>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5591C7"/>
          </w:tcPr>
          <w:p>
            <w:pPr>
              <w:spacing w:after="0"/>
              <w:rPr>
                <w:sz w:val="15"/>
                <w:szCs w:val="15"/>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5"/>
                <w:szCs w:val="15"/>
                <w:color w:val="auto"/>
              </w:rPr>
            </w:pP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95"/>
        </w:trPr>
        <w:tc>
          <w:tcPr>
            <w:tcW w:w="3660" w:type="dxa"/>
            <w:vAlign w:val="bottom"/>
            <w:tcBorders>
              <w:top w:val="single" w:sz="8" w:color="auto"/>
            </w:tcBorders>
            <w:shd w:val="clear" w:color="auto" w:fill="C6D9F1"/>
          </w:tcPr>
          <w:p>
            <w:pPr>
              <w:spacing w:after="0" w:line="195" w:lineRule="exact"/>
              <w:rPr>
                <w:sz w:val="20"/>
                <w:szCs w:val="20"/>
                <w:color w:val="auto"/>
              </w:rPr>
            </w:pPr>
            <w:r>
              <w:rPr>
                <w:rFonts w:ascii="Arial" w:cs="Arial" w:eastAsia="Arial" w:hAnsi="Arial"/>
                <w:sz w:val="18"/>
                <w:szCs w:val="18"/>
                <w:color w:val="auto"/>
              </w:rPr>
              <w:t>Rohit Kapoor</w:t>
            </w:r>
          </w:p>
        </w:tc>
        <w:tc>
          <w:tcPr>
            <w:tcW w:w="24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9,375</w:t>
            </w:r>
          </w:p>
        </w:tc>
        <w:tc>
          <w:tcPr>
            <w:tcW w:w="220" w:type="dxa"/>
            <w:vAlign w:val="bottom"/>
            <w:tcBorders>
              <w:top w:val="single" w:sz="8" w:color="C6D9F1"/>
            </w:tcBorders>
            <w:shd w:val="clear" w:color="auto" w:fill="C6D9F1"/>
          </w:tcPr>
          <w:p>
            <w:pPr>
              <w:spacing w:after="0"/>
              <w:rPr>
                <w:sz w:val="16"/>
                <w:szCs w:val="16"/>
                <w:color w:val="auto"/>
              </w:rPr>
            </w:pPr>
          </w:p>
        </w:tc>
        <w:tc>
          <w:tcPr>
            <w:tcW w:w="170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277,008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9,375</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293,438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1,244</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38,937</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673</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21,065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18,750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586,875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9,375</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294,094</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3" w:lineRule="exact"/>
              <w:rPr>
                <w:sz w:val="20"/>
                <w:szCs w:val="20"/>
                <w:color w:val="auto"/>
              </w:rPr>
            </w:pPr>
            <w:r>
              <w:rPr>
                <w:rFonts w:ascii="Arial" w:cs="Arial" w:eastAsia="Arial" w:hAnsi="Arial"/>
                <w:sz w:val="18"/>
                <w:szCs w:val="18"/>
                <w:color w:val="auto"/>
              </w:rPr>
              <w:t>1,203</w:t>
            </w:r>
          </w:p>
        </w:tc>
        <w:tc>
          <w:tcPr>
            <w:tcW w:w="170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37,738</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218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1,800</w:t>
            </w:r>
          </w:p>
        </w:tc>
        <w:tc>
          <w:tcPr>
            <w:tcW w:w="1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26,694</w:t>
            </w:r>
          </w:p>
        </w:tc>
        <w:tc>
          <w:tcPr>
            <w:tcW w:w="1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1,700</w:t>
            </w: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50,231</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3,600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74,664</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1,275</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39,908</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6,300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160,083</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17,340</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23,769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9,296</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24,669</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2,400</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75,120</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25,389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21,959</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26,199</w:t>
            </w: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374</w:t>
            </w:r>
          </w:p>
        </w:tc>
        <w:tc>
          <w:tcPr>
            <w:tcW w:w="2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11,732</w:t>
            </w:r>
          </w:p>
        </w:tc>
      </w:tr>
      <w:tr>
        <w:trPr>
          <w:trHeight w:val="202"/>
        </w:trPr>
        <w:tc>
          <w:tcPr>
            <w:tcW w:w="3660" w:type="dxa"/>
            <w:vAlign w:val="bottom"/>
            <w:shd w:val="clear" w:color="auto" w:fill="C6D9F1"/>
          </w:tcPr>
          <w:p>
            <w:pPr>
              <w:spacing w:after="0" w:line="201" w:lineRule="exact"/>
              <w:rPr>
                <w:sz w:val="20"/>
                <w:szCs w:val="20"/>
                <w:color w:val="auto"/>
              </w:rPr>
            </w:pPr>
            <w:r>
              <w:rPr>
                <w:rFonts w:ascii="Arial" w:cs="Arial" w:eastAsia="Arial" w:hAnsi="Arial"/>
                <w:sz w:val="18"/>
                <w:szCs w:val="18"/>
                <w:color w:val="auto"/>
              </w:rPr>
              <w:t>Pavan Bagai</w:t>
            </w:r>
          </w:p>
        </w:tc>
        <w:tc>
          <w:tcPr>
            <w:tcW w:w="24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5,000</w:t>
            </w:r>
          </w:p>
        </w:tc>
        <w:tc>
          <w:tcPr>
            <w:tcW w:w="1700" w:type="dxa"/>
            <w:vAlign w:val="bottom"/>
            <w:shd w:val="clear" w:color="auto" w:fill="C6D9F1"/>
          </w:tcPr>
          <w:p>
            <w:pPr>
              <w:jc w:val="right"/>
              <w:spacing w:after="0" w:line="201" w:lineRule="exact"/>
              <w:rPr>
                <w:sz w:val="20"/>
                <w:szCs w:val="20"/>
                <w:color w:val="auto"/>
              </w:rPr>
            </w:pPr>
            <w:r>
              <w:rPr>
                <w:rFonts w:ascii="Arial" w:cs="Arial" w:eastAsia="Arial" w:hAnsi="Arial"/>
                <w:sz w:val="18"/>
                <w:szCs w:val="18"/>
                <w:color w:val="auto"/>
              </w:rPr>
              <w:t>147,738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3,750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117,375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25,572</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460</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14,398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4,600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143,980</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36,076</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601</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18,853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Nalin Miglani</w:t>
            </w:r>
          </w:p>
        </w:tc>
        <w:tc>
          <w:tcPr>
            <w:tcW w:w="24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700" w:type="dxa"/>
            <w:vAlign w:val="bottom"/>
          </w:tcPr>
          <w:p>
            <w:pPr>
              <w:jc w:val="right"/>
              <w:spacing w:after="0"/>
              <w:rPr>
                <w:sz w:val="20"/>
                <w:szCs w:val="20"/>
                <w:color w:val="auto"/>
              </w:rPr>
            </w:pPr>
            <w:r>
              <w:rPr>
                <w:rFonts w:ascii="Arial" w:cs="Arial" w:eastAsia="Arial" w:hAnsi="Arial"/>
                <w:sz w:val="18"/>
                <w:szCs w:val="18"/>
                <w:color w:val="auto"/>
              </w:rPr>
              <w:t>91,100</w:t>
            </w:r>
          </w:p>
        </w:tc>
      </w:tr>
      <w:tr>
        <w:trPr>
          <w:trHeight w:val="216"/>
        </w:trPr>
        <w:tc>
          <w:tcPr>
            <w:tcW w:w="3660" w:type="dxa"/>
            <w:vAlign w:val="bottom"/>
            <w:shd w:val="clear" w:color="auto" w:fill="C6D9F1"/>
          </w:tcPr>
          <w:p>
            <w:pPr>
              <w:spacing w:after="0"/>
              <w:rPr>
                <w:sz w:val="20"/>
                <w:szCs w:val="20"/>
                <w:color w:val="auto"/>
              </w:rPr>
            </w:pPr>
            <w:r>
              <w:rPr>
                <w:rFonts w:ascii="Arial" w:cs="Arial" w:eastAsia="Arial" w:hAnsi="Arial"/>
                <w:sz w:val="18"/>
                <w:szCs w:val="18"/>
                <w:color w:val="auto"/>
              </w:rPr>
              <w:t>Henry Schweppe</w:t>
            </w:r>
          </w:p>
        </w:tc>
        <w:tc>
          <w:tcPr>
            <w:tcW w:w="240" w:type="dxa"/>
            <w:vAlign w:val="bottom"/>
            <w:shd w:val="clear" w:color="auto" w:fill="C6D9F1"/>
          </w:tcPr>
          <w:p>
            <w:pPr>
              <w:spacing w:after="0"/>
              <w:rPr>
                <w:sz w:val="18"/>
                <w:szCs w:val="18"/>
                <w:color w:val="auto"/>
              </w:rPr>
            </w:pP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2,016</w:t>
            </w:r>
          </w:p>
        </w:tc>
        <w:tc>
          <w:tcPr>
            <w:tcW w:w="1700" w:type="dxa"/>
            <w:vAlign w:val="bottom"/>
            <w:shd w:val="clear" w:color="auto" w:fill="C6D9F1"/>
          </w:tcPr>
          <w:p>
            <w:pPr>
              <w:jc w:val="right"/>
              <w:spacing w:after="0"/>
              <w:rPr>
                <w:sz w:val="20"/>
                <w:szCs w:val="20"/>
                <w:color w:val="auto"/>
              </w:rPr>
            </w:pPr>
            <w:r>
              <w:rPr>
                <w:rFonts w:ascii="Arial" w:cs="Arial" w:eastAsia="Arial" w:hAnsi="Arial"/>
                <w:sz w:val="18"/>
                <w:szCs w:val="18"/>
                <w:color w:val="auto"/>
              </w:rPr>
              <w:t>77,576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2015</w:t>
      </w:r>
    </w:p>
    <w:p>
      <w:pPr>
        <w:spacing w:after="0" w:line="220"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1940" w:type="dxa"/>
            <w:vAlign w:val="bottom"/>
            <w:gridSpan w:val="2"/>
            <w:vMerge w:val="restart"/>
            <w:shd w:val="clear" w:color="auto" w:fill="5591C7"/>
          </w:tcPr>
          <w:p>
            <w:pPr>
              <w:ind w:left="280"/>
              <w:spacing w:after="0"/>
              <w:rPr>
                <w:sz w:val="20"/>
                <w:szCs w:val="20"/>
                <w:color w:val="auto"/>
              </w:rPr>
            </w:pPr>
            <w:r>
              <w:rPr>
                <w:rFonts w:ascii="Arial" w:cs="Arial" w:eastAsia="Arial" w:hAnsi="Arial"/>
                <w:sz w:val="14"/>
                <w:szCs w:val="14"/>
                <w:b w:val="1"/>
                <w:bCs w:val="1"/>
                <w:color w:val="auto"/>
              </w:rPr>
              <w:t>Number of Years</w:t>
            </w:r>
          </w:p>
        </w:tc>
        <w:tc>
          <w:tcPr>
            <w:tcW w:w="1940" w:type="dxa"/>
            <w:vAlign w:val="bottom"/>
            <w:gridSpan w:val="2"/>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Present Value</w:t>
            </w:r>
          </w:p>
        </w:tc>
        <w:tc>
          <w:tcPr>
            <w:tcW w:w="170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5591C7"/>
          </w:tcPr>
          <w:p>
            <w:pPr>
              <w:spacing w:after="0"/>
              <w:rPr>
                <w:sz w:val="12"/>
                <w:szCs w:val="12"/>
                <w:color w:val="auto"/>
              </w:rPr>
            </w:pPr>
          </w:p>
        </w:tc>
        <w:tc>
          <w:tcPr>
            <w:tcW w:w="220" w:type="dxa"/>
            <w:vAlign w:val="bottom"/>
            <w:shd w:val="clear" w:color="auto" w:fill="5591C7"/>
          </w:tcPr>
          <w:p>
            <w:pPr>
              <w:spacing w:after="0"/>
              <w:rPr>
                <w:sz w:val="12"/>
                <w:szCs w:val="12"/>
                <w:color w:val="auto"/>
              </w:rPr>
            </w:pPr>
          </w:p>
        </w:tc>
        <w:tc>
          <w:tcPr>
            <w:tcW w:w="2880" w:type="dxa"/>
            <w:vAlign w:val="bottom"/>
            <w:shd w:val="clear" w:color="auto" w:fill="5591C7"/>
          </w:tcPr>
          <w:p>
            <w:pPr>
              <w:spacing w:after="0"/>
              <w:rPr>
                <w:sz w:val="12"/>
                <w:szCs w:val="12"/>
                <w:color w:val="auto"/>
              </w:rPr>
            </w:pPr>
          </w:p>
        </w:tc>
        <w:tc>
          <w:tcPr>
            <w:tcW w:w="220" w:type="dxa"/>
            <w:vAlign w:val="bottom"/>
            <w:shd w:val="clear" w:color="auto" w:fill="5591C7"/>
          </w:tcPr>
          <w:p>
            <w:pPr>
              <w:spacing w:after="0"/>
              <w:rPr>
                <w:sz w:val="12"/>
                <w:szCs w:val="12"/>
                <w:color w:val="auto"/>
              </w:rPr>
            </w:pPr>
          </w:p>
        </w:tc>
        <w:tc>
          <w:tcPr>
            <w:tcW w:w="1940" w:type="dxa"/>
            <w:vAlign w:val="bottom"/>
            <w:gridSpan w:val="2"/>
            <w:vMerge w:val="continue"/>
            <w:shd w:val="clear" w:color="auto" w:fill="5591C7"/>
          </w:tcPr>
          <w:p>
            <w:pPr>
              <w:spacing w:after="0"/>
              <w:rPr>
                <w:sz w:val="12"/>
                <w:szCs w:val="12"/>
                <w:color w:val="auto"/>
              </w:rPr>
            </w:pPr>
          </w:p>
        </w:tc>
        <w:tc>
          <w:tcPr>
            <w:tcW w:w="1940" w:type="dxa"/>
            <w:vAlign w:val="bottom"/>
            <w:gridSpan w:val="2"/>
            <w:shd w:val="clear" w:color="auto" w:fill="5591C7"/>
          </w:tcPr>
          <w:p>
            <w:pPr>
              <w:jc w:val="center"/>
              <w:ind w:right="220"/>
              <w:spacing w:after="0" w:line="149" w:lineRule="exact"/>
              <w:rPr>
                <w:sz w:val="20"/>
                <w:szCs w:val="20"/>
                <w:color w:val="auto"/>
              </w:rPr>
            </w:pPr>
            <w:r>
              <w:rPr>
                <w:rFonts w:ascii="Arial" w:cs="Arial" w:eastAsia="Arial" w:hAnsi="Arial"/>
                <w:sz w:val="14"/>
                <w:szCs w:val="14"/>
                <w:b w:val="1"/>
                <w:bCs w:val="1"/>
                <w:color w:val="auto"/>
              </w:rPr>
              <w:t>of Accumulated</w:t>
            </w:r>
          </w:p>
        </w:tc>
        <w:tc>
          <w:tcPr>
            <w:tcW w:w="1700" w:type="dxa"/>
            <w:vAlign w:val="bottom"/>
            <w:shd w:val="clear" w:color="auto" w:fill="5591C7"/>
          </w:tcPr>
          <w:p>
            <w:pPr>
              <w:jc w:val="center"/>
              <w:spacing w:after="0" w:line="149" w:lineRule="exact"/>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62"/>
        </w:trPr>
        <w:tc>
          <w:tcPr>
            <w:tcW w:w="25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1940" w:type="dxa"/>
            <w:vAlign w:val="bottom"/>
            <w:gridSpan w:val="2"/>
            <w:shd w:val="clear" w:color="auto" w:fill="5591C7"/>
          </w:tcPr>
          <w:p>
            <w:pPr>
              <w:ind w:left="300"/>
              <w:spacing w:after="0"/>
              <w:rPr>
                <w:sz w:val="20"/>
                <w:szCs w:val="20"/>
                <w:color w:val="auto"/>
              </w:rPr>
            </w:pPr>
            <w:r>
              <w:rPr>
                <w:rFonts w:ascii="Arial" w:cs="Arial" w:eastAsia="Arial" w:hAnsi="Arial"/>
                <w:sz w:val="14"/>
                <w:szCs w:val="14"/>
                <w:b w:val="1"/>
                <w:bCs w:val="1"/>
                <w:color w:val="auto"/>
              </w:rPr>
              <w:t>Credited Service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Benefit</w:t>
            </w: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Last Fiscal Year</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310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Plan Name</w:t>
            </w:r>
          </w:p>
        </w:tc>
        <w:tc>
          <w:tcPr>
            <w:tcW w:w="172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c>
          <w:tcPr>
            <w:tcW w:w="220" w:type="dxa"/>
            <w:vAlign w:val="bottom"/>
            <w:shd w:val="clear" w:color="auto" w:fill="5591C7"/>
          </w:tcPr>
          <w:p>
            <w:pPr>
              <w:spacing w:after="0"/>
              <w:rPr>
                <w:sz w:val="16"/>
                <w:szCs w:val="16"/>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6"/>
                <w:szCs w:val="16"/>
                <w:color w:val="auto"/>
              </w:rPr>
            </w:pP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shd w:val="clear" w:color="auto" w:fill="C6D9F1"/>
          </w:tcPr>
          <w:p>
            <w:pPr>
              <w:spacing w:after="0" w:line="196" w:lineRule="exact"/>
              <w:rPr>
                <w:sz w:val="20"/>
                <w:szCs w:val="20"/>
                <w:color w:val="auto"/>
              </w:rPr>
            </w:pPr>
            <w:r>
              <w:rPr>
                <w:rFonts w:ascii="Arial" w:cs="Arial" w:eastAsia="Arial" w:hAnsi="Arial"/>
                <w:sz w:val="18"/>
                <w:szCs w:val="18"/>
                <w:color w:val="auto"/>
              </w:rPr>
              <w:t>Vishal Chhibbar</w:t>
            </w:r>
          </w:p>
        </w:tc>
        <w:tc>
          <w:tcPr>
            <w:tcW w:w="220" w:type="dxa"/>
            <w:vAlign w:val="bottom"/>
            <w:tcBorders>
              <w:top w:val="single" w:sz="8" w:color="C6D9F1"/>
            </w:tcBorders>
            <w:shd w:val="clear" w:color="auto" w:fill="C6D9F1"/>
          </w:tcPr>
          <w:p>
            <w:pPr>
              <w:spacing w:after="0"/>
              <w:rPr>
                <w:sz w:val="17"/>
                <w:szCs w:val="17"/>
                <w:color w:val="auto"/>
              </w:rPr>
            </w:pPr>
          </w:p>
        </w:tc>
        <w:tc>
          <w:tcPr>
            <w:tcW w:w="288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w w:val="99"/>
              </w:rPr>
              <w:t>Gratuity Plan for Indian Employees</w:t>
            </w:r>
          </w:p>
        </w:tc>
        <w:tc>
          <w:tcPr>
            <w:tcW w:w="220" w:type="dxa"/>
            <w:vAlign w:val="bottom"/>
            <w:tcBorders>
              <w:top w:val="single" w:sz="8" w:color="C6D9F1"/>
            </w:tcBorders>
            <w:shd w:val="clear" w:color="auto" w:fill="C6D9F1"/>
          </w:tcPr>
          <w:p>
            <w:pPr>
              <w:spacing w:after="0"/>
              <w:rPr>
                <w:sz w:val="17"/>
                <w:szCs w:val="17"/>
                <w:color w:val="auto"/>
              </w:rPr>
            </w:pPr>
          </w:p>
        </w:tc>
        <w:tc>
          <w:tcPr>
            <w:tcW w:w="172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C6D9F1"/>
            </w:tcBorders>
            <w:shd w:val="clear" w:color="auto" w:fill="C6D9F1"/>
          </w:tcPr>
          <w:p>
            <w:pPr>
              <w:spacing w:after="0"/>
              <w:rPr>
                <w:sz w:val="17"/>
                <w:szCs w:val="17"/>
                <w:color w:val="auto"/>
              </w:rPr>
            </w:pPr>
          </w:p>
        </w:tc>
        <w:tc>
          <w:tcPr>
            <w:tcW w:w="172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44,643</w:t>
            </w:r>
          </w:p>
        </w:tc>
        <w:tc>
          <w:tcPr>
            <w:tcW w:w="220" w:type="dxa"/>
            <w:vAlign w:val="bottom"/>
            <w:tcBorders>
              <w:top w:val="single" w:sz="8" w:color="C6D9F1"/>
            </w:tcBorders>
            <w:shd w:val="clear" w:color="auto" w:fill="C6D9F1"/>
          </w:tcPr>
          <w:p>
            <w:pPr>
              <w:spacing w:after="0"/>
              <w:rPr>
                <w:sz w:val="17"/>
                <w:szCs w:val="17"/>
                <w:color w:val="auto"/>
              </w:rPr>
            </w:pPr>
          </w:p>
        </w:tc>
        <w:tc>
          <w:tcPr>
            <w:tcW w:w="1700" w:type="dxa"/>
            <w:vAlign w:val="bottom"/>
            <w:tcBorders>
              <w:top w:val="single" w:sz="8" w:color="auto"/>
            </w:tcBorders>
            <w:shd w:val="clear" w:color="auto" w:fill="C6D9F1"/>
          </w:tcPr>
          <w:p>
            <w:pPr>
              <w:ind w:left="1520"/>
              <w:spacing w:after="0" w:line="196"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Gratuity Plan for Indian Employees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70,437</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right="160" w:hanging="328"/>
        <w:spacing w:after="0" w:line="253" w:lineRule="auto"/>
        <w:tabs>
          <w:tab w:leader="none" w:pos="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2015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59" w:name="page60"/>
    <w:bookmarkEnd w:id="59"/>
    <w:p>
      <w:pPr>
        <w:ind w:left="660" w:right="20" w:hanging="328"/>
        <w:spacing w:after="0" w:line="244"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11 to the audited financial statements for the fiscal year ended December 31, 2015 included in our Annual Report on Form 10-K filed with the Securities and Exchange Commission on February 26, 2016.</w:t>
      </w:r>
    </w:p>
    <w:p>
      <w:pPr>
        <w:spacing w:after="0" w:line="18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accumulated benefits has been determined based on their monthly basic salary rates in effect on December 31, 2015, which were approximately $11,054 and $9,392,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Fiscal 2015 Year-End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198" w:lineRule="exact"/>
        <w:rPr>
          <w:sz w:val="20"/>
          <w:szCs w:val="20"/>
          <w:color w:val="auto"/>
        </w:rPr>
      </w:pPr>
    </w:p>
    <w:p>
      <w:pPr>
        <w:ind w:right="240" w:firstLine="648"/>
        <w:spacing w:after="0" w:line="267" w:lineRule="auto"/>
        <w:rPr>
          <w:sz w:val="20"/>
          <w:szCs w:val="20"/>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If Mr. Kapoor’s employment were terminated by us without “cause” or by the executive for “good reason”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as described below) on December 31, 2015, he would have been entitled to cash severance consisting of:</w:t>
      </w:r>
    </w:p>
    <w:p>
      <w:pPr>
        <w:spacing w:after="0" w:line="165" w:lineRule="exact"/>
        <w:rPr>
          <w:sz w:val="20"/>
          <w:szCs w:val="20"/>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211" w:lineRule="exact"/>
        <w:rPr>
          <w:rFonts w:ascii="Arial" w:cs="Arial" w:eastAsia="Arial" w:hAnsi="Arial"/>
          <w:sz w:val="18"/>
          <w:szCs w:val="18"/>
          <w:color w:val="auto"/>
        </w:rPr>
      </w:pPr>
    </w:p>
    <w:p>
      <w:pPr>
        <w:ind w:left="580" w:right="820" w:firstLine="323"/>
        <w:spacing w:after="0" w:line="262"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unpaid bonus amounts from prior periods;</w:t>
      </w:r>
    </w:p>
    <w:p>
      <w:pPr>
        <w:spacing w:after="0" w:line="211" w:lineRule="exact"/>
        <w:rPr>
          <w:rFonts w:ascii="Arial" w:cs="Arial" w:eastAsia="Arial" w:hAnsi="Arial"/>
          <w:sz w:val="18"/>
          <w:szCs w:val="18"/>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accrued but unpaid base salary and vacation days or unreimbursed expenses</w:t>
      </w:r>
    </w:p>
    <w:p>
      <w:pPr>
        <w:spacing w:after="0" w:line="211" w:lineRule="exact"/>
        <w:rPr>
          <w:rFonts w:ascii="Arial" w:cs="Arial" w:eastAsia="Arial" w:hAnsi="Arial"/>
          <w:sz w:val="18"/>
          <w:szCs w:val="18"/>
          <w:color w:val="auto"/>
        </w:rPr>
      </w:pPr>
    </w:p>
    <w:p>
      <w:pPr>
        <w:jc w:val="both"/>
        <w:ind w:left="580" w:right="600" w:firstLine="323"/>
        <w:spacing w:after="0" w:line="248"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82" w:lineRule="exact"/>
        <w:rPr>
          <w:rFonts w:ascii="Arial" w:cs="Arial" w:eastAsia="Arial" w:hAnsi="Arial"/>
          <w:sz w:val="18"/>
          <w:szCs w:val="18"/>
          <w:color w:val="auto"/>
        </w:rPr>
      </w:pPr>
    </w:p>
    <w:p>
      <w:pPr>
        <w:ind w:left="580" w:right="500" w:firstLine="323"/>
        <w:spacing w:after="0" w:line="262"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198" w:lineRule="exact"/>
        <w:rPr>
          <w:sz w:val="20"/>
          <w:szCs w:val="20"/>
          <w:color w:val="auto"/>
        </w:rPr>
      </w:pPr>
    </w:p>
    <w:p>
      <w:pPr>
        <w:ind w:left="580" w:right="460" w:firstLine="323"/>
        <w:spacing w:after="0" w:line="262" w:lineRule="auto"/>
        <w:tabs>
          <w:tab w:leader="none" w:pos="11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felony, or (2) a crime of moral turpitude that causes serious economic injury or serious injury to our reputation;</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7" w:right="359" w:bottom="1440" w:gutter="0" w:footer="0" w:header="0"/>
        </w:sectPr>
      </w:pPr>
    </w:p>
    <w:bookmarkStart w:id="60" w:name="page61"/>
    <w:bookmarkEnd w:id="60"/>
    <w:p>
      <w:pPr>
        <w:ind w:left="580" w:right="6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11" w:lineRule="exact"/>
        <w:rPr>
          <w:rFonts w:ascii="Arial" w:cs="Arial" w:eastAsia="Arial" w:hAnsi="Arial"/>
          <w:sz w:val="18"/>
          <w:szCs w:val="18"/>
          <w:color w:val="auto"/>
        </w:rPr>
      </w:pPr>
    </w:p>
    <w:p>
      <w:pPr>
        <w:ind w:left="580" w:right="20" w:firstLine="323"/>
        <w:spacing w:after="0" w:line="241"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89"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11" w:lineRule="exact"/>
        <w:rPr>
          <w:rFonts w:ascii="Arial" w:cs="Arial" w:eastAsia="Arial" w:hAnsi="Arial"/>
          <w:sz w:val="18"/>
          <w:szCs w:val="18"/>
          <w:color w:val="auto"/>
        </w:rPr>
      </w:pPr>
    </w:p>
    <w:p>
      <w:pPr>
        <w:ind w:left="580" w:right="42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69" w:lineRule="exact"/>
        <w:rPr>
          <w:rFonts w:ascii="Arial" w:cs="Arial" w:eastAsia="Arial" w:hAnsi="Arial"/>
          <w:sz w:val="18"/>
          <w:szCs w:val="18"/>
          <w:color w:val="auto"/>
        </w:rPr>
      </w:pPr>
    </w:p>
    <w:p>
      <w:pPr>
        <w:ind w:left="580" w:right="18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fails to follow our board of directors’ lawful instructions and does not remedy the failure for 15 days after we give him written notice;</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11" w:lineRule="exact"/>
        <w:rPr>
          <w:rFonts w:ascii="Arial" w:cs="Arial" w:eastAsia="Arial" w:hAnsi="Arial"/>
          <w:sz w:val="18"/>
          <w:szCs w:val="18"/>
          <w:color w:val="auto"/>
        </w:rPr>
      </w:pPr>
    </w:p>
    <w:p>
      <w:pPr>
        <w:ind w:left="580" w:right="16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 or</w:t>
      </w:r>
    </w:p>
    <w:p>
      <w:pPr>
        <w:spacing w:after="0" w:line="169" w:lineRule="exact"/>
        <w:rPr>
          <w:rFonts w:ascii="Arial" w:cs="Arial" w:eastAsia="Arial" w:hAnsi="Arial"/>
          <w:sz w:val="18"/>
          <w:szCs w:val="18"/>
          <w:color w:val="auto"/>
        </w:rPr>
      </w:pPr>
    </w:p>
    <w:p>
      <w:pPr>
        <w:ind w:left="580" w:right="46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materially breaches any material term of his employment agreement which is not remedied within 15 days of receipt of notice from the Company specifying the breach in reasonable detail.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w:t>
      </w:r>
    </w:p>
    <w:p>
      <w:pPr>
        <w:spacing w:after="0" w:line="198" w:lineRule="exact"/>
        <w:rPr>
          <w:sz w:val="20"/>
          <w:szCs w:val="20"/>
          <w:color w:val="auto"/>
        </w:rPr>
      </w:pPr>
    </w:p>
    <w:p>
      <w:pPr>
        <w:ind w:left="580" w:firstLine="323"/>
        <w:spacing w:after="0" w:line="270" w:lineRule="auto"/>
        <w:tabs>
          <w:tab w:leader="none" w:pos="11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executive’s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w:t>
      </w:r>
    </w:p>
    <w:p>
      <w:pPr>
        <w:spacing w:after="0" w:line="164" w:lineRule="exact"/>
        <w:rPr>
          <w:rFonts w:ascii="Arial" w:cs="Arial" w:eastAsia="Arial" w:hAnsi="Arial"/>
          <w:sz w:val="17"/>
          <w:szCs w:val="17"/>
          <w:color w:val="auto"/>
        </w:rPr>
      </w:pPr>
    </w:p>
    <w:p>
      <w:pPr>
        <w:ind w:left="580" w:right="320" w:firstLine="323"/>
        <w:spacing w:after="0" w:line="262" w:lineRule="auto"/>
        <w:tabs>
          <w:tab w:leader="none" w:pos="11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executive’s base salary is reduced (other than in connection with a Company-wide decrease in pay), or his target annual bonus opportunity is reduced below 100% of his base salary;</w:t>
      </w:r>
    </w:p>
    <w:p>
      <w:pPr>
        <w:spacing w:after="0" w:line="169" w:lineRule="exact"/>
        <w:rPr>
          <w:rFonts w:ascii="Arial" w:cs="Arial" w:eastAsia="Arial" w:hAnsi="Arial"/>
          <w:sz w:val="18"/>
          <w:szCs w:val="18"/>
          <w:color w:val="auto"/>
        </w:rPr>
      </w:pPr>
    </w:p>
    <w:p>
      <w:pPr>
        <w:ind w:left="580" w:right="40" w:firstLine="323"/>
        <w:spacing w:after="0" w:line="262" w:lineRule="auto"/>
        <w:tabs>
          <w:tab w:leader="none" w:pos="11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office or location where the executive is based in the metropolitan New York City area is moved more than 30 miles, and the new location is more than 30 miles from his primary residence in the metropolitan New York City area; or</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21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If the executive plans to terminate his employment for good reason, he must notify us within 45 days following the date the executive first becomes aware of the circumstances giving rise to good reason and must allow us 30 days to remedy the problem.</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61" w:name="page62"/>
    <w:bookmarkEnd w:id="61"/>
    <w:p>
      <w:pPr>
        <w:ind w:right="60" w:firstLine="648"/>
        <w:spacing w:after="0" w:line="242" w:lineRule="auto"/>
        <w:rPr>
          <w:sz w:val="20"/>
          <w:szCs w:val="20"/>
          <w:color w:val="auto"/>
        </w:rPr>
      </w:pPr>
      <w:r>
        <w:rPr>
          <w:rFonts w:ascii="Arial" w:cs="Arial" w:eastAsia="Arial" w:hAnsi="Arial"/>
          <w:sz w:val="18"/>
          <w:szCs w:val="18"/>
          <w:i w:val="1"/>
          <w:iCs w:val="1"/>
          <w:color w:val="auto"/>
        </w:rPr>
        <w:t>Change-in-Control Cash Severance</w:t>
      </w:r>
      <w:r>
        <w:rPr>
          <w:rFonts w:ascii="Arial" w:cs="Arial" w:eastAsia="Arial" w:hAnsi="Arial"/>
          <w:sz w:val="18"/>
          <w:szCs w:val="18"/>
          <w:color w:val="auto"/>
        </w:rPr>
        <w:t>. If Mr. Kapoor’s employment is terminated by us without “cause” or by the executive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(in each case, as described above) within 12 months following a “change of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“change in control” (as generally defined in Mr. Kapoor’s employment agreement, the 2006 Plan and the 2015 Plan, as applicable)</w:t>
      </w:r>
    </w:p>
    <w:p>
      <w:pPr>
        <w:spacing w:after="0"/>
        <w:rPr>
          <w:sz w:val="20"/>
          <w:szCs w:val="20"/>
          <w:color w:val="auto"/>
        </w:rPr>
      </w:pPr>
      <w:r>
        <w:rPr>
          <w:rFonts w:ascii="Arial" w:cs="Arial" w:eastAsia="Arial" w:hAnsi="Arial"/>
          <w:sz w:val="18"/>
          <w:szCs w:val="18"/>
          <w:color w:val="auto"/>
        </w:rPr>
        <w:t>generally means any of the following events:</w:t>
      </w:r>
    </w:p>
    <w:p>
      <w:pPr>
        <w:spacing w:after="0" w:line="198" w:lineRule="exact"/>
        <w:rPr>
          <w:sz w:val="20"/>
          <w:szCs w:val="20"/>
          <w:color w:val="auto"/>
        </w:rPr>
      </w:pPr>
    </w:p>
    <w:p>
      <w:pPr>
        <w:ind w:left="580" w:right="80" w:firstLine="323"/>
        <w:spacing w:after="0" w:line="243" w:lineRule="auto"/>
        <w:tabs>
          <w:tab w:leader="none" w:pos="11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w:t>
      </w:r>
    </w:p>
    <w:p>
      <w:pPr>
        <w:spacing w:after="0" w:line="188" w:lineRule="exact"/>
        <w:rPr>
          <w:rFonts w:ascii="Arial" w:cs="Arial" w:eastAsia="Arial" w:hAnsi="Arial"/>
          <w:sz w:val="18"/>
          <w:szCs w:val="18"/>
          <w:color w:val="auto"/>
        </w:rPr>
      </w:pPr>
    </w:p>
    <w:p>
      <w:pPr>
        <w:ind w:left="580" w:right="140" w:firstLine="323"/>
        <w:spacing w:after="0" w:line="243" w:lineRule="auto"/>
        <w:tabs>
          <w:tab w:leader="none" w:pos="11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w:t>
      </w:r>
    </w:p>
    <w:p>
      <w:pPr>
        <w:spacing w:after="0" w:line="188"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211"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business or our assets; or</w:t>
      </w:r>
    </w:p>
    <w:p>
      <w:pPr>
        <w:spacing w:after="0" w:line="211" w:lineRule="exact"/>
        <w:rPr>
          <w:rFonts w:ascii="Arial" w:cs="Arial" w:eastAsia="Arial" w:hAnsi="Arial"/>
          <w:sz w:val="18"/>
          <w:szCs w:val="18"/>
          <w:color w:val="auto"/>
        </w:rPr>
      </w:pPr>
    </w:p>
    <w:p>
      <w:pPr>
        <w:ind w:left="580" w:right="660" w:firstLine="323"/>
        <w:spacing w:after="0" w:line="291" w:lineRule="auto"/>
        <w:tabs>
          <w:tab w:leader="none" w:pos="1199"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147" w:lineRule="exact"/>
        <w:rPr>
          <w:rFonts w:ascii="Arial" w:cs="Arial" w:eastAsia="Arial" w:hAnsi="Arial"/>
          <w:sz w:val="17"/>
          <w:szCs w:val="17"/>
          <w:color w:val="auto"/>
        </w:rPr>
      </w:pPr>
    </w:p>
    <w:p>
      <w:pPr>
        <w:ind w:left="1620" w:right="600" w:hanging="315"/>
        <w:spacing w:after="0" w:line="246"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183" w:lineRule="exact"/>
        <w:rPr>
          <w:rFonts w:ascii="Arial" w:cs="Arial" w:eastAsia="Arial" w:hAnsi="Arial"/>
          <w:sz w:val="18"/>
          <w:szCs w:val="18"/>
          <w:color w:val="auto"/>
        </w:rPr>
      </w:pPr>
    </w:p>
    <w:p>
      <w:pPr>
        <w:ind w:left="1620" w:hanging="315"/>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(50% or more in the 2006 Plan) of the total voting power of the outstanding voting securities eligible to elect members of our board of directors of the parent or surviving company; and</w:t>
      </w:r>
    </w:p>
    <w:p>
      <w:pPr>
        <w:spacing w:after="0" w:line="189" w:lineRule="exact"/>
        <w:rPr>
          <w:rFonts w:ascii="Arial" w:cs="Arial" w:eastAsia="Arial" w:hAnsi="Arial"/>
          <w:sz w:val="18"/>
          <w:szCs w:val="18"/>
          <w:color w:val="auto"/>
        </w:rPr>
      </w:pPr>
    </w:p>
    <w:p>
      <w:pPr>
        <w:ind w:left="1620" w:right="320" w:hanging="315"/>
        <w:spacing w:after="0" w:line="246"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least a majority of the members of our board of directors of the parent or surviving company following the transaction were our board members when our board first approved the transaction.</w:t>
      </w:r>
    </w:p>
    <w:p>
      <w:pPr>
        <w:spacing w:after="0" w:line="165" w:lineRule="exact"/>
        <w:rPr>
          <w:sz w:val="20"/>
          <w:szCs w:val="20"/>
          <w:color w:val="auto"/>
        </w:rPr>
      </w:pPr>
    </w:p>
    <w:p>
      <w:pPr>
        <w:ind w:right="360" w:firstLine="648"/>
        <w:spacing w:after="0" w:line="267"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he (or his estate) will be entitled to a prorated portion of his projected bonus amount for the year of termination.</w:t>
      </w:r>
    </w:p>
    <w:p>
      <w:pPr>
        <w:spacing w:after="0" w:line="147" w:lineRule="exact"/>
        <w:rPr>
          <w:sz w:val="20"/>
          <w:szCs w:val="20"/>
          <w:color w:val="auto"/>
        </w:rPr>
      </w:pPr>
    </w:p>
    <w:p>
      <w:pPr>
        <w:ind w:right="160" w:firstLine="648"/>
        <w:spacing w:after="0" w:line="267"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and nondisparagement restrictions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noncompetition and nonsolicitation restrictions during his employment and for one year thereafter.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2" w:name="page63"/>
    <w:bookmarkEnd w:id="62"/>
    <w:p>
      <w:pPr>
        <w:ind w:right="180" w:firstLine="648"/>
        <w:spacing w:after="0" w:line="251" w:lineRule="auto"/>
        <w:rPr>
          <w:sz w:val="20"/>
          <w:szCs w:val="20"/>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If Mr. Kapoor’s employment is terminated with good reason or without cause, Mr. Kapoor shall be treated as if</w:t>
      </w:r>
      <w:r>
        <w:rPr>
          <w:rFonts w:ascii="Arial" w:cs="Arial" w:eastAsia="Arial" w:hAnsi="Arial"/>
          <w:sz w:val="18"/>
          <w:szCs w:val="18"/>
          <w:i w:val="1"/>
          <w:iCs w:val="1"/>
          <w:color w:val="auto"/>
        </w:rPr>
        <w:t xml:space="preserve"> </w:t>
      </w:r>
      <w:r>
        <w:rPr>
          <w:rFonts w:ascii="Arial" w:cs="Arial" w:eastAsia="Arial" w:hAnsi="Arial"/>
          <w:sz w:val="18"/>
          <w:szCs w:val="18"/>
          <w:color w:val="auto"/>
        </w:rPr>
        <w:t>he were still employed by the Company for a period of two years following the termination date. On a “change in control” (as defined in the 2006 Plan or 2015 Plan, as applicable), Mr. Kapoor’s outstanding annual equity awards will vest as described below:</w:t>
      </w:r>
    </w:p>
    <w:p>
      <w:pPr>
        <w:spacing w:after="0" w:line="161" w:lineRule="exact"/>
        <w:rPr>
          <w:sz w:val="20"/>
          <w:szCs w:val="20"/>
          <w:color w:val="auto"/>
        </w:rPr>
      </w:pPr>
    </w:p>
    <w:p>
      <w:pPr>
        <w:ind w:left="1300" w:hanging="320"/>
        <w:spacing w:after="0" w:line="24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Kapoor’s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Kapoor’s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40" w:hanging="320"/>
        <w:spacing w:after="0" w:line="242"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target of Mr.</w:t>
      </w:r>
      <w:r>
        <w:rPr>
          <w:rFonts w:ascii="Arial" w:cs="Arial" w:eastAsia="Arial" w:hAnsi="Arial"/>
          <w:sz w:val="18"/>
          <w:szCs w:val="18"/>
          <w:i w:val="1"/>
          <w:iCs w:val="1"/>
          <w:color w:val="auto"/>
        </w:rPr>
        <w:t xml:space="preserve"> </w:t>
      </w:r>
      <w:r>
        <w:rPr>
          <w:rFonts w:ascii="Arial" w:cs="Arial" w:eastAsia="Arial" w:hAnsi="Arial"/>
          <w:sz w:val="18"/>
          <w:szCs w:val="18"/>
          <w:color w:val="auto"/>
        </w:rPr>
        <w:t>Kapoor’s Revenue-Linked PRSUs will be deemed earned, will be subject to a three year installment vesting schedule and will be advanced by one year under such schedule. In addition, all of Mr. Kapoor’s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80" w:hanging="320"/>
        <w:spacing w:after="0" w:line="238"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of Mr. 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Revenue-Linked PRSUs will become fully vested if, within 12 months following or in specific contemplation of a change in control, he is terminated without cause or, within 12 months following a change in control, he voluntarily terminates his employment for good reason. Furthermore, all of Mr. Kapoor’s outstanding, earned TSR-Linked PRSUs will become fully vested if, at any time following a change in control, he is terminated without cause or he voluntarily terminates his employment for good reason.</w:t>
      </w:r>
    </w:p>
    <w:p>
      <w:pPr>
        <w:spacing w:after="0" w:line="173"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Stock Price Performance Award</w:t>
      </w:r>
      <w:r>
        <w:rPr>
          <w:rFonts w:ascii="Arial" w:cs="Arial" w:eastAsia="Arial" w:hAnsi="Arial"/>
          <w:sz w:val="18"/>
          <w:szCs w:val="18"/>
          <w:color w:val="auto"/>
        </w:rPr>
        <w:t>. Mr. Kapoor will vest in a portion of his Stock Price Performance Award representing his service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2015 through his termination date plus an additional year (the “Enhanced Pro-Rata Portion”) if his employment terminates prior to a change in control due to his death or disability. If, prior to a change in control, Mr. Kapoor is terminated by the Company without cause or he voluntarily terminates his employment with good reason, a portion of the PRSUs will be considered earned based on the Company’s average stock price during the 60 days prior to Mr. Kapoor’s termination date (the “Earned PRSUs”). An Enhanced Pro-Rata Portion of any such Earned PRSUs will vest immediately upon Mr. Kapoor’s termination date.</w:t>
      </w:r>
    </w:p>
    <w:p>
      <w:pPr>
        <w:spacing w:after="0" w:line="189" w:lineRule="exact"/>
        <w:rPr>
          <w:sz w:val="20"/>
          <w:szCs w:val="20"/>
          <w:color w:val="auto"/>
        </w:rPr>
      </w:pPr>
    </w:p>
    <w:p>
      <w:pPr>
        <w:ind w:right="440" w:firstLine="648"/>
        <w:spacing w:after="0" w:line="275" w:lineRule="auto"/>
        <w:rPr>
          <w:sz w:val="20"/>
          <w:szCs w:val="20"/>
          <w:color w:val="auto"/>
        </w:rPr>
      </w:pPr>
      <w:r>
        <w:rPr>
          <w:rFonts w:ascii="Arial" w:cs="Arial" w:eastAsia="Arial" w:hAnsi="Arial"/>
          <w:sz w:val="17"/>
          <w:szCs w:val="17"/>
          <w:color w:val="auto"/>
        </w:rPr>
        <w:t>If a change in control occurs prior to the end of the performance period, a portion of the PRSUs outstanding as of the date of the change of control will be deemed earned and convert to Time-Vested RSUs (“CIC PRSUs”), based on the Company’s average stock price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3" w:right="259" w:bottom="1440" w:gutter="0" w:footer="0" w:header="0"/>
        </w:sectPr>
      </w:pPr>
    </w:p>
    <w:bookmarkStart w:id="63" w:name="page64"/>
    <w:bookmarkEnd w:id="63"/>
    <w:p>
      <w:pPr>
        <w:spacing w:after="0" w:line="237" w:lineRule="auto"/>
        <w:rPr>
          <w:sz w:val="20"/>
          <w:szCs w:val="20"/>
          <w:color w:val="auto"/>
        </w:rPr>
      </w:pPr>
      <w:r>
        <w:rPr>
          <w:rFonts w:ascii="Arial" w:cs="Arial" w:eastAsia="Arial" w:hAnsi="Arial"/>
          <w:sz w:val="18"/>
          <w:szCs w:val="18"/>
          <w:color w:val="auto"/>
        </w:rPr>
        <w:t>on the date of the change in control, that cliff-vest on December 31, 2017, contingent upon Mr. Kapoor’s continued employment through that date. One hundred percent of all PRSUs granted to Mr. Kapoor pursuant to the Stock Price Performance Award will become fully vested if (i) within 12 months following or in specific contemplation of a change in control, he is terminated without cause; (ii) within 12 months following a change in control, he voluntarily terminates his employment for good reason or (iii) there is a failure to substitute, assume, exchange or otherwise continue the PRSUs by an acquirer. In addition, following the 12-month period described above, an Enhanced Pro-Rata Portion of any earned CIC PRSUs will vest immediately upon Mr. Kapoor’s termination of employment at any time after a change in control due to his termination without cause, death or disability, or resignation for good reason.</w:t>
      </w:r>
    </w:p>
    <w:p>
      <w:pPr>
        <w:spacing w:after="0" w:line="172"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i w:val="1"/>
          <w:iCs w:val="1"/>
          <w:color w:val="auto"/>
        </w:rPr>
        <w:t>Release of Claims</w:t>
      </w:r>
      <w:r>
        <w:rPr>
          <w:rFonts w:ascii="Arial" w:cs="Arial" w:eastAsia="Arial" w:hAnsi="Arial"/>
          <w:sz w:val="18"/>
          <w:szCs w:val="18"/>
          <w:color w:val="auto"/>
        </w:rPr>
        <w:t>. Mr. Kapoor’s severance payments and termination-related equity acceleration are subject to his execution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68"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Code Section 280G</w:t>
      </w:r>
      <w:r>
        <w:rPr>
          <w:rFonts w:ascii="Arial" w:cs="Arial" w:eastAsia="Arial" w:hAnsi="Arial"/>
          <w:sz w:val="18"/>
          <w:szCs w:val="18"/>
          <w:color w:val="auto"/>
        </w:rPr>
        <w:t>. Mr. Kapoor’s employment agreement also contains a “modified cut-back” provision such that any payments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8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2" w:right="41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i w:val="1"/>
          <w:iCs w:val="1"/>
          <w:color w:val="auto"/>
        </w:rPr>
        <w:t>Indicative Payouts for Rohit Kapoor</w:t>
      </w:r>
    </w:p>
    <w:p>
      <w:pPr>
        <w:spacing w:after="0" w:line="216"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summarizes the amounts payable to Mr. Kapoor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1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Without</w:t>
            </w:r>
          </w:p>
        </w:tc>
        <w:tc>
          <w:tcPr>
            <w:tcW w:w="11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 or for</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w w:val="98"/>
              </w:rPr>
              <w:t>Good</w:t>
            </w:r>
          </w:p>
        </w:tc>
        <w:tc>
          <w:tcPr>
            <w:tcW w:w="12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Due to Death</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or Disability</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in Specific</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Contemplation</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of Change in</w:t>
            </w: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5591C7"/>
          </w:tcPr>
          <w:p>
            <w:pPr>
              <w:ind w:left="56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shd w:val="clear" w:color="auto" w:fill="5591C7"/>
          </w:tcPr>
          <w:p>
            <w:pPr>
              <w:ind w:left="200"/>
              <w:spacing w:after="0"/>
              <w:rPr>
                <w:sz w:val="20"/>
                <w:szCs w:val="20"/>
                <w:color w:val="auto"/>
              </w:rPr>
            </w:pPr>
            <w:r>
              <w:rPr>
                <w:rFonts w:ascii="Arial" w:cs="Arial" w:eastAsia="Arial" w:hAnsi="Arial"/>
                <w:sz w:val="14"/>
                <w:szCs w:val="14"/>
                <w:b w:val="1"/>
                <w:bCs w:val="1"/>
                <w:color w:val="auto"/>
              </w:rPr>
              <w:t>Death</w:t>
            </w:r>
          </w:p>
        </w:tc>
        <w:tc>
          <w:tcPr>
            <w:tcW w:w="1040" w:type="dxa"/>
            <w:vAlign w:val="bottom"/>
            <w:gridSpan w:val="2"/>
            <w:shd w:val="clear" w:color="auto" w:fill="5591C7"/>
          </w:tcPr>
          <w:p>
            <w:pPr>
              <w:ind w:left="140"/>
              <w:spacing w:after="0"/>
              <w:rPr>
                <w:sz w:val="20"/>
                <w:szCs w:val="20"/>
                <w:color w:val="auto"/>
              </w:rPr>
            </w:pPr>
            <w:r>
              <w:rPr>
                <w:rFonts w:ascii="Arial" w:cs="Arial" w:eastAsia="Arial" w:hAnsi="Arial"/>
                <w:sz w:val="14"/>
                <w:szCs w:val="14"/>
                <w:b w:val="1"/>
                <w:bCs w:val="1"/>
                <w:color w:val="auto"/>
              </w:rPr>
              <w:t>Disability</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shd w:val="clear" w:color="auto" w:fill="5591C7"/>
          </w:tcPr>
          <w:p>
            <w:pPr>
              <w:ind w:left="68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6D9F1"/>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56"/>
        </w:trPr>
        <w:tc>
          <w:tcPr>
            <w:tcW w:w="2300" w:type="dxa"/>
            <w:vAlign w:val="bottom"/>
            <w:gridSpan w:val="2"/>
            <w:shd w:val="clear" w:color="auto" w:fill="C6D9F1"/>
          </w:tcPr>
          <w:p>
            <w:pPr>
              <w:spacing w:after="0" w:line="155" w:lineRule="exact"/>
              <w:rPr>
                <w:sz w:val="20"/>
                <w:szCs w:val="20"/>
                <w:color w:val="auto"/>
              </w:rPr>
            </w:pPr>
            <w:r>
              <w:rPr>
                <w:rFonts w:ascii="Arial" w:cs="Arial" w:eastAsia="Arial" w:hAnsi="Arial"/>
                <w:sz w:val="14"/>
                <w:szCs w:val="14"/>
                <w:color w:val="auto"/>
              </w:rPr>
              <w:t>Base salary payout</w:t>
            </w:r>
          </w:p>
        </w:tc>
        <w:tc>
          <w:tcPr>
            <w:tcW w:w="9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line="155" w:lineRule="exact"/>
              <w:rPr>
                <w:sz w:val="20"/>
                <w:szCs w:val="20"/>
                <w:color w:val="auto"/>
              </w:rPr>
            </w:pPr>
            <w:r>
              <w:rPr>
                <w:rFonts w:ascii="Arial" w:cs="Arial" w:eastAsia="Arial" w:hAnsi="Arial"/>
                <w:sz w:val="14"/>
                <w:szCs w:val="14"/>
                <w:color w:val="auto"/>
              </w:rPr>
              <w:t>1,200,000</w:t>
            </w: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6D9F1"/>
          </w:tcPr>
          <w:p>
            <w:pPr>
              <w:jc w:val="right"/>
              <w:spacing w:after="0" w:line="155" w:lineRule="exact"/>
              <w:rPr>
                <w:sz w:val="20"/>
                <w:szCs w:val="20"/>
                <w:color w:val="auto"/>
              </w:rPr>
            </w:pPr>
            <w:r>
              <w:rPr>
                <w:rFonts w:ascii="Arial" w:cs="Arial" w:eastAsia="Arial" w:hAnsi="Arial"/>
                <w:sz w:val="14"/>
                <w:szCs w:val="14"/>
                <w:color w:val="auto"/>
              </w:rPr>
              <w:t>1,200,000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5" w:lineRule="exact"/>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621,129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621,129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621,129</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Life insurance</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5,414</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5,414</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5,414</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5,414</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5,414</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19,569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19,569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19,569</w:t>
            </w: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Stock options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491,400</w:t>
            </w: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491,400</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491,400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491,400</w:t>
            </w: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3,929,488</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2,190,472</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5,193,144</w:t>
            </w:r>
          </w:p>
        </w:tc>
        <w:tc>
          <w:tcPr>
            <w:tcW w:w="120" w:type="dxa"/>
            <w:vAlign w:val="bottom"/>
          </w:tcPr>
          <w:p>
            <w:pPr>
              <w:spacing w:after="0"/>
              <w:rPr>
                <w:sz w:val="13"/>
                <w:szCs w:val="13"/>
                <w:color w:val="auto"/>
              </w:rPr>
            </w:pPr>
          </w:p>
        </w:tc>
        <w:tc>
          <w:tcPr>
            <w:tcW w:w="12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5,193,144</w:t>
            </w: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6D9F1"/>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vMerge w:val="restart"/>
            <w:shd w:val="clear" w:color="auto" w:fill="C6D9F1"/>
          </w:tcPr>
          <w:p>
            <w:pPr>
              <w:jc w:val="right"/>
              <w:spacing w:after="0"/>
              <w:rPr>
                <w:sz w:val="20"/>
                <w:szCs w:val="20"/>
                <w:color w:val="auto"/>
              </w:rPr>
            </w:pPr>
            <w:r>
              <w:rPr>
                <w:rFonts w:ascii="Arial" w:cs="Arial" w:eastAsia="Arial" w:hAnsi="Arial"/>
                <w:sz w:val="14"/>
                <w:szCs w:val="14"/>
                <w:color w:val="auto"/>
              </w:rPr>
              <w:t>3,369,750</w:t>
            </w:r>
            <w:r>
              <w:rPr>
                <w:rFonts w:ascii="Arial" w:cs="Arial" w:eastAsia="Arial" w:hAnsi="Arial"/>
                <w:sz w:val="23"/>
                <w:szCs w:val="23"/>
                <w:color w:val="auto"/>
                <w:vertAlign w:val="superscript"/>
              </w:rPr>
              <w:t>(1)</w:t>
            </w: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vMerge w:val="continue"/>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3,650,652</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4,212,188</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4,212,188</w:t>
            </w: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accelerated Stock Price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Performance Award)</w:t>
            </w:r>
          </w:p>
        </w:tc>
        <w:tc>
          <w:tcPr>
            <w:tcW w:w="820" w:type="dxa"/>
            <w:vAlign w:val="bottom"/>
          </w:tcPr>
          <w:p>
            <w:pPr>
              <w:jc w:val="right"/>
              <w:spacing w:after="0"/>
              <w:rPr>
                <w:sz w:val="20"/>
                <w:szCs w:val="20"/>
                <w:color w:val="auto"/>
              </w:rPr>
            </w:pPr>
            <w:r>
              <w:rPr>
                <w:rFonts w:ascii="Arial" w:cs="Arial" w:eastAsia="Arial" w:hAnsi="Arial"/>
                <w:sz w:val="14"/>
                <w:szCs w:val="14"/>
                <w:color w:val="auto"/>
              </w:rPr>
              <w:t>2,992,608</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2,992,608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4,515,240</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4,898,269</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4,898,269</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4,898,269</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660" w:hanging="328"/>
        <w:spacing w:after="0" w:line="241"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 w:lineRule="exact"/>
        <w:rPr>
          <w:rFonts w:ascii="Arial" w:cs="Arial" w:eastAsia="Arial" w:hAnsi="Arial"/>
          <w:sz w:val="14"/>
          <w:szCs w:val="14"/>
          <w:color w:val="auto"/>
        </w:rPr>
      </w:pPr>
    </w:p>
    <w:p>
      <w:pPr>
        <w:ind w:left="660" w:right="20" w:hanging="328"/>
        <w:spacing w:after="0" w:line="258"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Kapoor’s Stock Price Performance Award becomes immediately vested upon a change in control if the Compensation Committee has not made a provision for the substitution, assumption, exchange or other continuation of the award in connection with the change in control.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1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three months’ advance notice upon a termination without good reason). If Mr. Chhibbar’s employment with the Company is terminated by the Company without “cause” or by Mr. Chhibbar for “good reason,” as summarized below, Mr. Chhibbar will receive a cash severance payment equal to one times his total annual fixed compensation then in effect, paid in installments over a 12-month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65" w:name="page66"/>
    <w:bookmarkEnd w:id="65"/>
    <w:p>
      <w:pPr>
        <w:ind w:right="16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Chhibbar’s outstanding equity awards will vest as described below:</w:t>
      </w:r>
    </w:p>
    <w:p>
      <w:pPr>
        <w:spacing w:after="0" w:line="165" w:lineRule="exact"/>
        <w:rPr>
          <w:sz w:val="20"/>
          <w:szCs w:val="20"/>
          <w:color w:val="auto"/>
        </w:rPr>
      </w:pPr>
    </w:p>
    <w:p>
      <w:pPr>
        <w:ind w:left="1300" w:hanging="320"/>
        <w:spacing w:after="0" w:line="245"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Chhibbar’s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Chhibbar’s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20" w:hanging="320"/>
        <w:spacing w:after="0" w:line="242"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Chhibbar’s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Chhibbar’s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hanging="320"/>
        <w:spacing w:after="0" w:line="239"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Chhibbar’s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definitions of “cause” and “good reason” described below apply to Messrs. Chhibbar, Bagai, Miglani and Schweppe unless stated otherwise.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198" w:lineRule="exact"/>
        <w:rPr>
          <w:sz w:val="20"/>
          <w:szCs w:val="20"/>
          <w:color w:val="auto"/>
        </w:rPr>
      </w:pPr>
    </w:p>
    <w:p>
      <w:pPr>
        <w:ind w:left="580" w:right="360" w:firstLine="319"/>
        <w:spacing w:after="0" w:line="262" w:lineRule="auto"/>
        <w:tabs>
          <w:tab w:leader="none" w:pos="11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crime of moral turpitude which causes serious economic injury or serious injury to our reputation or (2) a felony;</w:t>
      </w:r>
    </w:p>
    <w:p>
      <w:pPr>
        <w:spacing w:after="0" w:line="169" w:lineRule="exact"/>
        <w:rPr>
          <w:rFonts w:ascii="Arial" w:cs="Arial" w:eastAsia="Arial" w:hAnsi="Arial"/>
          <w:sz w:val="18"/>
          <w:szCs w:val="18"/>
          <w:color w:val="auto"/>
        </w:rPr>
      </w:pPr>
    </w:p>
    <w:p>
      <w:pPr>
        <w:ind w:left="580" w:right="80" w:firstLine="319"/>
        <w:spacing w:after="0" w:line="262" w:lineRule="auto"/>
        <w:tabs>
          <w:tab w:leader="none" w:pos="11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6" w:name="page67"/>
    <w:bookmarkEnd w:id="66"/>
    <w:p>
      <w:pPr>
        <w:ind w:left="580" w:firstLine="319"/>
        <w:spacing w:after="0" w:line="241" w:lineRule="auto"/>
        <w:tabs>
          <w:tab w:leader="none" w:pos="11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89" w:lineRule="exact"/>
        <w:rPr>
          <w:rFonts w:ascii="Arial" w:cs="Arial" w:eastAsia="Arial" w:hAnsi="Arial"/>
          <w:sz w:val="18"/>
          <w:szCs w:val="18"/>
          <w:color w:val="auto"/>
        </w:rPr>
      </w:pPr>
    </w:p>
    <w:p>
      <w:pPr>
        <w:ind w:left="1200" w:hanging="301"/>
        <w:spacing w:after="0"/>
        <w:tabs>
          <w:tab w:leader="none" w:pos="1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11" w:lineRule="exact"/>
        <w:rPr>
          <w:rFonts w:ascii="Arial" w:cs="Arial" w:eastAsia="Arial" w:hAnsi="Arial"/>
          <w:sz w:val="18"/>
          <w:szCs w:val="18"/>
          <w:color w:val="auto"/>
        </w:rPr>
      </w:pPr>
    </w:p>
    <w:p>
      <w:pPr>
        <w:ind w:left="580" w:right="400" w:firstLine="319"/>
        <w:spacing w:after="0" w:line="262" w:lineRule="auto"/>
        <w:tabs>
          <w:tab w:leader="none" w:pos="11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69" w:lineRule="exact"/>
        <w:rPr>
          <w:rFonts w:ascii="Arial" w:cs="Arial" w:eastAsia="Arial" w:hAnsi="Arial"/>
          <w:sz w:val="18"/>
          <w:szCs w:val="18"/>
          <w:color w:val="auto"/>
        </w:rPr>
      </w:pPr>
    </w:p>
    <w:p>
      <w:pPr>
        <w:ind w:left="580" w:right="100" w:firstLine="319"/>
        <w:spacing w:after="0" w:line="262" w:lineRule="auto"/>
        <w:tabs>
          <w:tab w:leader="none" w:pos="11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fails to follow his supervisor’s (or, for Messrs. Chhibbar and Bagai, our board of directors’) lawful instructions and does not remedy the failure for 15 days after we give him written notice; or</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 without the executive’s prior written consent:</w:t>
      </w:r>
    </w:p>
    <w:p>
      <w:pPr>
        <w:spacing w:after="0" w:line="198" w:lineRule="exact"/>
        <w:rPr>
          <w:sz w:val="20"/>
          <w:szCs w:val="20"/>
          <w:color w:val="auto"/>
        </w:rPr>
      </w:pPr>
    </w:p>
    <w:p>
      <w:pPr>
        <w:ind w:left="580" w:right="120" w:firstLine="319"/>
        <w:spacing w:after="0" w:line="262"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executive’s duties or responsibilities are substantially reduced, or he is required to report to anyone other than our board of directors, or our CEO;</w:t>
      </w:r>
    </w:p>
    <w:p>
      <w:pPr>
        <w:spacing w:after="0" w:line="169" w:lineRule="exact"/>
        <w:rPr>
          <w:rFonts w:ascii="Arial" w:cs="Arial" w:eastAsia="Arial" w:hAnsi="Arial"/>
          <w:sz w:val="18"/>
          <w:szCs w:val="18"/>
          <w:color w:val="auto"/>
        </w:rPr>
      </w:pPr>
    </w:p>
    <w:p>
      <w:pPr>
        <w:jc w:val="both"/>
        <w:ind w:left="580" w:right="80" w:firstLine="319"/>
        <w:spacing w:after="0" w:line="248"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w:t>
      </w:r>
    </w:p>
    <w:p>
      <w:pPr>
        <w:spacing w:after="0" w:line="182" w:lineRule="exact"/>
        <w:rPr>
          <w:rFonts w:ascii="Arial" w:cs="Arial" w:eastAsia="Arial" w:hAnsi="Arial"/>
          <w:sz w:val="18"/>
          <w:szCs w:val="18"/>
          <w:color w:val="auto"/>
        </w:rPr>
      </w:pPr>
    </w:p>
    <w:p>
      <w:pPr>
        <w:ind w:left="580" w:right="320" w:firstLine="319"/>
        <w:spacing w:after="0" w:line="262"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Messrs. Chhibbar and Bagai only, the executive’s base salary or annual cash bonus opportunity is reduced, other than in connection with a proportionate reduction impacting all members of our executive committee;</w:t>
      </w:r>
    </w:p>
    <w:p>
      <w:pPr>
        <w:spacing w:after="0" w:line="169" w:lineRule="exact"/>
        <w:rPr>
          <w:rFonts w:ascii="Arial" w:cs="Arial" w:eastAsia="Arial" w:hAnsi="Arial"/>
          <w:sz w:val="18"/>
          <w:szCs w:val="18"/>
          <w:color w:val="auto"/>
        </w:rPr>
      </w:pPr>
    </w:p>
    <w:p>
      <w:pPr>
        <w:ind w:left="580" w:right="40" w:firstLine="319"/>
        <w:spacing w:after="0" w:line="262"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Messrs. Miglani and Schweppe only, there is a change in the office or location where the executive is based of more than 50 miles and such new office or location is more than 50 miles from the executive’s primary residence; or</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 or severance agreement.</w:t>
      </w:r>
    </w:p>
    <w:p>
      <w:pPr>
        <w:spacing w:after="0" w:line="21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216"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summarizes the amounts payable to Mr. Chhibbar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Termination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Without</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for Good</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Without Cause in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Specific</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gridSpan w:val="2"/>
            <w:shd w:val="clear" w:color="auto" w:fill="5591C7"/>
          </w:tcPr>
          <w:p>
            <w:pPr>
              <w:ind w:left="56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shd w:val="clear" w:color="auto" w:fill="5591C7"/>
          </w:tcPr>
          <w:p>
            <w:pPr>
              <w:ind w:left="200"/>
              <w:spacing w:after="0"/>
              <w:rPr>
                <w:sz w:val="20"/>
                <w:szCs w:val="20"/>
                <w:color w:val="auto"/>
              </w:rPr>
            </w:pPr>
            <w:r>
              <w:rPr>
                <w:rFonts w:ascii="Arial" w:cs="Arial" w:eastAsia="Arial" w:hAnsi="Arial"/>
                <w:sz w:val="14"/>
                <w:szCs w:val="14"/>
                <w:b w:val="1"/>
                <w:bCs w:val="1"/>
                <w:color w:val="auto"/>
              </w:rPr>
              <w:t>Death</w:t>
            </w:r>
          </w:p>
        </w:tc>
        <w:tc>
          <w:tcPr>
            <w:tcW w:w="1040" w:type="dxa"/>
            <w:vAlign w:val="bottom"/>
            <w:gridSpan w:val="2"/>
            <w:shd w:val="clear" w:color="auto" w:fill="5591C7"/>
          </w:tcPr>
          <w:p>
            <w:pPr>
              <w:ind w:left="140"/>
              <w:spacing w:after="0"/>
              <w:rPr>
                <w:sz w:val="20"/>
                <w:szCs w:val="20"/>
                <w:color w:val="auto"/>
              </w:rPr>
            </w:pPr>
            <w:r>
              <w:rPr>
                <w:rFonts w:ascii="Arial" w:cs="Arial" w:eastAsia="Arial" w:hAnsi="Arial"/>
                <w:sz w:val="14"/>
                <w:szCs w:val="14"/>
                <w:b w:val="1"/>
                <w:bCs w:val="1"/>
                <w:color w:val="auto"/>
              </w:rPr>
              <w:t>Disability</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Control</w:t>
            </w:r>
          </w:p>
        </w:tc>
      </w:tr>
      <w:tr>
        <w:trPr>
          <w:trHeight w:val="175"/>
        </w:trPr>
        <w:tc>
          <w:tcPr>
            <w:tcW w:w="2180" w:type="dxa"/>
            <w:vAlign w:val="bottom"/>
            <w:tcBorders>
              <w:bottom w:val="single" w:sz="8" w:color="auto"/>
            </w:tcBorders>
            <w:shd w:val="clear" w:color="auto" w:fill="5591C7"/>
          </w:tcPr>
          <w:p>
            <w:pPr>
              <w:ind w:left="68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6D9F1"/>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Base salary payout</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rPr>
                <w:sz w:val="20"/>
                <w:szCs w:val="20"/>
                <w:color w:val="auto"/>
              </w:rPr>
            </w:pPr>
            <w:r>
              <w:rPr>
                <w:rFonts w:ascii="Arial" w:cs="Arial" w:eastAsia="Arial" w:hAnsi="Arial"/>
                <w:sz w:val="14"/>
                <w:szCs w:val="14"/>
                <w:color w:val="auto"/>
              </w:rPr>
              <w:t>294,785</w:t>
            </w:r>
          </w:p>
        </w:tc>
        <w:tc>
          <w:tcPr>
            <w:tcW w:w="100" w:type="dxa"/>
            <w:vAlign w:val="bottom"/>
            <w:shd w:val="clear" w:color="auto" w:fill="C6D9F1"/>
          </w:tcPr>
          <w:p>
            <w:pPr>
              <w:spacing w:after="0"/>
              <w:rPr>
                <w:sz w:val="17"/>
                <w:szCs w:val="17"/>
                <w:color w:val="auto"/>
              </w:rPr>
            </w:pP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6D9F1"/>
          </w:tcPr>
          <w:p>
            <w:pPr>
              <w:jc w:val="right"/>
              <w:spacing w:after="0"/>
              <w:rPr>
                <w:sz w:val="20"/>
                <w:szCs w:val="20"/>
                <w:color w:val="auto"/>
              </w:rPr>
            </w:pPr>
            <w:r>
              <w:rPr>
                <w:rFonts w:ascii="Arial" w:cs="Arial" w:eastAsia="Arial" w:hAnsi="Arial"/>
                <w:sz w:val="14"/>
                <w:szCs w:val="14"/>
                <w:color w:val="auto"/>
              </w:rPr>
              <w:t>294,785</w:t>
            </w:r>
          </w:p>
        </w:tc>
        <w:tc>
          <w:tcPr>
            <w:tcW w:w="120" w:type="dxa"/>
            <w:vAlign w:val="bottom"/>
            <w:shd w:val="clear" w:color="auto" w:fill="C6D9F1"/>
          </w:tcPr>
          <w:p>
            <w:pPr>
              <w:spacing w:after="0"/>
              <w:rPr>
                <w:sz w:val="17"/>
                <w:szCs w:val="17"/>
                <w:color w:val="auto"/>
              </w:rPr>
            </w:pP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294,785</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294,785</w:t>
            </w:r>
          </w:p>
        </w:tc>
      </w:tr>
      <w:tr>
        <w:trPr>
          <w:trHeight w:val="216"/>
        </w:trPr>
        <w:tc>
          <w:tcPr>
            <w:tcW w:w="230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Life insurance</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Stock options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89,107</w:t>
            </w: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7"/>
        </w:trPr>
        <w:tc>
          <w:tcPr>
            <w:tcW w:w="23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364,921</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1,120,914</w:t>
            </w:r>
          </w:p>
        </w:tc>
        <w:tc>
          <w:tcPr>
            <w:tcW w:w="120" w:type="dxa"/>
            <w:vAlign w:val="bottom"/>
          </w:tcPr>
          <w:p>
            <w:pPr>
              <w:spacing w:after="0"/>
              <w:rPr>
                <w:sz w:val="13"/>
                <w:szCs w:val="13"/>
                <w:color w:val="auto"/>
              </w:rPr>
            </w:pPr>
          </w:p>
        </w:tc>
        <w:tc>
          <w:tcPr>
            <w:tcW w:w="12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1,120,914</w:t>
            </w: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1,120,914</w:t>
            </w: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62"/>
        </w:trPr>
        <w:tc>
          <w:tcPr>
            <w:tcW w:w="2300" w:type="dxa"/>
            <w:vAlign w:val="bottom"/>
            <w:gridSpan w:val="2"/>
            <w:shd w:val="clear" w:color="auto" w:fill="C6D9F1"/>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696,415</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808,740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808,740</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808,740</w:t>
            </w:r>
          </w:p>
        </w:tc>
      </w:tr>
      <w:tr>
        <w:trPr>
          <w:trHeight w:val="334"/>
        </w:trPr>
        <w:tc>
          <w:tcPr>
            <w:tcW w:w="2300" w:type="dxa"/>
            <w:vAlign w:val="bottom"/>
            <w:gridSpan w:val="2"/>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44,643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44,643</w:t>
            </w:r>
          </w:p>
        </w:tc>
      </w:tr>
    </w:tbl>
    <w:p>
      <w:pPr>
        <w:spacing w:after="0" w:line="13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Chhibbar because he has earned over five years of credited service.</w:t>
      </w:r>
    </w:p>
    <w:p>
      <w:pPr>
        <w:spacing w:after="0" w:line="158"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Please refer to page 40 of the Compensation Discussion and Analysis for a summary of the material terms of Mr. Chhibbar’s revised employment agreement effective January 1,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1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Either Mr. Bagai or we may terminate Mr. Bagai’s employment at any time with one month’s notice (or pay one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Bagai’s outstanding equity awards will vest as described below:</w:t>
      </w:r>
    </w:p>
    <w:p>
      <w:pPr>
        <w:spacing w:after="0" w:line="165" w:lineRule="exact"/>
        <w:rPr>
          <w:sz w:val="20"/>
          <w:szCs w:val="20"/>
          <w:color w:val="auto"/>
        </w:rPr>
      </w:pPr>
    </w:p>
    <w:p>
      <w:pPr>
        <w:ind w:left="1300" w:right="300" w:hanging="320"/>
        <w:spacing w:after="0" w:line="26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Bagai’s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Bagai’s outstanding Time-Vested RSUs will become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68" w:name="page69"/>
    <w:bookmarkEnd w:id="68"/>
    <w:p>
      <w:pPr>
        <w:ind w:left="1300" w:right="440"/>
        <w:spacing w:after="0" w:line="246" w:lineRule="auto"/>
        <w:rPr>
          <w:sz w:val="20"/>
          <w:szCs w:val="20"/>
          <w:color w:val="auto"/>
        </w:rPr>
      </w:pPr>
      <w:r>
        <w:rPr>
          <w:rFonts w:ascii="Arial" w:cs="Arial" w:eastAsia="Arial" w:hAnsi="Arial"/>
          <w:sz w:val="18"/>
          <w:szCs w:val="18"/>
          <w:color w:val="auto"/>
        </w:rPr>
        <w:t>fully vested if, following or in specific contemplation of a change in control, he is terminated without cause or, following a change in control, he voluntarily terminates his employment for good reason.</w:t>
      </w:r>
    </w:p>
    <w:p>
      <w:pPr>
        <w:spacing w:after="0" w:line="165" w:lineRule="exact"/>
        <w:rPr>
          <w:sz w:val="20"/>
          <w:szCs w:val="20"/>
          <w:color w:val="auto"/>
        </w:rPr>
      </w:pPr>
    </w:p>
    <w:p>
      <w:pPr>
        <w:ind w:left="1300" w:right="140" w:hanging="320"/>
        <w:spacing w:after="0" w:line="24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Bagai’s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Bagai’s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hanging="320"/>
        <w:spacing w:after="0" w:line="23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Bagai’s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Bagai’s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82" w:right="39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i w:val="1"/>
          <w:iCs w:val="1"/>
          <w:color w:val="auto"/>
        </w:rPr>
        <w:t>Indicative Payouts for Pavan Bagai</w:t>
      </w:r>
    </w:p>
    <w:p>
      <w:pPr>
        <w:spacing w:after="0" w:line="21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following table summarizes the amounts payable to Mr. Bagai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of the</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 or</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Without</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6"/>
              </w:rPr>
              <w:t>in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420" w:type="dxa"/>
            <w:vAlign w:val="bottom"/>
            <w:gridSpan w:val="2"/>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Death</w:t>
            </w:r>
          </w:p>
        </w:tc>
        <w:tc>
          <w:tcPr>
            <w:tcW w:w="820" w:type="dxa"/>
            <w:vAlign w:val="bottom"/>
            <w:gridSpan w:val="2"/>
            <w:shd w:val="clear" w:color="auto" w:fill="5591C7"/>
          </w:tcPr>
          <w:p>
            <w:pPr>
              <w:ind w:left="40"/>
              <w:spacing w:after="0"/>
              <w:rPr>
                <w:sz w:val="20"/>
                <w:szCs w:val="20"/>
                <w:color w:val="auto"/>
              </w:rPr>
            </w:pPr>
            <w:r>
              <w:rPr>
                <w:rFonts w:ascii="Arial" w:cs="Arial" w:eastAsia="Arial" w:hAnsi="Arial"/>
                <w:sz w:val="14"/>
                <w:szCs w:val="14"/>
                <w:b w:val="1"/>
                <w:bCs w:val="1"/>
                <w:color w:val="auto"/>
              </w:rPr>
              <w:t>Disability</w:t>
            </w: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75"/>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B8CDE8"/>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700" w:type="dxa"/>
            <w:vAlign w:val="bottom"/>
            <w:tcBorders>
              <w:bottom w:val="single" w:sz="8" w:color="auto"/>
            </w:tcBorders>
            <w:shd w:val="clear" w:color="auto" w:fill="5591C7"/>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B8CDE8"/>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8CDE8"/>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B8CDE8"/>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8CDE8"/>
            </w:tcBorders>
            <w:shd w:val="clear" w:color="auto" w:fill="5591C7"/>
          </w:tcPr>
          <w:p>
            <w:pPr>
              <w:spacing w:after="0"/>
              <w:rPr>
                <w:sz w:val="15"/>
                <w:szCs w:val="15"/>
                <w:color w:val="auto"/>
              </w:rPr>
            </w:pPr>
          </w:p>
        </w:tc>
      </w:tr>
      <w:tr>
        <w:trPr>
          <w:trHeight w:val="156"/>
        </w:trPr>
        <w:tc>
          <w:tcPr>
            <w:tcW w:w="2420" w:type="dxa"/>
            <w:vAlign w:val="bottom"/>
            <w:gridSpan w:val="2"/>
            <w:shd w:val="clear" w:color="auto" w:fill="B8CDE8"/>
          </w:tcPr>
          <w:p>
            <w:pPr>
              <w:spacing w:after="0" w:line="155" w:lineRule="exact"/>
              <w:rPr>
                <w:sz w:val="20"/>
                <w:szCs w:val="20"/>
                <w:color w:val="auto"/>
              </w:rPr>
            </w:pPr>
            <w:r>
              <w:rPr>
                <w:rFonts w:ascii="Arial" w:cs="Arial" w:eastAsia="Arial" w:hAnsi="Arial"/>
                <w:sz w:val="14"/>
                <w:szCs w:val="14"/>
                <w:color w:val="auto"/>
              </w:rPr>
              <w:t>Base salary payout</w:t>
            </w:r>
          </w:p>
        </w:tc>
        <w:tc>
          <w:tcPr>
            <w:tcW w:w="70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02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34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36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7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58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9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r>
      <w:tr>
        <w:trPr>
          <w:trHeight w:val="157"/>
        </w:trPr>
        <w:tc>
          <w:tcPr>
            <w:tcW w:w="2420" w:type="dxa"/>
            <w:vAlign w:val="bottom"/>
            <w:gridSpan w:val="2"/>
            <w:shd w:val="clear" w:color="auto" w:fill="B8CDE8"/>
          </w:tcPr>
          <w:p>
            <w:pPr>
              <w:ind w:left="160"/>
              <w:spacing w:after="0" w:line="157" w:lineRule="exact"/>
              <w:rPr>
                <w:sz w:val="20"/>
                <w:szCs w:val="20"/>
                <w:color w:val="auto"/>
              </w:rPr>
            </w:pPr>
            <w:r>
              <w:rPr>
                <w:rFonts w:ascii="Arial" w:cs="Arial" w:eastAsia="Arial" w:hAnsi="Arial"/>
                <w:sz w:val="14"/>
                <w:szCs w:val="14"/>
                <w:color w:val="auto"/>
              </w:rPr>
              <w:t>accelerated)</w:t>
            </w:r>
          </w:p>
        </w:tc>
        <w:tc>
          <w:tcPr>
            <w:tcW w:w="70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262,080</w:t>
            </w:r>
          </w:p>
        </w:tc>
        <w:tc>
          <w:tcPr>
            <w:tcW w:w="12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c>
          <w:tcPr>
            <w:tcW w:w="13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c>
          <w:tcPr>
            <w:tcW w:w="13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4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741,884</w:t>
            </w: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2,049,437</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2,049,437</w:t>
            </w:r>
          </w:p>
        </w:tc>
        <w:tc>
          <w:tcPr>
            <w:tcW w:w="13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2,049,437</w:t>
            </w:r>
          </w:p>
        </w:tc>
      </w:tr>
      <w:tr>
        <w:trPr>
          <w:trHeight w:val="167"/>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58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9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r>
      <w:tr>
        <w:trPr>
          <w:trHeight w:val="157"/>
        </w:trPr>
        <w:tc>
          <w:tcPr>
            <w:tcW w:w="2420" w:type="dxa"/>
            <w:vAlign w:val="bottom"/>
            <w:gridSpan w:val="2"/>
            <w:shd w:val="clear" w:color="auto" w:fill="B8CDE8"/>
          </w:tcPr>
          <w:p>
            <w:pPr>
              <w:ind w:left="160"/>
              <w:spacing w:after="0" w:line="157" w:lineRule="exact"/>
              <w:rPr>
                <w:sz w:val="20"/>
                <w:szCs w:val="20"/>
                <w:color w:val="auto"/>
              </w:rPr>
            </w:pPr>
            <w:r>
              <w:rPr>
                <w:rFonts w:ascii="Arial" w:cs="Arial" w:eastAsia="Arial" w:hAnsi="Arial"/>
                <w:sz w:val="14"/>
                <w:szCs w:val="14"/>
                <w:color w:val="auto"/>
              </w:rPr>
              <w:t>(unvested and accelerated)</w:t>
            </w:r>
          </w:p>
        </w:tc>
        <w:tc>
          <w:tcPr>
            <w:tcW w:w="70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1,149,444</w:t>
            </w:r>
          </w:p>
        </w:tc>
        <w:tc>
          <w:tcPr>
            <w:tcW w:w="1140" w:type="dxa"/>
            <w:vAlign w:val="bottom"/>
            <w:shd w:val="clear" w:color="auto" w:fill="B8CDE8"/>
          </w:tcPr>
          <w:p>
            <w:pPr>
              <w:jc w:val="right"/>
              <w:spacing w:after="0" w:line="157" w:lineRule="exact"/>
              <w:rPr>
                <w:sz w:val="20"/>
                <w:szCs w:val="20"/>
                <w:color w:val="auto"/>
              </w:rPr>
            </w:pPr>
            <w:r>
              <w:rPr>
                <w:rFonts w:ascii="Arial" w:cs="Arial" w:eastAsia="Arial" w:hAnsi="Arial"/>
                <w:sz w:val="14"/>
                <w:szCs w:val="14"/>
                <w:color w:val="auto"/>
              </w:rPr>
              <w:t>1,336,668</w:t>
            </w:r>
          </w:p>
        </w:tc>
        <w:tc>
          <w:tcPr>
            <w:tcW w:w="100" w:type="dxa"/>
            <w:vAlign w:val="bottom"/>
            <w:shd w:val="clear" w:color="auto" w:fill="B8CDE8"/>
          </w:tcPr>
          <w:p>
            <w:pPr>
              <w:spacing w:after="0"/>
              <w:rPr>
                <w:sz w:val="13"/>
                <w:szCs w:val="13"/>
                <w:color w:val="auto"/>
              </w:rPr>
            </w:pPr>
          </w:p>
        </w:tc>
        <w:tc>
          <w:tcPr>
            <w:tcW w:w="13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1,336,668</w:t>
            </w:r>
          </w:p>
        </w:tc>
        <w:tc>
          <w:tcPr>
            <w:tcW w:w="13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1,336,668</w:t>
            </w:r>
          </w:p>
        </w:tc>
      </w:tr>
      <w:tr>
        <w:trPr>
          <w:trHeight w:val="307"/>
        </w:trPr>
        <w:tc>
          <w:tcPr>
            <w:tcW w:w="2420" w:type="dxa"/>
            <w:vAlign w:val="bottom"/>
            <w:gridSpan w:val="2"/>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70,437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70,437</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r>
    </w:tbl>
    <w:p>
      <w:pPr>
        <w:spacing w:after="0" w:line="89"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Nalin Miglani</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89"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Miglani’s outstanding equity awards will vest as described below:</w:t>
      </w:r>
    </w:p>
    <w:p>
      <w:pPr>
        <w:spacing w:after="0" w:line="165" w:lineRule="exact"/>
        <w:rPr>
          <w:sz w:val="20"/>
          <w:szCs w:val="20"/>
          <w:color w:val="auto"/>
        </w:rPr>
      </w:pPr>
    </w:p>
    <w:p>
      <w:pPr>
        <w:ind w:left="1300" w:right="20" w:hanging="320"/>
        <w:spacing w:after="0" w:line="245"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Miglani’s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Miglani’s outstanding Time-Vested RSUs will become fully vested if, following or in specific contemplation of a change in control, he is terminated without cause or, following a change in control, he voluntarily terminates his employment for good reason.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70" w:name="page71"/>
    <w:bookmarkEnd w:id="70"/>
    <w:p>
      <w:pPr>
        <w:ind w:left="1300" w:right="200" w:hanging="320"/>
        <w:spacing w:after="0" w:line="242"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Miglani’s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Miglani’s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20" w:hanging="320"/>
        <w:spacing w:after="0" w:line="239"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Miglani’s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Miglani’s outstanding, earned Revenue-Linked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Indicative Payouts for Nalin Miglani</w:t>
      </w:r>
    </w:p>
    <w:p>
      <w:pPr>
        <w:spacing w:after="0" w:line="21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summarizes the amounts payable to Mr. Miglani upon a change in control or termination of her employment with us on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spacing w:after="0"/>
              <w:rPr>
                <w:sz w:val="14"/>
                <w:szCs w:val="14"/>
                <w:color w:val="auto"/>
              </w:rPr>
            </w:pP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spacing w:after="0"/>
              <w:rPr>
                <w:sz w:val="14"/>
                <w:szCs w:val="14"/>
                <w:color w:val="auto"/>
              </w:rPr>
            </w:pP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Expiration</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w w:val="99"/>
              </w:rPr>
              <w:t>of the</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Employment</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ind w:left="100"/>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ind w:left="100"/>
              <w:spacing w:after="0"/>
              <w:rPr>
                <w:sz w:val="20"/>
                <w:szCs w:val="20"/>
                <w:color w:val="auto"/>
              </w:rPr>
            </w:pPr>
            <w:r>
              <w:rPr>
                <w:rFonts w:ascii="Arial" w:cs="Arial" w:eastAsia="Arial" w:hAnsi="Arial"/>
                <w:sz w:val="14"/>
                <w:szCs w:val="14"/>
                <w:b w:val="1"/>
                <w:bCs w:val="1"/>
                <w:color w:val="auto"/>
              </w:rPr>
              <w:t>Disability</w:t>
            </w: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w w:val="99"/>
              </w:rPr>
              <w:t>Terms</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5591C7"/>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1000" w:type="dxa"/>
            <w:vAlign w:val="bottom"/>
            <w:tcBorders>
              <w:bottom w:val="single" w:sz="8" w:color="auto"/>
            </w:tcBorders>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Base salary payout</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6"/>
                <w:szCs w:val="16"/>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400,000</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400,000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400,000</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Bonus payout</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6"/>
                <w:szCs w:val="16"/>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Health insurance</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00" w:type="dxa"/>
            <w:vAlign w:val="bottom"/>
            <w:shd w:val="clear" w:color="auto" w:fill="B8CDE8"/>
          </w:tcPr>
          <w:p>
            <w:pPr>
              <w:spacing w:after="0"/>
              <w:rPr>
                <w:sz w:val="15"/>
                <w:szCs w:val="15"/>
                <w:color w:val="auto"/>
              </w:rPr>
            </w:pPr>
          </w:p>
        </w:tc>
        <w:tc>
          <w:tcPr>
            <w:tcW w:w="1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4"/>
                <w:szCs w:val="14"/>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Termination</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700" w:type="dxa"/>
            <w:vAlign w:val="bottom"/>
            <w:gridSpan w:val="2"/>
            <w:shd w:val="clear" w:color="auto" w:fill="5591C7"/>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5591C7"/>
          </w:tcPr>
          <w:p>
            <w:pPr>
              <w:spacing w:after="0"/>
              <w:rPr>
                <w:sz w:val="15"/>
                <w:szCs w:val="15"/>
                <w:color w:val="auto"/>
              </w:rPr>
            </w:pPr>
          </w:p>
        </w:tc>
        <w:tc>
          <w:tcPr>
            <w:tcW w:w="104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5591C7"/>
          </w:tcPr>
          <w:p>
            <w:pPr>
              <w:spacing w:after="0"/>
              <w:rPr>
                <w:sz w:val="15"/>
                <w:szCs w:val="15"/>
                <w:color w:val="auto"/>
              </w:rPr>
            </w:pPr>
          </w:p>
        </w:tc>
        <w:tc>
          <w:tcPr>
            <w:tcW w:w="10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5591C7"/>
          </w:tcPr>
          <w:p>
            <w:pPr>
              <w:spacing w:after="0"/>
              <w:rPr>
                <w:sz w:val="15"/>
                <w:szCs w:val="15"/>
                <w:color w:val="auto"/>
              </w:rPr>
            </w:pPr>
          </w:p>
        </w:tc>
        <w:tc>
          <w:tcPr>
            <w:tcW w:w="9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c>
          <w:tcPr>
            <w:tcW w:w="12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c>
          <w:tcPr>
            <w:tcW w:w="124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shd w:val="clear" w:color="auto" w:fill="5591C7"/>
          </w:tcPr>
          <w:p>
            <w:pPr>
              <w:spacing w:after="0"/>
              <w:rPr>
                <w:sz w:val="15"/>
                <w:szCs w:val="15"/>
                <w:color w:val="auto"/>
              </w:rPr>
            </w:pPr>
          </w:p>
        </w:tc>
        <w:tc>
          <w:tcPr>
            <w:tcW w:w="12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r>
      <w:tr>
        <w:trPr>
          <w:trHeight w:val="180"/>
        </w:trPr>
        <w:tc>
          <w:tcPr>
            <w:tcW w:w="2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Restricted stock units (unvested</w:t>
            </w:r>
          </w:p>
        </w:tc>
        <w:tc>
          <w:tcPr>
            <w:tcW w:w="120" w:type="dxa"/>
            <w:vAlign w:val="bottom"/>
            <w:tcBorders>
              <w:top w:val="single" w:sz="8" w:color="5591C7"/>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4"/>
                <w:szCs w:val="14"/>
                <w:color w:val="auto"/>
              </w:rPr>
              <w:t>and accelerated)</w:t>
            </w:r>
          </w:p>
        </w:tc>
        <w:tc>
          <w:tcPr>
            <w:tcW w:w="12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206,678</w:t>
            </w:r>
          </w:p>
        </w:tc>
        <w:tc>
          <w:tcPr>
            <w:tcW w:w="1260" w:type="dxa"/>
            <w:vAlign w:val="bottom"/>
          </w:tcPr>
          <w:p>
            <w:pPr>
              <w:jc w:val="right"/>
              <w:spacing w:after="0"/>
              <w:rPr>
                <w:sz w:val="20"/>
                <w:szCs w:val="20"/>
                <w:color w:val="auto"/>
              </w:rPr>
            </w:pPr>
            <w:r>
              <w:rPr>
                <w:rFonts w:ascii="Arial" w:cs="Arial" w:eastAsia="Arial" w:hAnsi="Arial"/>
                <w:sz w:val="14"/>
                <w:szCs w:val="14"/>
                <w:color w:val="auto"/>
              </w:rPr>
              <w:t>1,078,320</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1,078,320</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1,078,320</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(unvested and 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179,720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Henry Schweppe</w:t>
      </w:r>
    </w:p>
    <w:p>
      <w:pPr>
        <w:spacing w:after="0" w:line="21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section describes Mr. Schweppe’s employment agreement in effect while he was employed. If Mr. Schweppe’s employment with the Company was terminated by the Company without “cause” (other than due to death or disability) or by Mr. Schweppe for “good reason” (both “cause” and “good reason” as defined above), Mr. Schweppe will receive a cash severance payment equal to 12 months base salary, payable in accordance with the Company’s regular payroll practices.</w:t>
      </w:r>
    </w:p>
    <w:p>
      <w:pPr>
        <w:spacing w:after="0" w:line="18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Schweppe’s outstanding equity awards would have vested as described below:</w:t>
      </w:r>
    </w:p>
    <w:p>
      <w:pPr>
        <w:spacing w:after="0" w:line="165" w:lineRule="exact"/>
        <w:rPr>
          <w:sz w:val="20"/>
          <w:szCs w:val="20"/>
          <w:color w:val="auto"/>
        </w:rPr>
      </w:pPr>
    </w:p>
    <w:p>
      <w:pPr>
        <w:ind w:left="1300" w:right="60" w:hanging="320"/>
        <w:spacing w:after="0" w:line="245"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Schweppe’s Time-Vested</w:t>
      </w:r>
      <w:r>
        <w:rPr>
          <w:rFonts w:ascii="Arial" w:cs="Arial" w:eastAsia="Arial" w:hAnsi="Arial"/>
          <w:sz w:val="18"/>
          <w:szCs w:val="18"/>
          <w:i w:val="1"/>
          <w:iCs w:val="1"/>
          <w:color w:val="auto"/>
        </w:rPr>
        <w:t xml:space="preserve"> </w:t>
      </w:r>
      <w:r>
        <w:rPr>
          <w:rFonts w:ascii="Arial" w:cs="Arial" w:eastAsia="Arial" w:hAnsi="Arial"/>
          <w:sz w:val="18"/>
          <w:szCs w:val="18"/>
          <w:color w:val="auto"/>
        </w:rPr>
        <w:t>RSUs will be advanced by one year. In addition, all of Mr. Schweppe’s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60" w:hanging="320"/>
        <w:spacing w:after="0" w:line="242"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Schweppe’s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Schweppe’s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60" w:hanging="320"/>
        <w:spacing w:after="0" w:line="241"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Schweppe’s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72" w:name="page73"/>
    <w:bookmarkEnd w:id="72"/>
    <w:p>
      <w:pPr>
        <w:jc w:val="both"/>
        <w:ind w:left="1300" w:right="80"/>
        <w:spacing w:after="0"/>
        <w:rPr>
          <w:sz w:val="20"/>
          <w:szCs w:val="20"/>
          <w:color w:val="auto"/>
        </w:rPr>
      </w:pPr>
      <w:r>
        <w:rPr>
          <w:rFonts w:ascii="Arial" w:cs="Arial" w:eastAsia="Arial" w:hAnsi="Arial"/>
          <w:sz w:val="18"/>
          <w:szCs w:val="18"/>
          <w:color w:val="auto"/>
        </w:rPr>
        <w:t>year under such schedule. In addition, all of Mr. Schweppe’s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Mr. Schweppe’s severance payments and termination-related equity acceleration were subject to his execution of a release of claims against us. Mr. Schweppe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jc w:val="both"/>
        <w:ind w:right="24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Indicative Payouts for Henry Schweppe</w:t>
      </w:r>
    </w:p>
    <w:p>
      <w:pPr>
        <w:spacing w:after="0" w:line="216" w:lineRule="exact"/>
        <w:rPr>
          <w:sz w:val="20"/>
          <w:szCs w:val="20"/>
          <w:color w:val="auto"/>
        </w:rPr>
      </w:pPr>
    </w:p>
    <w:p>
      <w:pPr>
        <w:jc w:val="both"/>
        <w:ind w:right="240" w:firstLine="648"/>
        <w:spacing w:after="0" w:line="261" w:lineRule="auto"/>
        <w:rPr>
          <w:sz w:val="20"/>
          <w:szCs w:val="20"/>
          <w:color w:val="auto"/>
        </w:rPr>
      </w:pPr>
      <w:r>
        <w:rPr>
          <w:rFonts w:ascii="Arial" w:cs="Arial" w:eastAsia="Arial" w:hAnsi="Arial"/>
          <w:sz w:val="17"/>
          <w:szCs w:val="17"/>
          <w:color w:val="auto"/>
        </w:rPr>
        <w:t>Mr. Schweppe’s employment with the Company terminated as of March 18, 2016. However, pursuant to SEC rules we are disclosing certain additional information related to a hypothetical termination as of December 31, 2015. Accordingly, the following table summarizes the amounts payable to Mr. Schweppe upon a change in control or termination of his employment with us on December 31,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Termination</w:t>
            </w: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ind w:left="100"/>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ind w:left="10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5591C7"/>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5591C7"/>
            </w:tcBorders>
            <w:shd w:val="clear" w:color="auto" w:fill="5591C7"/>
          </w:tcPr>
          <w:p>
            <w:pPr>
              <w:spacing w:after="0"/>
              <w:rPr>
                <w:sz w:val="15"/>
                <w:szCs w:val="15"/>
                <w:color w:val="auto"/>
              </w:rPr>
            </w:pPr>
          </w:p>
        </w:tc>
        <w:tc>
          <w:tcPr>
            <w:tcW w:w="10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Base salary payout</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450,000</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450,000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450,000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Bonus payout</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Health insurance</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tcPr>
          <w:p>
            <w:pPr>
              <w:spacing w:after="0"/>
              <w:rPr>
                <w:sz w:val="20"/>
                <w:szCs w:val="20"/>
                <w:color w:val="auto"/>
              </w:rPr>
            </w:pPr>
            <w:r>
              <w:rPr>
                <w:rFonts w:ascii="Arial" w:cs="Arial" w:eastAsia="Arial" w:hAnsi="Arial"/>
                <w:sz w:val="14"/>
                <w:szCs w:val="14"/>
                <w:color w:val="auto"/>
              </w:rPr>
              <w:t>Restricted stock units (unvested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4"/>
                <w:szCs w:val="14"/>
                <w:color w:val="auto"/>
              </w:rPr>
              <w:t>and accelerated)</w:t>
            </w:r>
          </w:p>
        </w:tc>
        <w:tc>
          <w:tcPr>
            <w:tcW w:w="12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214,945</w:t>
            </w:r>
          </w:p>
        </w:tc>
        <w:tc>
          <w:tcPr>
            <w:tcW w:w="1260" w:type="dxa"/>
            <w:vAlign w:val="bottom"/>
          </w:tcPr>
          <w:p>
            <w:pPr>
              <w:jc w:val="right"/>
              <w:spacing w:after="0"/>
              <w:rPr>
                <w:sz w:val="20"/>
                <w:szCs w:val="20"/>
                <w:color w:val="auto"/>
              </w:rPr>
            </w:pPr>
            <w:r>
              <w:rPr>
                <w:rFonts w:ascii="Arial" w:cs="Arial" w:eastAsia="Arial" w:hAnsi="Arial"/>
                <w:sz w:val="14"/>
                <w:szCs w:val="14"/>
                <w:color w:val="auto"/>
              </w:rPr>
              <w:t>1,152,589</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1,152,589</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1,152,589</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(unvested and 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224,650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Director Compensation for Fiscal Year 2015</w:t>
      </w:r>
    </w:p>
    <w:p>
      <w:pPr>
        <w:spacing w:after="0" w:line="22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following table sets forth information for compensation earned in fiscal year 2015 by our non-executive directors who served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shd w:val="clear" w:color="auto" w:fill="5591C7"/>
          </w:tcPr>
          <w:p>
            <w:pPr>
              <w:spacing w:after="0"/>
              <w:rPr>
                <w:sz w:val="15"/>
                <w:szCs w:val="15"/>
                <w:color w:val="auto"/>
              </w:rPr>
            </w:pPr>
          </w:p>
        </w:tc>
        <w:tc>
          <w:tcPr>
            <w:tcW w:w="140" w:type="dxa"/>
            <w:vAlign w:val="bottom"/>
            <w:shd w:val="clear" w:color="auto" w:fill="5591C7"/>
          </w:tcPr>
          <w:p>
            <w:pPr>
              <w:spacing w:after="0"/>
              <w:rPr>
                <w:sz w:val="15"/>
                <w:szCs w:val="15"/>
                <w:color w:val="auto"/>
              </w:rPr>
            </w:pP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Fees Earned or</w:t>
            </w: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7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7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shd w:val="clear" w:color="auto" w:fill="5591C7"/>
          </w:tcPr>
          <w:p>
            <w:pPr>
              <w:ind w:left="110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140" w:type="dxa"/>
            <w:vAlign w:val="bottom"/>
            <w:shd w:val="clear" w:color="auto" w:fill="5591C7"/>
          </w:tcPr>
          <w:p>
            <w:pPr>
              <w:spacing w:after="0"/>
              <w:rPr>
                <w:sz w:val="14"/>
                <w:szCs w:val="14"/>
                <w:color w:val="auto"/>
              </w:rPr>
            </w:pPr>
          </w:p>
        </w:tc>
        <w:tc>
          <w:tcPr>
            <w:tcW w:w="172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Paid in Cash</w:t>
            </w: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700" w:type="dxa"/>
            <w:vAlign w:val="bottom"/>
            <w:gridSpan w:val="2"/>
            <w:shd w:val="clear" w:color="auto" w:fill="5591C7"/>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vMerge w:val="continue"/>
            <w:shd w:val="clear" w:color="auto" w:fill="5591C7"/>
          </w:tcPr>
          <w:p>
            <w:pPr>
              <w:spacing w:after="0"/>
              <w:rPr>
                <w:sz w:val="17"/>
                <w:szCs w:val="17"/>
                <w:color w:val="auto"/>
              </w:rPr>
            </w:pPr>
          </w:p>
        </w:tc>
        <w:tc>
          <w:tcPr>
            <w:tcW w:w="14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(2)(3)</w:t>
            </w:r>
          </w:p>
        </w:tc>
        <w:tc>
          <w:tcPr>
            <w:tcW w:w="120" w:type="dxa"/>
            <w:vAlign w:val="bottom"/>
            <w:tcBorders>
              <w:bottom w:val="single" w:sz="8" w:color="5591C7"/>
            </w:tcBorders>
            <w:shd w:val="clear" w:color="auto" w:fill="5591C7"/>
          </w:tcPr>
          <w:p>
            <w:pPr>
              <w:spacing w:after="0"/>
              <w:rPr>
                <w:sz w:val="17"/>
                <w:szCs w:val="17"/>
                <w:color w:val="auto"/>
              </w:rPr>
            </w:pPr>
          </w:p>
        </w:tc>
        <w:tc>
          <w:tcPr>
            <w:tcW w:w="15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(5)</w:t>
            </w:r>
          </w:p>
        </w:tc>
        <w:tc>
          <w:tcPr>
            <w:tcW w:w="10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right"/>
              <w:ind w:right="6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David Kelso</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80,000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179,998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color w:val="auto"/>
              </w:rPr>
              <w:t>Deborah Kerr</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72,500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146,309</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218,809</w:t>
            </w: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Clyde Ostler</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82,500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182,498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4"/>
                <w:szCs w:val="14"/>
                <w:color w:val="auto"/>
              </w:rPr>
              <w:t>Anne Minto</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77,500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127,108</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auto"/>
              </w:rPr>
              <w:t>25,077</w:t>
            </w:r>
            <w:r>
              <w:rPr>
                <w:rFonts w:ascii="Arial" w:cs="Arial" w:eastAsia="Arial" w:hAnsi="Arial"/>
                <w:sz w:val="23"/>
                <w:szCs w:val="23"/>
                <w:color w:val="auto"/>
                <w:vertAlign w:val="superscript"/>
              </w:rPr>
              <w:t>(6)</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229,685</w:t>
            </w: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Som Mittal</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70,000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169,998</w:t>
            </w:r>
          </w:p>
        </w:tc>
        <w:tc>
          <w:tcPr>
            <w:tcW w:w="0" w:type="dxa"/>
            <w:vAlign w:val="bottom"/>
          </w:tcPr>
          <w:p>
            <w:pPr>
              <w:spacing w:after="0"/>
              <w:rPr>
                <w:sz w:val="1"/>
                <w:szCs w:val="1"/>
                <w:color w:val="auto"/>
              </w:rPr>
            </w:pP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3"/>
                <w:szCs w:val="13"/>
                <w:color w:val="auto"/>
              </w:rPr>
              <w:t>Mohanbir Sawhney</w:t>
            </w:r>
            <w:r>
              <w:rPr>
                <w:rFonts w:ascii="Arial" w:cs="Arial" w:eastAsia="Arial" w:hAnsi="Arial"/>
                <w:sz w:val="21"/>
                <w:szCs w:val="21"/>
                <w:color w:val="auto"/>
                <w:vertAlign w:val="superscript"/>
              </w:rPr>
              <w:t>(4)</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72,500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172,498</w:t>
            </w:r>
          </w:p>
        </w:tc>
        <w:tc>
          <w:tcPr>
            <w:tcW w:w="0" w:type="dxa"/>
            <w:vAlign w:val="bottom"/>
          </w:tcPr>
          <w:p>
            <w:pPr>
              <w:spacing w:after="0"/>
              <w:rPr>
                <w:sz w:val="1"/>
                <w:szCs w:val="1"/>
                <w:color w:val="auto"/>
              </w:rPr>
            </w:pPr>
          </w:p>
        </w:tc>
      </w:tr>
      <w:tr>
        <w:trPr>
          <w:trHeight w:val="216"/>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Garen Staglin</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120,000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206,771</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line="216" w:lineRule="exact"/>
              <w:rPr>
                <w:sz w:val="20"/>
                <w:szCs w:val="20"/>
                <w:color w:val="auto"/>
              </w:rPr>
            </w:pPr>
            <w:r>
              <w:rPr>
                <w:rFonts w:ascii="Arial" w:cs="Arial" w:eastAsia="Arial" w:hAnsi="Arial"/>
                <w:sz w:val="14"/>
                <w:szCs w:val="14"/>
                <w:color w:val="auto"/>
              </w:rPr>
              <w:t>39,500</w:t>
            </w:r>
            <w:r>
              <w:rPr>
                <w:rFonts w:ascii="Arial" w:cs="Arial" w:eastAsia="Arial" w:hAnsi="Arial"/>
                <w:sz w:val="23"/>
                <w:szCs w:val="23"/>
                <w:color w:val="auto"/>
                <w:vertAlign w:val="superscript"/>
              </w:rPr>
              <w:t>(5)</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366,271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660" w:right="60" w:hanging="328"/>
        <w:spacing w:after="0" w:line="241"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Kapoor’s compensation during 2015 was based solely on his role as CEO, as disclosed in the “Summary Compensation Table for Fiscal Year 2015” beginning on page 42 and discussed in “Compensation Discussion and Analysis” beginning on page 23. He does not receive any additional compensation for his services as a director. Separately, Mr. Sahney did not serve as a director during fiscal year 2015 and accordingly is not included in the table.</w:t>
      </w:r>
    </w:p>
    <w:p>
      <w:pPr>
        <w:spacing w:after="0" w:line="1" w:lineRule="exact"/>
        <w:rPr>
          <w:rFonts w:ascii="Arial" w:cs="Arial" w:eastAsia="Arial" w:hAnsi="Arial"/>
          <w:sz w:val="14"/>
          <w:szCs w:val="14"/>
          <w:color w:val="auto"/>
        </w:rPr>
      </w:pPr>
    </w:p>
    <w:p>
      <w:pPr>
        <w:ind w:left="660" w:right="100" w:hanging="328"/>
        <w:spacing w:after="0" w:line="241"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awards and option awards recognized for financial statement reporting purposes for the fiscal year ended December 31, 2015, in accordance with FASB ASC Topic 718 (disregarding any forfeiture assumptions). Assumptions used in the calculation of these amounts are included in footnotes 2 and 14 to our audited financial statements for the fiscal year ended December 31, 2015 included in our Annual Report on Form 10-K filed with the Securities and Exchange Commission on February 26,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outstanding equity awards held by our directors on December 31, 2015 is set forth on the table below:</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Securities</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Securities</w:t>
            </w:r>
          </w:p>
        </w:tc>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Shares or Units of</w:t>
            </w:r>
          </w:p>
        </w:tc>
      </w:t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Unexercised Options</w:t>
            </w:r>
          </w:p>
        </w:tc>
        <w:tc>
          <w:tcPr>
            <w:tcW w:w="2300" w:type="dxa"/>
            <w:vAlign w:val="bottom"/>
            <w:gridSpan w:val="2"/>
            <w:shd w:val="clear" w:color="auto" w:fill="5591C7"/>
          </w:tcPr>
          <w:p>
            <w:pPr>
              <w:jc w:val="center"/>
              <w:ind w:right="180"/>
              <w:spacing w:after="0"/>
              <w:rPr>
                <w:sz w:val="20"/>
                <w:szCs w:val="20"/>
                <w:color w:val="auto"/>
              </w:rPr>
            </w:pPr>
            <w:r>
              <w:rPr>
                <w:rFonts w:ascii="Arial" w:cs="Arial" w:eastAsia="Arial" w:hAnsi="Arial"/>
                <w:sz w:val="14"/>
                <w:szCs w:val="14"/>
                <w:b w:val="1"/>
                <w:bCs w:val="1"/>
                <w:color w:val="auto"/>
              </w:rPr>
              <w:t>Unexercised Options</w:t>
            </w:r>
          </w:p>
        </w:tc>
        <w:tc>
          <w:tcPr>
            <w:tcW w:w="230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Stock That Have Not</w:t>
            </w:r>
          </w:p>
        </w:tc>
      </w:tr>
      <w:tr>
        <w:trPr>
          <w:trHeight w:val="182"/>
        </w:trPr>
        <w:tc>
          <w:tcPr>
            <w:tcW w:w="3840" w:type="dxa"/>
            <w:vAlign w:val="bottom"/>
            <w:tcBorders>
              <w:bottom w:val="single" w:sz="8" w:color="auto"/>
            </w:tcBorders>
            <w:shd w:val="clear" w:color="auto" w:fill="5591C7"/>
          </w:tcPr>
          <w:p>
            <w:pPr>
              <w:ind w:left="17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21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 Exercisable</w:t>
            </w:r>
          </w:p>
        </w:tc>
        <w:tc>
          <w:tcPr>
            <w:tcW w:w="100" w:type="dxa"/>
            <w:vAlign w:val="bottom"/>
            <w:tcBorders>
              <w:bottom w:val="single" w:sz="8" w:color="5591C7"/>
            </w:tcBorders>
            <w:shd w:val="clear" w:color="auto" w:fill="5591C7"/>
          </w:tcPr>
          <w:p>
            <w:pPr>
              <w:spacing w:after="0"/>
              <w:rPr>
                <w:sz w:val="15"/>
                <w:szCs w:val="15"/>
                <w:color w:val="auto"/>
              </w:rPr>
            </w:pPr>
          </w:p>
        </w:tc>
        <w:tc>
          <w:tcPr>
            <w:tcW w:w="21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 Unexercisable</w:t>
            </w:r>
          </w:p>
        </w:tc>
        <w:tc>
          <w:tcPr>
            <w:tcW w:w="120" w:type="dxa"/>
            <w:vAlign w:val="bottom"/>
            <w:tcBorders>
              <w:bottom w:val="single" w:sz="8" w:color="5591C7"/>
            </w:tcBorders>
            <w:shd w:val="clear" w:color="auto" w:fill="5591C7"/>
          </w:tcPr>
          <w:p>
            <w:pPr>
              <w:spacing w:after="0"/>
              <w:rPr>
                <w:sz w:val="15"/>
                <w:szCs w:val="15"/>
                <w:color w:val="auto"/>
              </w:rPr>
            </w:pPr>
          </w:p>
        </w:tc>
        <w:tc>
          <w:tcPr>
            <w:tcW w:w="21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Vested</w:t>
            </w:r>
          </w:p>
        </w:tc>
        <w:tc>
          <w:tcPr>
            <w:tcW w:w="120" w:type="dxa"/>
            <w:vAlign w:val="bottom"/>
            <w:tcBorders>
              <w:bottom w:val="single" w:sz="8" w:color="5591C7"/>
            </w:tcBorders>
            <w:shd w:val="clear" w:color="auto" w:fill="5591C7"/>
          </w:tcPr>
          <w:p>
            <w:pPr>
              <w:spacing w:after="0"/>
              <w:rPr>
                <w:sz w:val="15"/>
                <w:szCs w:val="15"/>
                <w:color w:val="auto"/>
              </w:rPr>
            </w:pPr>
          </w:p>
        </w:tc>
      </w:tr>
      <w:tr>
        <w:trPr>
          <w:trHeight w:val="189"/>
        </w:trPr>
        <w:tc>
          <w:tcPr>
            <w:tcW w:w="3840" w:type="dxa"/>
            <w:vAlign w:val="bottom"/>
            <w:shd w:val="clear" w:color="auto" w:fill="B8CDE8"/>
          </w:tcPr>
          <w:p>
            <w:pPr>
              <w:spacing w:after="0"/>
              <w:rPr>
                <w:sz w:val="20"/>
                <w:szCs w:val="20"/>
                <w:color w:val="auto"/>
              </w:rPr>
            </w:pPr>
            <w:r>
              <w:rPr>
                <w:rFonts w:ascii="Arial" w:cs="Arial" w:eastAsia="Arial" w:hAnsi="Arial"/>
                <w:sz w:val="14"/>
                <w:szCs w:val="14"/>
                <w:color w:val="auto"/>
              </w:rPr>
              <w:t>David Kelso</w:t>
            </w:r>
          </w:p>
        </w:tc>
        <w:tc>
          <w:tcPr>
            <w:tcW w:w="238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38,253</w:t>
            </w:r>
          </w:p>
        </w:tc>
        <w:tc>
          <w:tcPr>
            <w:tcW w:w="2300" w:type="dxa"/>
            <w:vAlign w:val="bottom"/>
            <w:gridSpan w:val="2"/>
            <w:shd w:val="clear" w:color="auto" w:fill="B8CDE8"/>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Deborah Kerr</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4,470</w:t>
            </w:r>
          </w:p>
        </w:tc>
      </w:tr>
      <w:tr>
        <w:trPr>
          <w:trHeight w:val="189"/>
        </w:trPr>
        <w:tc>
          <w:tcPr>
            <w:tcW w:w="3840" w:type="dxa"/>
            <w:vAlign w:val="bottom"/>
            <w:shd w:val="clear" w:color="auto" w:fill="B8CCE4"/>
          </w:tcPr>
          <w:p>
            <w:pPr>
              <w:spacing w:after="0"/>
              <w:rPr>
                <w:sz w:val="20"/>
                <w:szCs w:val="20"/>
                <w:color w:val="auto"/>
              </w:rPr>
            </w:pPr>
            <w:r>
              <w:rPr>
                <w:rFonts w:ascii="Arial" w:cs="Arial" w:eastAsia="Arial" w:hAnsi="Arial"/>
                <w:sz w:val="14"/>
                <w:szCs w:val="14"/>
                <w:color w:val="auto"/>
              </w:rPr>
              <w:t>Anne Minto</w:t>
            </w:r>
          </w:p>
        </w:tc>
        <w:tc>
          <w:tcPr>
            <w:tcW w:w="238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3,093</w:t>
            </w:r>
          </w:p>
        </w:tc>
        <w:tc>
          <w:tcPr>
            <w:tcW w:w="2300" w:type="dxa"/>
            <w:vAlign w:val="bottom"/>
            <w:gridSpan w:val="2"/>
            <w:shd w:val="clear" w:color="auto" w:fill="B8CCE4"/>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CE4"/>
          </w:tcPr>
          <w:p>
            <w:pPr>
              <w:jc w:val="right"/>
              <w:ind w:right="120"/>
              <w:spacing w:after="0"/>
              <w:rPr>
                <w:sz w:val="20"/>
                <w:szCs w:val="20"/>
                <w:color w:val="auto"/>
              </w:rPr>
            </w:pPr>
            <w:r>
              <w:rPr>
                <w:rFonts w:ascii="Arial" w:cs="Arial" w:eastAsia="Arial" w:hAnsi="Arial"/>
                <w:sz w:val="14"/>
                <w:szCs w:val="14"/>
                <w:color w:val="auto"/>
              </w:rPr>
              <w:t>3,621</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Som Mittal</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shd w:val="clear" w:color="auto" w:fill="B8CCE4"/>
          </w:tcPr>
          <w:p>
            <w:pPr>
              <w:spacing w:after="0"/>
              <w:rPr>
                <w:sz w:val="20"/>
                <w:szCs w:val="20"/>
                <w:color w:val="auto"/>
              </w:rPr>
            </w:pPr>
            <w:r>
              <w:rPr>
                <w:rFonts w:ascii="Arial" w:cs="Arial" w:eastAsia="Arial" w:hAnsi="Arial"/>
                <w:sz w:val="14"/>
                <w:szCs w:val="14"/>
                <w:color w:val="auto"/>
              </w:rPr>
              <w:t>Clyde Ostler</w:t>
            </w:r>
          </w:p>
        </w:tc>
        <w:tc>
          <w:tcPr>
            <w:tcW w:w="238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62,723</w:t>
            </w:r>
          </w:p>
        </w:tc>
        <w:tc>
          <w:tcPr>
            <w:tcW w:w="2300" w:type="dxa"/>
            <w:vAlign w:val="bottom"/>
            <w:gridSpan w:val="2"/>
            <w:shd w:val="clear" w:color="auto" w:fill="B8CCE4"/>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CE4"/>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Mohanbir Sawhney</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shd w:val="clear" w:color="auto" w:fill="B8CDE8"/>
          </w:tcPr>
          <w:p>
            <w:pPr>
              <w:spacing w:after="0"/>
              <w:rPr>
                <w:sz w:val="20"/>
                <w:szCs w:val="20"/>
                <w:color w:val="auto"/>
              </w:rPr>
            </w:pPr>
            <w:r>
              <w:rPr>
                <w:rFonts w:ascii="Arial" w:cs="Arial" w:eastAsia="Arial" w:hAnsi="Arial"/>
                <w:sz w:val="14"/>
                <w:szCs w:val="14"/>
                <w:color w:val="auto"/>
              </w:rPr>
              <w:t>Garen Staglin</w:t>
            </w:r>
          </w:p>
        </w:tc>
        <w:tc>
          <w:tcPr>
            <w:tcW w:w="238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32,723</w:t>
            </w:r>
          </w:p>
        </w:tc>
        <w:tc>
          <w:tcPr>
            <w:tcW w:w="2300" w:type="dxa"/>
            <w:vAlign w:val="bottom"/>
            <w:gridSpan w:val="2"/>
            <w:shd w:val="clear" w:color="auto" w:fill="B8CDE8"/>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6,270</w:t>
            </w:r>
          </w:p>
        </w:tc>
      </w:tr>
    </w:tbl>
    <w:p>
      <w:pPr>
        <w:spacing w:after="0" w:line="20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Sawhney resigned as a director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Mr. Staglin, amount reflects our reimbursement for costs associated with secretarial services.</w:t>
      </w:r>
    </w:p>
    <w:p>
      <w:pPr>
        <w:spacing w:after="0" w:line="1" w:lineRule="exact"/>
        <w:rPr>
          <w:rFonts w:ascii="Arial" w:cs="Arial" w:eastAsia="Arial" w:hAnsi="Arial"/>
          <w:sz w:val="14"/>
          <w:szCs w:val="14"/>
          <w:color w:val="auto"/>
        </w:rPr>
      </w:pPr>
    </w:p>
    <w:p>
      <w:pPr>
        <w:ind w:left="660" w:right="520" w:hanging="328"/>
        <w:spacing w:after="0" w:line="258"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Ms. Minto, amount reflects our reimbursement to her for tax planning fees. The amount also reflects a subsequent payment made to Ms. Minto to gross up the reimbursement of tax planning fees so that the economic benefit to her was the same as if such benefit were provided on a non-taxable basis ($8,072).</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859" w:right="179" w:bottom="1440" w:gutter="0" w:footer="0" w:header="0"/>
        </w:sectPr>
      </w:pPr>
    </w:p>
    <w:bookmarkStart w:id="74" w:name="page75"/>
    <w:bookmarkEnd w:id="74"/>
    <w:p>
      <w:pPr>
        <w:ind w:firstLine="648"/>
        <w:spacing w:after="0" w:line="236" w:lineRule="auto"/>
        <w:rPr>
          <w:sz w:val="20"/>
          <w:szCs w:val="20"/>
          <w:color w:val="auto"/>
        </w:rPr>
      </w:pPr>
      <w:r>
        <w:rPr>
          <w:rFonts w:ascii="Arial" w:cs="Arial" w:eastAsia="Arial" w:hAnsi="Arial"/>
          <w:sz w:val="18"/>
          <w:szCs w:val="18"/>
          <w:color w:val="auto"/>
        </w:rPr>
        <w:t>For 2015, non-employee directors were eligible to receive an annual retainer fee in the amount of $55,000. The non-executive Chairman of our board of directors was eligible to receive an additional retainer of $150,000 which is paid $50,000 in cash and $100,000 in equity. The Lead Director of our board of directors (if there is a Lead Director serving at such time) was eligible to receive an additional annual fee of $25,000. New non-employee directors who join our board of directors during a calendar quarter are eligible to receive the full fee for such calendar quarter. The chairperson of our Audit Committee was eligible to receive an additional annual fee of $20,000, and other members of our Audit Committee were eligible to receive an additional annual fee of $10,000. The Chairpersons of committees other than our Audit Committee were eligible to receive an additional annual fee of $ 15,000, and members of committees other than our Audit Committee were eligible to receive an additional annual fee of $7,500. 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9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Prior to July 1, 2014, new non-employee directors who join our board of directors were eligible to receive restricted stock units representing 4,000 shares of our common stock and each non-employee director received a grant on the anniversary of his board service date of restricted stock units representing 4,000 shares of our common stock. Effective July 1, 2014, the Company decided to transition to making an annual grant to all directors with an approximate value of $100,000 commencing on the date of the 2015 Annual Stockholders’ meeting. In order to transition to this new program, any director with an anniversary hire date between July 1, 2014 and June 19, 2015, the date of the 2015 Annual Stockholders’ meeting, received a pro rata grant based upon the number of days between the anniversary date and the date of the Annual Stockholders’ meeting. On June 19, 2015, each non-employee director received a grant or restricted stock units valued at $100,000 with the exact number of units being determined by dividing $100,000 by the closing stock price on June 18, 2015. The grants provide that the restricted stock units will vest on the earliest of:</w:t>
      </w:r>
    </w:p>
    <w:p>
      <w:pPr>
        <w:spacing w:after="0" w:line="194" w:lineRule="exact"/>
        <w:rPr>
          <w:sz w:val="20"/>
          <w:szCs w:val="20"/>
          <w:color w:val="auto"/>
        </w:rPr>
      </w:pPr>
    </w:p>
    <w:p>
      <w:pPr>
        <w:ind w:left="1300" w:hanging="401"/>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211" w:lineRule="exact"/>
        <w:rPr>
          <w:rFonts w:ascii="Arial" w:cs="Arial" w:eastAsia="Arial" w:hAnsi="Arial"/>
          <w:sz w:val="18"/>
          <w:szCs w:val="18"/>
          <w:color w:val="auto"/>
        </w:rPr>
      </w:pPr>
    </w:p>
    <w:p>
      <w:pPr>
        <w:ind w:left="1300" w:hanging="401"/>
        <w:spacing w:after="0" w:line="246"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director’s term as a member of our board of directors expires if the director is not subsequently elected to a new term on our board of directors; and</w:t>
      </w:r>
    </w:p>
    <w:p>
      <w:pPr>
        <w:spacing w:after="0" w:line="183" w:lineRule="exact"/>
        <w:rPr>
          <w:rFonts w:ascii="Arial" w:cs="Arial" w:eastAsia="Arial" w:hAnsi="Arial"/>
          <w:sz w:val="18"/>
          <w:szCs w:val="18"/>
          <w:color w:val="auto"/>
        </w:rPr>
      </w:pPr>
    </w:p>
    <w:p>
      <w:pPr>
        <w:ind w:left="1300" w:hanging="401"/>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w:t>
      </w:r>
    </w:p>
    <w:p>
      <w:pPr>
        <w:spacing w:after="0" w:line="21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83" w:lineRule="exact"/>
        <w:rPr>
          <w:sz w:val="20"/>
          <w:szCs w:val="20"/>
          <w:color w:val="auto"/>
        </w:rPr>
      </w:pPr>
    </w:p>
    <w:p>
      <w:pPr>
        <w:ind w:left="1300" w:hanging="401"/>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211" w:lineRule="exact"/>
        <w:rPr>
          <w:rFonts w:ascii="Arial" w:cs="Arial" w:eastAsia="Arial" w:hAnsi="Arial"/>
          <w:sz w:val="18"/>
          <w:szCs w:val="18"/>
          <w:color w:val="auto"/>
        </w:rPr>
      </w:pPr>
    </w:p>
    <w:p>
      <w:pPr>
        <w:ind w:left="1300" w:right="100" w:hanging="401"/>
        <w:spacing w:after="0" w:line="24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or if the director has satisfied our stock ownership guidelines and made an election prior to the grant, the vesting date of the award; and</w:t>
      </w:r>
    </w:p>
    <w:p>
      <w:pPr>
        <w:spacing w:after="0" w:line="183" w:lineRule="exact"/>
        <w:rPr>
          <w:rFonts w:ascii="Arial" w:cs="Arial" w:eastAsia="Arial" w:hAnsi="Arial"/>
          <w:sz w:val="18"/>
          <w:szCs w:val="18"/>
          <w:color w:val="auto"/>
        </w:rPr>
      </w:pPr>
    </w:p>
    <w:p>
      <w:pPr>
        <w:ind w:left="1300" w:right="20" w:hanging="401"/>
        <w:spacing w:after="0" w:line="24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 that satisfies the requirements of Section 409A of the Code.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59" w:right="2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STOCK OWNERSHIP OF DIRECTORS, EXECUTIVE OFFICERS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19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Unless otherwise indicated, the table below sets forth, as of March 31, 2016, information with respect to the beneficial ownership of our common stock by:</w:t>
      </w:r>
    </w:p>
    <w:p>
      <w:pPr>
        <w:spacing w:after="0" w:line="18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our current directors and current executive officers (i.e., not just named executive officers) as a group.</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amounts and percentages of common stock beneficially owned as of March 31, 2016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March 31, 2016.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40" w:type="dxa"/>
            <w:vAlign w:val="bottom"/>
            <w:shd w:val="clear" w:color="auto" w:fill="5591C7"/>
          </w:tcPr>
          <w:p>
            <w:pPr>
              <w:spacing w:after="0"/>
              <w:rPr>
                <w:sz w:val="16"/>
                <w:szCs w:val="16"/>
                <w:color w:val="auto"/>
              </w:rPr>
            </w:pPr>
          </w:p>
        </w:tc>
        <w:tc>
          <w:tcPr>
            <w:tcW w:w="120" w:type="dxa"/>
            <w:vAlign w:val="bottom"/>
            <w:shd w:val="clear" w:color="auto" w:fill="5591C7"/>
          </w:tcPr>
          <w:p>
            <w:pPr>
              <w:spacing w:after="0"/>
              <w:rPr>
                <w:sz w:val="16"/>
                <w:szCs w:val="16"/>
                <w:color w:val="auto"/>
              </w:rPr>
            </w:pPr>
          </w:p>
        </w:tc>
        <w:tc>
          <w:tcPr>
            <w:tcW w:w="3200" w:type="dxa"/>
            <w:vAlign w:val="bottom"/>
            <w:gridSpan w:val="3"/>
            <w:shd w:val="clear" w:color="auto" w:fill="5591C7"/>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580" w:type="dxa"/>
            <w:vAlign w:val="bottom"/>
            <w:gridSpan w:val="2"/>
            <w:shd w:val="clear" w:color="auto" w:fill="5591C7"/>
          </w:tcPr>
          <w:p>
            <w:pPr>
              <w:jc w:val="center"/>
              <w:ind w:right="260"/>
              <w:spacing w:after="0"/>
              <w:rPr>
                <w:sz w:val="20"/>
                <w:szCs w:val="20"/>
                <w:color w:val="auto"/>
              </w:rPr>
            </w:pPr>
            <w:r>
              <w:rPr>
                <w:rFonts w:ascii="Arial" w:cs="Arial" w:eastAsia="Arial" w:hAnsi="Arial"/>
                <w:sz w:val="14"/>
                <w:szCs w:val="14"/>
                <w:b w:val="1"/>
                <w:bCs w:val="1"/>
                <w:color w:val="auto"/>
              </w:rPr>
              <w:t>Vested but</w:t>
            </w:r>
          </w:p>
        </w:tc>
        <w:tc>
          <w:tcPr>
            <w:tcW w:w="1360" w:type="dxa"/>
            <w:vAlign w:val="bottom"/>
            <w:shd w:val="clear" w:color="auto" w:fill="5591C7"/>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5140" w:type="dxa"/>
            <w:vAlign w:val="bottom"/>
            <w:tcBorders>
              <w:top w:val="single" w:sz="8" w:color="5591C7"/>
            </w:tcBorders>
            <w:shd w:val="clear" w:color="auto" w:fill="5591C7"/>
          </w:tcPr>
          <w:p>
            <w:pPr>
              <w:spacing w:after="0"/>
              <w:rPr>
                <w:sz w:val="12"/>
                <w:szCs w:val="12"/>
                <w:color w:val="auto"/>
              </w:rPr>
            </w:pPr>
          </w:p>
        </w:tc>
        <w:tc>
          <w:tcPr>
            <w:tcW w:w="120" w:type="dxa"/>
            <w:vAlign w:val="bottom"/>
            <w:tcBorders>
              <w:top w:val="single" w:sz="8" w:color="5591C7"/>
            </w:tcBorders>
            <w:shd w:val="clear" w:color="auto" w:fill="5591C7"/>
          </w:tcPr>
          <w:p>
            <w:pPr>
              <w:spacing w:after="0"/>
              <w:rPr>
                <w:sz w:val="12"/>
                <w:szCs w:val="12"/>
                <w:color w:val="auto"/>
              </w:rPr>
            </w:pPr>
          </w:p>
        </w:tc>
        <w:tc>
          <w:tcPr>
            <w:tcW w:w="1620" w:type="dxa"/>
            <w:vAlign w:val="bottom"/>
            <w:tcBorders>
              <w:top w:val="single" w:sz="8" w:color="auto"/>
            </w:tcBorders>
            <w:shd w:val="clear" w:color="auto" w:fill="5591C7"/>
          </w:tcPr>
          <w:p>
            <w:pPr>
              <w:spacing w:after="0"/>
              <w:rPr>
                <w:sz w:val="12"/>
                <w:szCs w:val="12"/>
                <w:color w:val="auto"/>
              </w:rPr>
            </w:pPr>
          </w:p>
        </w:tc>
        <w:tc>
          <w:tcPr>
            <w:tcW w:w="1360" w:type="dxa"/>
            <w:vAlign w:val="bottom"/>
            <w:tcBorders>
              <w:top w:val="single" w:sz="8" w:color="auto"/>
            </w:tcBorders>
            <w:shd w:val="clear" w:color="auto" w:fill="5591C7"/>
          </w:tcPr>
          <w:p>
            <w:pPr>
              <w:spacing w:after="0"/>
              <w:rPr>
                <w:sz w:val="12"/>
                <w:szCs w:val="12"/>
                <w:color w:val="auto"/>
              </w:rPr>
            </w:pPr>
          </w:p>
        </w:tc>
        <w:tc>
          <w:tcPr>
            <w:tcW w:w="220" w:type="dxa"/>
            <w:vAlign w:val="bottom"/>
            <w:tcBorders>
              <w:top w:val="single" w:sz="8" w:color="5591C7"/>
            </w:tcBorders>
            <w:shd w:val="clear" w:color="auto" w:fill="5591C7"/>
          </w:tcPr>
          <w:p>
            <w:pPr>
              <w:spacing w:after="0"/>
              <w:rPr>
                <w:sz w:val="12"/>
                <w:szCs w:val="12"/>
                <w:color w:val="auto"/>
              </w:rPr>
            </w:pPr>
          </w:p>
        </w:tc>
        <w:tc>
          <w:tcPr>
            <w:tcW w:w="1580" w:type="dxa"/>
            <w:vAlign w:val="bottom"/>
            <w:tcBorders>
              <w:top w:val="single" w:sz="8" w:color="5591C7"/>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Unsettled</w:t>
            </w:r>
          </w:p>
        </w:tc>
        <w:tc>
          <w:tcPr>
            <w:tcW w:w="1360" w:type="dxa"/>
            <w:vAlign w:val="bottom"/>
            <w:tcBorders>
              <w:top w:val="single" w:sz="8" w:color="5591C7"/>
            </w:tcBorders>
            <w:shd w:val="clear" w:color="auto" w:fill="5591C7"/>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5140" w:type="dxa"/>
            <w:vAlign w:val="bottom"/>
            <w:shd w:val="clear" w:color="auto" w:fill="5591C7"/>
          </w:tcPr>
          <w:p>
            <w:pPr>
              <w:spacing w:after="0"/>
              <w:rPr>
                <w:sz w:val="13"/>
                <w:szCs w:val="13"/>
                <w:color w:val="auto"/>
              </w:rPr>
            </w:pPr>
          </w:p>
        </w:tc>
        <w:tc>
          <w:tcPr>
            <w:tcW w:w="120" w:type="dxa"/>
            <w:vAlign w:val="bottom"/>
            <w:shd w:val="clear" w:color="auto" w:fill="5591C7"/>
          </w:tcPr>
          <w:p>
            <w:pPr>
              <w:spacing w:after="0"/>
              <w:rPr>
                <w:sz w:val="13"/>
                <w:szCs w:val="13"/>
                <w:color w:val="auto"/>
              </w:rPr>
            </w:pPr>
          </w:p>
        </w:tc>
        <w:tc>
          <w:tcPr>
            <w:tcW w:w="1620" w:type="dxa"/>
            <w:vAlign w:val="bottom"/>
            <w:shd w:val="clear" w:color="auto" w:fill="5591C7"/>
          </w:tcPr>
          <w:p>
            <w:pPr>
              <w:spacing w:after="0"/>
              <w:rPr>
                <w:sz w:val="13"/>
                <w:szCs w:val="13"/>
                <w:color w:val="auto"/>
              </w:rPr>
            </w:pPr>
          </w:p>
        </w:tc>
        <w:tc>
          <w:tcPr>
            <w:tcW w:w="1580" w:type="dxa"/>
            <w:vAlign w:val="bottom"/>
            <w:gridSpan w:val="2"/>
            <w:shd w:val="clear" w:color="auto" w:fill="5591C7"/>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1580" w:type="dxa"/>
            <w:vAlign w:val="bottom"/>
            <w:gridSpan w:val="2"/>
            <w:shd w:val="clear" w:color="auto" w:fill="5591C7"/>
          </w:tcPr>
          <w:p>
            <w:pPr>
              <w:jc w:val="center"/>
              <w:ind w:right="260"/>
              <w:spacing w:after="0"/>
              <w:rPr>
                <w:sz w:val="20"/>
                <w:szCs w:val="20"/>
                <w:color w:val="auto"/>
              </w:rPr>
            </w:pPr>
            <w:r>
              <w:rPr>
                <w:rFonts w:ascii="Arial" w:cs="Arial" w:eastAsia="Arial" w:hAnsi="Arial"/>
                <w:sz w:val="14"/>
                <w:szCs w:val="14"/>
                <w:b w:val="1"/>
                <w:bCs w:val="1"/>
                <w:color w:val="auto"/>
              </w:rPr>
              <w:t>Restricted</w:t>
            </w:r>
          </w:p>
        </w:tc>
        <w:tc>
          <w:tcPr>
            <w:tcW w:w="1360" w:type="dxa"/>
            <w:vAlign w:val="bottom"/>
            <w:shd w:val="clear" w:color="auto" w:fill="5591C7"/>
          </w:tcPr>
          <w:p>
            <w:pPr>
              <w:spacing w:after="0"/>
              <w:rPr>
                <w:sz w:val="13"/>
                <w:szCs w:val="13"/>
                <w:color w:val="auto"/>
              </w:rPr>
            </w:pPr>
          </w:p>
        </w:tc>
      </w:tr>
      <w:tr>
        <w:trPr>
          <w:trHeight w:val="204"/>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5591C7"/>
          </w:tcPr>
          <w:p>
            <w:pPr>
              <w:ind w:left="1220"/>
              <w:spacing w:after="0" w:line="203" w:lineRule="exact"/>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20" w:type="dxa"/>
            <w:vAlign w:val="bottom"/>
            <w:shd w:val="clear" w:color="auto" w:fill="5591C7"/>
          </w:tcPr>
          <w:p>
            <w:pPr>
              <w:spacing w:after="0"/>
              <w:rPr>
                <w:sz w:val="17"/>
                <w:szCs w:val="17"/>
                <w:color w:val="auto"/>
              </w:rPr>
            </w:pPr>
          </w:p>
        </w:tc>
        <w:tc>
          <w:tcPr>
            <w:tcW w:w="1620" w:type="dxa"/>
            <w:vAlign w:val="bottom"/>
            <w:shd w:val="clear" w:color="auto" w:fill="5591C7"/>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360" w:type="dxa"/>
            <w:vAlign w:val="bottom"/>
            <w:tcBorders>
              <w:bottom w:val="single" w:sz="8" w:color="auto"/>
            </w:tcBorders>
            <w:shd w:val="clear" w:color="auto" w:fill="5591C7"/>
          </w:tcPr>
          <w:p>
            <w:pPr>
              <w:jc w:val="right"/>
              <w:ind w:right="4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220" w:type="dxa"/>
            <w:vAlign w:val="bottom"/>
            <w:shd w:val="clear" w:color="auto" w:fill="5591C7"/>
          </w:tcPr>
          <w:p>
            <w:pPr>
              <w:spacing w:after="0"/>
              <w:rPr>
                <w:sz w:val="17"/>
                <w:szCs w:val="17"/>
                <w:color w:val="auto"/>
              </w:rPr>
            </w:pPr>
          </w:p>
        </w:tc>
        <w:tc>
          <w:tcPr>
            <w:tcW w:w="1360" w:type="dxa"/>
            <w:vAlign w:val="bottom"/>
            <w:tcBorders>
              <w:bottom w:val="single" w:sz="8" w:color="auto"/>
            </w:tcBorders>
            <w:shd w:val="clear" w:color="auto" w:fill="5591C7"/>
          </w:tcPr>
          <w:p>
            <w:pPr>
              <w:jc w:val="center"/>
              <w:spacing w:after="0" w:line="203" w:lineRule="exact"/>
              <w:rPr>
                <w:sz w:val="20"/>
                <w:szCs w:val="20"/>
                <w:color w:val="auto"/>
              </w:rPr>
            </w:pPr>
            <w:r>
              <w:rPr>
                <w:rFonts w:ascii="Arial" w:cs="Arial" w:eastAsia="Arial" w:hAnsi="Arial"/>
                <w:sz w:val="14"/>
                <w:szCs w:val="14"/>
                <w:b w:val="1"/>
                <w:bCs w:val="1"/>
                <w:color w:val="auto"/>
                <w:w w:val="98"/>
              </w:rPr>
              <w:t>Stock Units</w:t>
            </w:r>
            <w:r>
              <w:rPr>
                <w:rFonts w:ascii="Arial" w:cs="Arial" w:eastAsia="Arial" w:hAnsi="Arial"/>
                <w:sz w:val="23"/>
                <w:szCs w:val="23"/>
                <w:b w:val="1"/>
                <w:bCs w:val="1"/>
                <w:color w:val="auto"/>
                <w:w w:val="98"/>
                <w:vertAlign w:val="superscript"/>
              </w:rPr>
              <w:t>(3)</w:t>
            </w:r>
          </w:p>
        </w:tc>
        <w:tc>
          <w:tcPr>
            <w:tcW w:w="220" w:type="dxa"/>
            <w:vAlign w:val="bottom"/>
            <w:shd w:val="clear" w:color="auto" w:fill="5591C7"/>
          </w:tcPr>
          <w:p>
            <w:pPr>
              <w:spacing w:after="0"/>
              <w:rPr>
                <w:sz w:val="17"/>
                <w:szCs w:val="17"/>
                <w:color w:val="auto"/>
              </w:rPr>
            </w:pPr>
          </w:p>
        </w:tc>
        <w:tc>
          <w:tcPr>
            <w:tcW w:w="1360" w:type="dxa"/>
            <w:vAlign w:val="bottom"/>
            <w:tcBorders>
              <w:bottom w:val="single" w:sz="8" w:color="auto"/>
            </w:tcBorders>
            <w:shd w:val="clear" w:color="auto" w:fill="5591C7"/>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5140" w:type="dxa"/>
            <w:vAlign w:val="bottom"/>
          </w:tcPr>
          <w:p>
            <w:pPr>
              <w:spacing w:after="0" w:line="236" w:lineRule="exact"/>
              <w:rPr>
                <w:sz w:val="20"/>
                <w:szCs w:val="20"/>
                <w:color w:val="auto"/>
              </w:rPr>
            </w:pPr>
            <w:r>
              <w:rPr>
                <w:rFonts w:ascii="Arial" w:cs="Arial" w:eastAsia="Arial" w:hAnsi="Arial"/>
                <w:sz w:val="17"/>
                <w:szCs w:val="17"/>
                <w:color w:val="auto"/>
              </w:rPr>
              <w:t>Wellington Management Group LLP</w:t>
            </w:r>
            <w:r>
              <w:rPr>
                <w:rFonts w:ascii="Arial" w:cs="Arial" w:eastAsia="Arial" w:hAnsi="Arial"/>
                <w:sz w:val="27"/>
                <w:szCs w:val="27"/>
                <w:color w:val="auto"/>
                <w:vertAlign w:val="superscript"/>
              </w:rPr>
              <w:t>(4)</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3,168,468</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3,168,468</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(5)</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3,092,116</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9.58</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3,092,116</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Vanguard Group, Inc.</w:t>
            </w:r>
            <w:r>
              <w:rPr>
                <w:rFonts w:ascii="Arial" w:cs="Arial" w:eastAsia="Arial" w:hAnsi="Arial"/>
                <w:sz w:val="28"/>
                <w:szCs w:val="28"/>
                <w:color w:val="auto"/>
                <w:vertAlign w:val="superscript"/>
              </w:rPr>
              <w:t>(6)</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2,406,845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2,406,845</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TimesSquare Capital Management, LLC</w:t>
            </w:r>
            <w:r>
              <w:rPr>
                <w:rFonts w:ascii="Arial" w:cs="Arial" w:eastAsia="Arial" w:hAnsi="Arial"/>
                <w:sz w:val="28"/>
                <w:szCs w:val="28"/>
                <w:color w:val="auto"/>
                <w:vertAlign w:val="superscript"/>
              </w:rPr>
              <w:t>(7)</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1,816,231</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5.63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1,816,231</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Rohit Kapoor</w:t>
            </w:r>
            <w:r>
              <w:rPr>
                <w:rFonts w:ascii="Arial" w:cs="Arial" w:eastAsia="Arial" w:hAnsi="Arial"/>
                <w:sz w:val="28"/>
                <w:szCs w:val="28"/>
                <w:color w:val="auto"/>
                <w:vertAlign w:val="superscript"/>
              </w:rPr>
              <w:t>(8)</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1,556,123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1,556,123</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Pavan Bagai</w:t>
            </w:r>
            <w:r>
              <w:rPr>
                <w:rFonts w:ascii="Arial" w:cs="Arial" w:eastAsia="Arial" w:hAnsi="Arial"/>
                <w:sz w:val="28"/>
                <w:szCs w:val="28"/>
                <w:color w:val="auto"/>
                <w:vertAlign w:val="superscript"/>
              </w:rPr>
              <w:t>(9)</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147,770</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147,770</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Vishal Chhibbar</w:t>
            </w:r>
            <w:r>
              <w:rPr>
                <w:rFonts w:ascii="Arial" w:cs="Arial" w:eastAsia="Arial" w:hAnsi="Arial"/>
                <w:sz w:val="28"/>
                <w:szCs w:val="28"/>
                <w:color w:val="auto"/>
                <w:vertAlign w:val="superscript"/>
              </w:rPr>
              <w:t>(10)</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73,915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73,915</w:t>
            </w:r>
          </w:p>
        </w:tc>
      </w:tr>
      <w:tr>
        <w:trPr>
          <w:trHeight w:val="203"/>
        </w:trPr>
        <w:tc>
          <w:tcPr>
            <w:tcW w:w="20" w:type="dxa"/>
            <w:vAlign w:val="bottom"/>
          </w:tcPr>
          <w:p>
            <w:pPr>
              <w:spacing w:after="0"/>
              <w:rPr>
                <w:sz w:val="17"/>
                <w:szCs w:val="17"/>
                <w:color w:val="auto"/>
              </w:rPr>
            </w:pPr>
          </w:p>
        </w:tc>
        <w:tc>
          <w:tcPr>
            <w:tcW w:w="5140" w:type="dxa"/>
            <w:vAlign w:val="bottom"/>
            <w:shd w:val="clear" w:color="auto" w:fill="B8CDE8"/>
          </w:tcPr>
          <w:p>
            <w:pPr>
              <w:spacing w:after="0" w:line="202" w:lineRule="exact"/>
              <w:rPr>
                <w:sz w:val="20"/>
                <w:szCs w:val="20"/>
                <w:color w:val="auto"/>
              </w:rPr>
            </w:pPr>
            <w:r>
              <w:rPr>
                <w:rFonts w:ascii="Arial" w:cs="Arial" w:eastAsia="Arial" w:hAnsi="Arial"/>
                <w:sz w:val="18"/>
                <w:szCs w:val="18"/>
                <w:color w:val="auto"/>
              </w:rPr>
              <w:t>Nalin Miglani</w:t>
            </w:r>
          </w:p>
        </w:tc>
        <w:tc>
          <w:tcPr>
            <w:tcW w:w="120" w:type="dxa"/>
            <w:vAlign w:val="bottom"/>
            <w:shd w:val="clear" w:color="auto" w:fill="B8CDE8"/>
          </w:tcPr>
          <w:p>
            <w:pPr>
              <w:spacing w:after="0"/>
              <w:rPr>
                <w:sz w:val="17"/>
                <w:szCs w:val="17"/>
                <w:color w:val="auto"/>
              </w:rPr>
            </w:pPr>
          </w:p>
        </w:tc>
        <w:tc>
          <w:tcPr>
            <w:tcW w:w="1620" w:type="dxa"/>
            <w:vAlign w:val="bottom"/>
            <w:shd w:val="clear" w:color="auto" w:fill="B8CDE8"/>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line="202"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Henry Schweppe</w:t>
            </w:r>
            <w:r>
              <w:rPr>
                <w:rFonts w:ascii="Arial" w:cs="Arial" w:eastAsia="Arial" w:hAnsi="Arial"/>
                <w:sz w:val="28"/>
                <w:szCs w:val="28"/>
                <w:color w:val="auto"/>
                <w:vertAlign w:val="superscript"/>
              </w:rPr>
              <w:t>(11)</w:t>
            </w:r>
          </w:p>
        </w:tc>
        <w:tc>
          <w:tcPr>
            <w:tcW w:w="120" w:type="dxa"/>
            <w:vAlign w:val="bottom"/>
          </w:tcPr>
          <w:p>
            <w:pPr>
              <w:spacing w:after="0"/>
              <w:rPr>
                <w:sz w:val="21"/>
                <w:szCs w:val="21"/>
                <w:color w:val="auto"/>
              </w:rPr>
            </w:pP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David B. Kelso</w:t>
            </w:r>
            <w:r>
              <w:rPr>
                <w:rFonts w:ascii="Arial" w:cs="Arial" w:eastAsia="Arial" w:hAnsi="Arial"/>
                <w:sz w:val="28"/>
                <w:szCs w:val="28"/>
                <w:color w:val="auto"/>
                <w:vertAlign w:val="superscript"/>
              </w:rPr>
              <w:t>(12)</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43,253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35,208</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78,461</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Deborah Kerr</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1,617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1,617</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Anne E. Minto</w:t>
            </w:r>
            <w:r>
              <w:rPr>
                <w:rFonts w:ascii="Arial" w:cs="Arial" w:eastAsia="Arial" w:hAnsi="Arial"/>
                <w:sz w:val="28"/>
                <w:szCs w:val="28"/>
                <w:color w:val="auto"/>
                <w:vertAlign w:val="superscript"/>
              </w:rPr>
              <w:t>(13)</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3,093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8,768</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11,861</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Som Mittal</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6,021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6,021</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Clyde W. Ostler</w:t>
            </w:r>
            <w:r>
              <w:rPr>
                <w:rFonts w:ascii="Arial" w:cs="Arial" w:eastAsia="Arial" w:hAnsi="Arial"/>
                <w:sz w:val="28"/>
                <w:szCs w:val="28"/>
                <w:color w:val="auto"/>
                <w:vertAlign w:val="superscript"/>
              </w:rPr>
              <w:t>(14)</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62,723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25,935</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88,658</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Nitin Sahney</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34,184</w:t>
            </w:r>
          </w:p>
        </w:tc>
      </w:tr>
      <w:tr>
        <w:trPr>
          <w:trHeight w:val="243"/>
        </w:trPr>
        <w:tc>
          <w:tcPr>
            <w:tcW w:w="20" w:type="dxa"/>
            <w:vAlign w:val="bottom"/>
          </w:tcPr>
          <w:p>
            <w:pPr>
              <w:spacing w:after="0"/>
              <w:rPr>
                <w:sz w:val="21"/>
                <w:szCs w:val="21"/>
                <w:color w:val="auto"/>
              </w:rPr>
            </w:pPr>
          </w:p>
        </w:tc>
        <w:tc>
          <w:tcPr>
            <w:tcW w:w="5140" w:type="dxa"/>
            <w:vAlign w:val="bottom"/>
            <w:shd w:val="clear" w:color="auto" w:fill="B8CCE4"/>
          </w:tcPr>
          <w:p>
            <w:pPr>
              <w:spacing w:after="0" w:line="243" w:lineRule="exact"/>
              <w:rPr>
                <w:sz w:val="20"/>
                <w:szCs w:val="20"/>
                <w:color w:val="auto"/>
              </w:rPr>
            </w:pPr>
            <w:r>
              <w:rPr>
                <w:rFonts w:ascii="Arial" w:cs="Arial" w:eastAsia="Arial" w:hAnsi="Arial"/>
                <w:sz w:val="17"/>
                <w:szCs w:val="17"/>
                <w:color w:val="auto"/>
              </w:rPr>
              <w:t>Garen K. Staglin</w:t>
            </w:r>
            <w:r>
              <w:rPr>
                <w:rFonts w:ascii="Arial" w:cs="Arial" w:eastAsia="Arial" w:hAnsi="Arial"/>
                <w:sz w:val="28"/>
                <w:szCs w:val="28"/>
                <w:color w:val="auto"/>
                <w:vertAlign w:val="superscript"/>
              </w:rPr>
              <w:t>(15)</w:t>
            </w:r>
          </w:p>
        </w:tc>
        <w:tc>
          <w:tcPr>
            <w:tcW w:w="1740" w:type="dxa"/>
            <w:vAlign w:val="bottom"/>
            <w:gridSpan w:val="2"/>
            <w:shd w:val="clear" w:color="auto" w:fill="B8CCE4"/>
          </w:tcPr>
          <w:p>
            <w:pPr>
              <w:jc w:val="right"/>
              <w:ind w:right="155"/>
              <w:spacing w:after="0"/>
              <w:rPr>
                <w:sz w:val="20"/>
                <w:szCs w:val="20"/>
                <w:color w:val="auto"/>
              </w:rPr>
            </w:pPr>
            <w:r>
              <w:rPr>
                <w:rFonts w:ascii="Arial" w:cs="Arial" w:eastAsia="Arial" w:hAnsi="Arial"/>
                <w:sz w:val="18"/>
                <w:szCs w:val="18"/>
                <w:color w:val="auto"/>
              </w:rPr>
              <w:t>52,723</w:t>
            </w:r>
          </w:p>
        </w:tc>
        <w:tc>
          <w:tcPr>
            <w:tcW w:w="1580" w:type="dxa"/>
            <w:vAlign w:val="bottom"/>
            <w:gridSpan w:val="2"/>
            <w:shd w:val="clear" w:color="auto" w:fill="B8CCE4"/>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CE4"/>
          </w:tcPr>
          <w:p>
            <w:pPr>
              <w:jc w:val="right"/>
              <w:ind w:right="220"/>
              <w:spacing w:after="0"/>
              <w:rPr>
                <w:sz w:val="20"/>
                <w:szCs w:val="20"/>
                <w:color w:val="auto"/>
              </w:rPr>
            </w:pPr>
            <w:r>
              <w:rPr>
                <w:rFonts w:ascii="Arial" w:cs="Arial" w:eastAsia="Arial" w:hAnsi="Arial"/>
                <w:sz w:val="18"/>
                <w:szCs w:val="18"/>
                <w:color w:val="auto"/>
              </w:rPr>
              <w:t>43,240</w:t>
            </w:r>
          </w:p>
        </w:tc>
        <w:tc>
          <w:tcPr>
            <w:tcW w:w="1360" w:type="dxa"/>
            <w:vAlign w:val="bottom"/>
            <w:shd w:val="clear" w:color="auto" w:fill="B8CCE4"/>
          </w:tcPr>
          <w:p>
            <w:pPr>
              <w:jc w:val="right"/>
              <w:spacing w:after="0"/>
              <w:rPr>
                <w:sz w:val="20"/>
                <w:szCs w:val="20"/>
                <w:color w:val="auto"/>
              </w:rPr>
            </w:pPr>
            <w:r>
              <w:rPr>
                <w:rFonts w:ascii="Arial" w:cs="Arial" w:eastAsia="Arial" w:hAnsi="Arial"/>
                <w:sz w:val="18"/>
                <w:szCs w:val="18"/>
                <w:color w:val="auto"/>
              </w:rPr>
              <w:t>95,693</w:t>
            </w:r>
          </w:p>
        </w:tc>
      </w:tr>
      <w:tr>
        <w:trPr>
          <w:trHeight w:val="184"/>
        </w:trPr>
        <w:tc>
          <w:tcPr>
            <w:tcW w:w="20" w:type="dxa"/>
            <w:vAlign w:val="bottom"/>
          </w:tcPr>
          <w:p>
            <w:pPr>
              <w:spacing w:after="0"/>
              <w:rPr>
                <w:sz w:val="15"/>
                <w:szCs w:val="15"/>
                <w:color w:val="auto"/>
              </w:rPr>
            </w:pPr>
          </w:p>
        </w:tc>
        <w:tc>
          <w:tcPr>
            <w:tcW w:w="5140" w:type="dxa"/>
            <w:vAlign w:val="bottom"/>
          </w:tcPr>
          <w:p>
            <w:pPr>
              <w:spacing w:after="0" w:line="184" w:lineRule="exact"/>
              <w:rPr>
                <w:sz w:val="20"/>
                <w:szCs w:val="20"/>
                <w:color w:val="auto"/>
              </w:rPr>
            </w:pPr>
            <w:r>
              <w:rPr>
                <w:rFonts w:ascii="Arial" w:cs="Arial" w:eastAsia="Arial" w:hAnsi="Arial"/>
                <w:sz w:val="18"/>
                <w:szCs w:val="18"/>
                <w:b w:val="1"/>
                <w:bCs w:val="1"/>
                <w:color w:val="auto"/>
              </w:rPr>
              <w:t>All current directors and current executive officers as a</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401"/>
        </w:trPr>
        <w:tc>
          <w:tcPr>
            <w:tcW w:w="20" w:type="dxa"/>
            <w:vAlign w:val="bottom"/>
          </w:tcPr>
          <w:p>
            <w:pPr>
              <w:spacing w:after="0"/>
              <w:rPr>
                <w:sz w:val="24"/>
                <w:szCs w:val="24"/>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group (14 persons)</w:t>
            </w:r>
            <w:r>
              <w:rPr>
                <w:rFonts w:ascii="Arial" w:cs="Arial" w:eastAsia="Arial" w:hAnsi="Arial"/>
                <w:sz w:val="30"/>
                <w:szCs w:val="30"/>
                <w:b w:val="1"/>
                <w:bCs w:val="1"/>
                <w:color w:val="auto"/>
                <w:vertAlign w:val="superscript"/>
              </w:rPr>
              <w:t>(16)</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2,045,822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154,973</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2,200,795</w:t>
            </w:r>
          </w:p>
        </w:tc>
      </w:tr>
    </w:tbl>
    <w:p>
      <w:pPr>
        <w:spacing w:after="0" w:line="68" w:lineRule="exact"/>
        <w:rPr>
          <w:sz w:val="20"/>
          <w:szCs w:val="20"/>
          <w:color w:val="auto"/>
        </w:rPr>
      </w:pPr>
    </w:p>
    <w:p>
      <w:pPr>
        <w:ind w:left="740" w:hanging="408"/>
        <w:spacing w:after="0"/>
        <w:tabs>
          <w:tab w:leader="none" w:pos="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740" w:hanging="408"/>
        <w:spacing w:after="0"/>
        <w:tabs>
          <w:tab w:leader="none" w:pos="7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33,531,971 shares outstanding as of March 31, 2016.</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77" w:name="page78"/>
    <w:bookmarkEnd w:id="77"/>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non-management directors, includes restricted stock units (previously granted for service on the Board) that have vested but are unsettled. Because vested restricted stock units generally settle 180 days following the director’s term of service (see “Director Compensation for Fiscal Year 2015” for additional details on settlement), the units are not treated as beneficially owned under SEC rules because the holder does not have the right to acquire the underlying stock within 60 days of March 31, 2016. Restricted stock units that are vested but unsettled count towards our stock ownership policy for non-employee directors, which requires directors to maintain stock ownership of at least five times their respective annual retainers.</w:t>
      </w:r>
    </w:p>
    <w:p>
      <w:pPr>
        <w:spacing w:after="0" w:line="1" w:lineRule="exact"/>
        <w:rPr>
          <w:rFonts w:ascii="Arial" w:cs="Arial" w:eastAsia="Arial" w:hAnsi="Arial"/>
          <w:sz w:val="14"/>
          <w:szCs w:val="14"/>
          <w:color w:val="auto"/>
        </w:rPr>
      </w:pPr>
    </w:p>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February 11, 2016, Wellington Management Group LLP had shared voting power with respect to 2,795,415 shares and shared dispositive power with respect to 3,168,468 shares. The business address of the combined filers is c/o Wellington Management Company, LLP, 280 Congress Street, Boston, Massachusetts 02210.</w:t>
      </w:r>
    </w:p>
    <w:p>
      <w:pPr>
        <w:spacing w:after="0" w:line="1"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January 26, 2016, BlackRock, Inc. had sole voting power with respect to 3,010,412 shares and sole dispositive power with respect to 3,092,116 shares. The business address of Blackrock, Inc. is 55 East 52nd Street, New York, New York 10022.</w:t>
      </w:r>
    </w:p>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 filed on February 10, 2016, Vanguard Group, Inc. had sole voting power with respect to 70,530 shares, shared voting power with respect to 2,900 shares, sole dispositive power with respect to 2,335,415 shares and shared dispositive power with respect to 71,430 shares. The business address of Vanguard Group, Inc. is 100 Vanguard Boulevard, Malvern, PA 19355.</w:t>
      </w:r>
    </w:p>
    <w:p>
      <w:pPr>
        <w:spacing w:after="0" w:line="1" w:lineRule="exact"/>
        <w:rPr>
          <w:rFonts w:ascii="Arial" w:cs="Arial" w:eastAsia="Arial" w:hAnsi="Arial"/>
          <w:sz w:val="14"/>
          <w:szCs w:val="14"/>
          <w:color w:val="auto"/>
        </w:rPr>
      </w:pPr>
    </w:p>
    <w:p>
      <w:pPr>
        <w:jc w:val="both"/>
        <w:ind w:left="408" w:right="20" w:hanging="408"/>
        <w:spacing w:after="0" w:line="210"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February 10, 2016, TimesSquare Capital Management, LLC had sole voting power with respect to 1,779,831 shares and sole dispositive power with respect to 1,816,231 shares. The business address of TimesSquare Capital Management, LLC is 7 Times Square, 42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 New York, New York 10036.</w:t>
      </w:r>
    </w:p>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Kapoor had sole voting and dispositive power with respect to 296,185 shares and shared voting and dispositive power with respect to 501,185 shares. The amount reported in the table above includes 177,134 shares of our common stock owned indirectly by Mr. Kapoor through a 2005 grantor-retained annuity trust for which Mr. Kapoor is the sole trustee and 40,219 shares of our common stock owned indirectly by Mr. Kapoor through a 2013 grantor retained annuity trust for which Mr. Kapoor is the sole trustee. The amount reported in the table above includes 84,000 shares of our common stock owned indirectly by Mr. Kapoor through a spousal lifetime access trust. Mr. Kapoor’s spouse and Mr. Kapoor’s sister-in-law are the co-trustees of this trust and share dispositive and voting control over the shares in the trust. The amount reported in the table above also includes 84,000 shares of our common stock owned indirectly by Mr. Kapoor through a spousal lifetime access trust for Mr. Kapoor’s spouse. Mr. Kapoor and Mr. Kapoor’s sister-in-law are the co-trustees of this trust and share dispositive and voting control over the shares in the trust. The amount reported in the table above also includes 333,185 shares of our common stock owned indirectly by Mr. Kapoor through a family trust. Barclays Wealth Trust (US), N.A. is the trustee of the family trust and Mr. Kapoor is the investment advisor to the trustee. The amount reported in the table above also includes 541,400 shares of our common stock of which Mr. Kapoor has the right to acquire beneficial ownership within 60 days pursuant to currently vested and exercisable stock opions.</w:t>
      </w:r>
    </w:p>
    <w:p>
      <w:pPr>
        <w:spacing w:after="0" w:line="3"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45,000 shares of our common stock of which Mr. Bagai has the right to acquire beneficial ownership within 60 days pursuant to currently vested and exercisable stock options.</w:t>
      </w: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65,809 shares of our common stock of which Mr. Chhibbar has the right to acquire beneficial ownership within 60 days pursuant to currently vested and exercisable stock options.</w:t>
      </w: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Schweppe is an NEO pursuant to SEC rules for purposes of the compensation disclosures in this proxy statement, and accordingly is required to be included in this table. Information in this table related to Mr. Schweppe is based on the Company’s records.</w:t>
      </w: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38,253 shares of our common stock of which Mr. Kelso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3,093 shares of our common stock of which Ms. Minto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32,723 shares of our common stock of which Mr. Staglin has the right to acquire beneficial ownership within 60 days pursuant to currently vested and exercisable stock options.</w:t>
      </w:r>
    </w:p>
    <w:p>
      <w:pPr>
        <w:ind w:left="408" w:right="20" w:hanging="408"/>
        <w:spacing w:after="0" w:line="258"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an aggregate of 884,401 shares of our common stock of which our current directors and current executive officers have the right to acquire beneficial ownership within 60 days pursuant to currently vested and exercisable stock options.</w:t>
      </w:r>
    </w:p>
    <w:p>
      <w:pPr>
        <w:spacing w:after="0" w:line="39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7" w:right="239" w:bottom="1440" w:gutter="0" w:footer="0" w:header="0"/>
        </w:sectPr>
      </w:pPr>
    </w:p>
    <w:bookmarkStart w:id="78" w:name="page79"/>
    <w:bookmarkEnd w:id="78"/>
    <w:p>
      <w:pPr>
        <w:ind w:right="2660" w:firstLine="2756"/>
        <w:spacing w:after="0" w:line="482"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59"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0"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The Audit Committee of the board of directors of ExlService Holdings, Inc. assists our board of directors in fulfilling its oversight responsibilities with respect to the following:</w:t>
      </w:r>
    </w:p>
    <w:p>
      <w:pPr>
        <w:spacing w:after="0" w:line="183" w:lineRule="exact"/>
        <w:rPr>
          <w:sz w:val="20"/>
          <w:szCs w:val="20"/>
          <w:color w:val="auto"/>
        </w:rPr>
      </w:pPr>
    </w:p>
    <w:p>
      <w:pPr>
        <w:ind w:left="1300" w:right="760" w:hanging="644"/>
        <w:spacing w:after="0" w:line="246"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21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2015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9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2015.</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 (Chairman)</w:t>
      </w:r>
    </w:p>
    <w:p>
      <w:pPr>
        <w:ind w:left="6860"/>
        <w:spacing w:after="0" w:line="234" w:lineRule="auto"/>
        <w:rPr>
          <w:sz w:val="20"/>
          <w:szCs w:val="20"/>
          <w:color w:val="auto"/>
        </w:rPr>
      </w:pPr>
      <w:r>
        <w:rPr>
          <w:rFonts w:ascii="Arial" w:cs="Arial" w:eastAsia="Arial" w:hAnsi="Arial"/>
          <w:sz w:val="18"/>
          <w:szCs w:val="18"/>
          <w:color w:val="auto"/>
        </w:rPr>
        <w:t>Mr. David B. Kelso</w:t>
      </w:r>
    </w:p>
    <w:p>
      <w:pPr>
        <w:ind w:left="6860"/>
        <w:spacing w:after="0" w:line="235" w:lineRule="auto"/>
        <w:rPr>
          <w:sz w:val="20"/>
          <w:szCs w:val="20"/>
          <w:color w:val="auto"/>
        </w:rPr>
      </w:pPr>
      <w:r>
        <w:rPr>
          <w:rFonts w:ascii="Arial" w:cs="Arial" w:eastAsia="Arial" w:hAnsi="Arial"/>
          <w:sz w:val="18"/>
          <w:szCs w:val="18"/>
          <w:color w:val="auto"/>
        </w:rPr>
        <w:t>Ms. Deborah Kerr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Nitin Sahney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PROPOSAL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Nominating and Governance Committee has nominated, and our board of directors has designated, Ms. Minto and Mr. Kapoor to stand for election as Class I directors at the Annual Meeting. Ms. Minto and Mr. Kapoor are standing for re-election.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22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Borders>
              <w:bottom w:val="single" w:sz="8" w:color="auto"/>
            </w:tcBorders>
            <w:shd w:val="clear" w:color="auto" w:fill="5591C7"/>
          </w:tcPr>
          <w:p>
            <w:pPr>
              <w:ind w:left="92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B8CDE8"/>
            </w:tcBorders>
            <w:shd w:val="clear" w:color="auto" w:fill="5591C7"/>
          </w:tcPr>
          <w:p>
            <w:pPr>
              <w:spacing w:after="0"/>
              <w:rPr>
                <w:sz w:val="16"/>
                <w:szCs w:val="16"/>
                <w:color w:val="auto"/>
              </w:rPr>
            </w:pPr>
          </w:p>
        </w:tc>
        <w:tc>
          <w:tcPr>
            <w:tcW w:w="560" w:type="dxa"/>
            <w:vAlign w:val="bottom"/>
            <w:tcBorders>
              <w:bottom w:val="single" w:sz="8" w:color="auto"/>
            </w:tcBorders>
            <w:shd w:val="clear" w:color="auto" w:fill="5591C7"/>
          </w:tcPr>
          <w:p>
            <w:pPr>
              <w:jc w:val="center"/>
              <w:ind w:left="16"/>
              <w:spacing w:after="0"/>
              <w:rPr>
                <w:sz w:val="20"/>
                <w:szCs w:val="20"/>
                <w:color w:val="auto"/>
              </w:rPr>
            </w:pPr>
            <w:r>
              <w:rPr>
                <w:rFonts w:ascii="Arial" w:cs="Arial" w:eastAsia="Arial" w:hAnsi="Arial"/>
                <w:sz w:val="14"/>
                <w:szCs w:val="14"/>
                <w:b w:val="1"/>
                <w:bCs w:val="1"/>
                <w:color w:val="auto"/>
                <w:w w:val="98"/>
              </w:rPr>
              <w:t>Age</w:t>
            </w:r>
          </w:p>
        </w:tc>
        <w:tc>
          <w:tcPr>
            <w:tcW w:w="180" w:type="dxa"/>
            <w:vAlign w:val="bottom"/>
            <w:tcBorders>
              <w:bottom w:val="single" w:sz="8" w:color="B8CDE8"/>
            </w:tcBorders>
            <w:shd w:val="clear" w:color="auto" w:fill="5591C7"/>
          </w:tcPr>
          <w:p>
            <w:pPr>
              <w:spacing w:after="0"/>
              <w:rPr>
                <w:sz w:val="16"/>
                <w:szCs w:val="16"/>
                <w:color w:val="auto"/>
              </w:rPr>
            </w:pPr>
          </w:p>
        </w:tc>
        <w:tc>
          <w:tcPr>
            <w:tcW w:w="2120" w:type="dxa"/>
            <w:vAlign w:val="bottom"/>
            <w:tcBorders>
              <w:bottom w:val="single" w:sz="8" w:color="auto"/>
            </w:tcBorders>
            <w:shd w:val="clear" w:color="auto" w:fill="5591C7"/>
          </w:tcPr>
          <w:p>
            <w:pPr>
              <w:ind w:left="580"/>
              <w:spacing w:after="0"/>
              <w:rPr>
                <w:sz w:val="20"/>
                <w:szCs w:val="20"/>
                <w:color w:val="auto"/>
              </w:rPr>
            </w:pPr>
            <w:r>
              <w:rPr>
                <w:rFonts w:ascii="Arial" w:cs="Arial" w:eastAsia="Arial" w:hAnsi="Arial"/>
                <w:sz w:val="14"/>
                <w:szCs w:val="14"/>
                <w:b w:val="1"/>
                <w:bCs w:val="1"/>
                <w:color w:val="auto"/>
              </w:rPr>
              <w:t>Director Since</w:t>
            </w:r>
          </w:p>
        </w:tc>
        <w:tc>
          <w:tcPr>
            <w:tcW w:w="180" w:type="dxa"/>
            <w:vAlign w:val="bottom"/>
            <w:tcBorders>
              <w:bottom w:val="single" w:sz="8" w:color="B8CDE8"/>
            </w:tcBorders>
            <w:shd w:val="clear" w:color="auto" w:fill="5591C7"/>
          </w:tcPr>
          <w:p>
            <w:pPr>
              <w:spacing w:after="0"/>
              <w:rPr>
                <w:sz w:val="16"/>
                <w:szCs w:val="16"/>
                <w:color w:val="auto"/>
              </w:rPr>
            </w:pPr>
          </w:p>
        </w:tc>
        <w:tc>
          <w:tcPr>
            <w:tcW w:w="1340" w:type="dxa"/>
            <w:vAlign w:val="bottom"/>
            <w:tcBorders>
              <w:bottom w:val="single" w:sz="8" w:color="auto"/>
            </w:tcBorders>
            <w:shd w:val="clear" w:color="auto" w:fill="5591C7"/>
          </w:tcPr>
          <w:p>
            <w:pPr>
              <w:jc w:val="center"/>
              <w:ind w:left="16"/>
              <w:spacing w:after="0"/>
              <w:rPr>
                <w:sz w:val="20"/>
                <w:szCs w:val="20"/>
                <w:color w:val="auto"/>
              </w:rPr>
            </w:pPr>
            <w:r>
              <w:rPr>
                <w:rFonts w:ascii="Arial" w:cs="Arial" w:eastAsia="Arial" w:hAnsi="Arial"/>
                <w:sz w:val="14"/>
                <w:szCs w:val="14"/>
                <w:b w:val="1"/>
                <w:bCs w:val="1"/>
                <w:color w:val="auto"/>
              </w:rPr>
              <w:t>Independent</w:t>
            </w:r>
          </w:p>
        </w:tc>
        <w:tc>
          <w:tcPr>
            <w:tcW w:w="180" w:type="dxa"/>
            <w:vAlign w:val="bottom"/>
            <w:tcBorders>
              <w:bottom w:val="single" w:sz="8" w:color="B8CDE8"/>
            </w:tcBorders>
            <w:shd w:val="clear" w:color="auto" w:fill="5591C7"/>
          </w:tcPr>
          <w:p>
            <w:pPr>
              <w:spacing w:after="0"/>
              <w:rPr>
                <w:sz w:val="16"/>
                <w:szCs w:val="16"/>
                <w:color w:val="auto"/>
              </w:rPr>
            </w:pPr>
          </w:p>
        </w:tc>
        <w:tc>
          <w:tcPr>
            <w:tcW w:w="4460" w:type="dxa"/>
            <w:vAlign w:val="bottom"/>
            <w:tcBorders>
              <w:bottom w:val="single" w:sz="8" w:color="auto"/>
            </w:tcBorders>
            <w:shd w:val="clear" w:color="auto" w:fill="5591C7"/>
          </w:tcPr>
          <w:p>
            <w:pPr>
              <w:ind w:left="1560"/>
              <w:spacing w:after="0"/>
              <w:rPr>
                <w:sz w:val="20"/>
                <w:szCs w:val="20"/>
                <w:color w:val="auto"/>
              </w:rPr>
            </w:pPr>
            <w:r>
              <w:rPr>
                <w:rFonts w:ascii="Arial" w:cs="Arial" w:eastAsia="Arial" w:hAnsi="Arial"/>
                <w:sz w:val="14"/>
                <w:szCs w:val="14"/>
                <w:b w:val="1"/>
                <w:bCs w:val="1"/>
                <w:color w:val="auto"/>
              </w:rPr>
              <w:t>Committee/Position</w:t>
            </w:r>
          </w:p>
        </w:tc>
      </w:tr>
      <w:tr>
        <w:trPr>
          <w:trHeight w:val="209"/>
        </w:trPr>
        <w:tc>
          <w:tcPr>
            <w:tcW w:w="2220" w:type="dxa"/>
            <w:vAlign w:val="bottom"/>
            <w:shd w:val="clear" w:color="auto" w:fill="B8CDE8"/>
          </w:tcPr>
          <w:p>
            <w:pPr>
              <w:ind w:left="80"/>
              <w:spacing w:after="0"/>
              <w:rPr>
                <w:sz w:val="20"/>
                <w:szCs w:val="20"/>
                <w:color w:val="auto"/>
              </w:rPr>
            </w:pPr>
            <w:r>
              <w:rPr>
                <w:rFonts w:ascii="Arial" w:cs="Arial" w:eastAsia="Arial" w:hAnsi="Arial"/>
                <w:sz w:val="18"/>
                <w:szCs w:val="18"/>
                <w:color w:val="auto"/>
              </w:rPr>
              <w:t>Anne Minto</w:t>
            </w:r>
          </w:p>
        </w:tc>
        <w:tc>
          <w:tcPr>
            <w:tcW w:w="180" w:type="dxa"/>
            <w:vAlign w:val="bottom"/>
            <w:shd w:val="clear" w:color="auto" w:fill="B8CDE8"/>
          </w:tcPr>
          <w:p>
            <w:pPr>
              <w:spacing w:after="0"/>
              <w:rPr>
                <w:sz w:val="18"/>
                <w:szCs w:val="18"/>
                <w:color w:val="auto"/>
              </w:rPr>
            </w:pPr>
          </w:p>
        </w:tc>
        <w:tc>
          <w:tcPr>
            <w:tcW w:w="560" w:type="dxa"/>
            <w:vAlign w:val="bottom"/>
            <w:shd w:val="clear" w:color="auto" w:fill="B8CDE8"/>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B8CDE8"/>
          </w:tcPr>
          <w:p>
            <w:pPr>
              <w:spacing w:after="0"/>
              <w:rPr>
                <w:sz w:val="18"/>
                <w:szCs w:val="18"/>
                <w:color w:val="auto"/>
              </w:rPr>
            </w:pPr>
          </w:p>
        </w:tc>
        <w:tc>
          <w:tcPr>
            <w:tcW w:w="2300" w:type="dxa"/>
            <w:vAlign w:val="bottom"/>
            <w:gridSpan w:val="2"/>
            <w:shd w:val="clear" w:color="auto" w:fill="B8CDE8"/>
          </w:tcPr>
          <w:p>
            <w:pPr>
              <w:ind w:left="100"/>
              <w:spacing w:after="0"/>
              <w:rPr>
                <w:sz w:val="20"/>
                <w:szCs w:val="20"/>
                <w:color w:val="auto"/>
              </w:rPr>
            </w:pPr>
            <w:r>
              <w:rPr>
                <w:rFonts w:ascii="Arial" w:cs="Arial" w:eastAsia="Arial" w:hAnsi="Arial"/>
                <w:sz w:val="18"/>
                <w:szCs w:val="18"/>
                <w:color w:val="auto"/>
              </w:rPr>
              <w:t>March 2013</w:t>
            </w:r>
          </w:p>
        </w:tc>
        <w:tc>
          <w:tcPr>
            <w:tcW w:w="1520" w:type="dxa"/>
            <w:vAlign w:val="bottom"/>
            <w:gridSpan w:val="2"/>
            <w:shd w:val="clear" w:color="auto" w:fill="B8CDE8"/>
          </w:tcPr>
          <w:p>
            <w:pPr>
              <w:jc w:val="center"/>
              <w:ind w:right="80"/>
              <w:spacing w:after="0"/>
              <w:rPr>
                <w:sz w:val="20"/>
                <w:szCs w:val="20"/>
                <w:color w:val="auto"/>
              </w:rPr>
            </w:pPr>
            <w:r>
              <w:rPr>
                <w:rFonts w:ascii="Arial" w:cs="Arial" w:eastAsia="Arial" w:hAnsi="Arial"/>
                <w:sz w:val="18"/>
                <w:szCs w:val="18"/>
                <w:color w:val="auto"/>
                <w:w w:val="90"/>
              </w:rPr>
              <w:t>Yes</w:t>
            </w:r>
          </w:p>
        </w:tc>
        <w:tc>
          <w:tcPr>
            <w:tcW w:w="4460" w:type="dxa"/>
            <w:vAlign w:val="bottom"/>
            <w:shd w:val="clear" w:color="auto" w:fill="B8CDE8"/>
          </w:tcPr>
          <w:p>
            <w:pPr>
              <w:ind w:left="100"/>
              <w:spacing w:after="0"/>
              <w:rPr>
                <w:sz w:val="20"/>
                <w:szCs w:val="20"/>
                <w:color w:val="auto"/>
              </w:rPr>
            </w:pPr>
            <w:r>
              <w:rPr>
                <w:rFonts w:ascii="Arial" w:cs="Arial" w:eastAsia="Arial" w:hAnsi="Arial"/>
                <w:sz w:val="18"/>
                <w:szCs w:val="18"/>
                <w:color w:val="auto"/>
              </w:rPr>
              <w:t>Compensation Committee Chairman</w:t>
            </w:r>
          </w:p>
        </w:tc>
      </w:tr>
      <w:tr>
        <w:trPr>
          <w:trHeight w:val="217"/>
        </w:trPr>
        <w:tc>
          <w:tcPr>
            <w:tcW w:w="222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56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212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134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4460" w:type="dxa"/>
            <w:vAlign w:val="bottom"/>
            <w:shd w:val="clear" w:color="auto" w:fill="B8CDE8"/>
          </w:tcPr>
          <w:p>
            <w:pPr>
              <w:ind w:left="100"/>
              <w:spacing w:after="0"/>
              <w:rPr>
                <w:sz w:val="20"/>
                <w:szCs w:val="20"/>
                <w:color w:val="auto"/>
              </w:rPr>
            </w:pPr>
            <w:r>
              <w:rPr>
                <w:rFonts w:ascii="Arial" w:cs="Arial" w:eastAsia="Arial" w:hAnsi="Arial"/>
                <w:sz w:val="18"/>
                <w:szCs w:val="18"/>
                <w:color w:val="auto"/>
              </w:rPr>
              <w:t>Nominating and Governance Committee Member</w:t>
            </w:r>
          </w:p>
        </w:tc>
      </w:tr>
      <w:tr>
        <w:trPr>
          <w:trHeight w:val="230"/>
        </w:trPr>
        <w:tc>
          <w:tcPr>
            <w:tcW w:w="2400" w:type="dxa"/>
            <w:vAlign w:val="bottom"/>
            <w:gridSpan w:val="2"/>
          </w:tcPr>
          <w:p>
            <w:pPr>
              <w:ind w:left="80"/>
              <w:spacing w:after="0"/>
              <w:rPr>
                <w:sz w:val="20"/>
                <w:szCs w:val="20"/>
                <w:color w:val="auto"/>
              </w:rPr>
            </w:pPr>
            <w:r>
              <w:rPr>
                <w:rFonts w:ascii="Arial" w:cs="Arial" w:eastAsia="Arial" w:hAnsi="Arial"/>
                <w:sz w:val="18"/>
                <w:szCs w:val="18"/>
                <w:color w:val="auto"/>
              </w:rPr>
              <w:t>Rohit Kapoor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80" w:type="dxa"/>
            <w:vAlign w:val="bottom"/>
          </w:tcPr>
          <w:p>
            <w:pPr>
              <w:spacing w:after="0"/>
              <w:rPr>
                <w:sz w:val="19"/>
                <w:szCs w:val="19"/>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November 2002</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rPr>
              <w:t>No</w:t>
            </w:r>
          </w:p>
        </w:tc>
        <w:tc>
          <w:tcPr>
            <w:tcW w:w="4460" w:type="dxa"/>
            <w:vAlign w:val="bottom"/>
          </w:tcPr>
          <w:p>
            <w:pPr>
              <w:ind w:left="100"/>
              <w:spacing w:after="0"/>
              <w:rPr>
                <w:sz w:val="20"/>
                <w:szCs w:val="20"/>
                <w:color w:val="auto"/>
              </w:rPr>
            </w:pPr>
            <w:r>
              <w:rPr>
                <w:rFonts w:ascii="Arial" w:cs="Arial" w:eastAsia="Arial" w:hAnsi="Arial"/>
                <w:sz w:val="18"/>
                <w:szCs w:val="18"/>
                <w:color w:val="auto"/>
              </w:rPr>
              <w:t>Vice Chairman and CEO</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The affirmative vote of the plurality of votes cast in person or represented by proxy and entitled to vote at the Annual Meeting will elect the three nominees as Class III directors for the specified three-year term. Unless marked to the contrary, proxies received will be voted “FOR” the nominees.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Our board of directors recommends a vote FOR the election of Ms. Minto and Mr. Kapoor as Class I directors of the Company.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PROPOSAL 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Audit Committee has selected Ernst &amp; Young LLP as the independent registered public accounting firm to audit the Company’s and its subsidiaries’ books, records and accounts for the fiscal year 2016.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2015 and 2014. Representatives of Ernst &amp; Young LLP are expected to be present at the Annual Meeting. They will have an opportunity to make a statement, if they desire to do so, and will be available to respond to appropriate questions.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fees billed to us by Ernst &amp; Young LLP for professional services rendered for fiscal years 2015 and</w:t>
      </w:r>
    </w:p>
    <w:p>
      <w:pPr>
        <w:spacing w:after="0"/>
        <w:rPr>
          <w:sz w:val="20"/>
          <w:szCs w:val="20"/>
          <w:color w:val="auto"/>
        </w:rPr>
      </w:pPr>
      <w:r>
        <w:rPr>
          <w:rFonts w:ascii="Arial" w:cs="Arial" w:eastAsia="Arial" w:hAnsi="Arial"/>
          <w:sz w:val="18"/>
          <w:szCs w:val="18"/>
          <w:color w:val="auto"/>
        </w:rPr>
        <w:t>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940" w:type="dxa"/>
            <w:vAlign w:val="bottom"/>
            <w:shd w:val="clear" w:color="auto" w:fill="5591C7"/>
          </w:tcPr>
          <w:p>
            <w:pPr>
              <w:jc w:val="right"/>
              <w:ind w:right="297"/>
              <w:spacing w:after="0"/>
              <w:rPr>
                <w:sz w:val="20"/>
                <w:szCs w:val="20"/>
                <w:color w:val="auto"/>
              </w:rPr>
            </w:pPr>
            <w:r>
              <w:rPr>
                <w:rFonts w:ascii="Arial" w:cs="Arial" w:eastAsia="Arial" w:hAnsi="Arial"/>
                <w:sz w:val="14"/>
                <w:szCs w:val="14"/>
                <w:b w:val="1"/>
                <w:bCs w:val="1"/>
                <w:color w:val="auto"/>
              </w:rPr>
              <w:t>Fiscal</w:t>
            </w:r>
          </w:p>
        </w:tc>
        <w:tc>
          <w:tcPr>
            <w:tcW w:w="18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940" w:type="dxa"/>
            <w:vAlign w:val="bottom"/>
            <w:shd w:val="clear" w:color="auto" w:fill="5591C7"/>
          </w:tcPr>
          <w:p>
            <w:pPr>
              <w:jc w:val="right"/>
              <w:ind w:right="315"/>
              <w:spacing w:after="0"/>
              <w:rPr>
                <w:sz w:val="20"/>
                <w:szCs w:val="20"/>
                <w:color w:val="auto"/>
              </w:rPr>
            </w:pPr>
            <w:r>
              <w:rPr>
                <w:rFonts w:ascii="Arial" w:cs="Arial" w:eastAsia="Arial" w:hAnsi="Arial"/>
                <w:sz w:val="14"/>
                <w:szCs w:val="14"/>
                <w:b w:val="1"/>
                <w:bCs w:val="1"/>
                <w:color w:val="auto"/>
              </w:rPr>
              <w:t>Fiscal</w:t>
            </w:r>
          </w:p>
        </w:tc>
      </w:tr>
      <w:tr>
        <w:trPr>
          <w:trHeight w:val="175"/>
        </w:trPr>
        <w:tc>
          <w:tcPr>
            <w:tcW w:w="8660" w:type="dxa"/>
            <w:vAlign w:val="bottom"/>
            <w:tcBorders>
              <w:bottom w:val="single" w:sz="8" w:color="auto"/>
            </w:tcBorders>
            <w:shd w:val="clear" w:color="auto" w:fill="5591C7"/>
          </w:tcPr>
          <w:p>
            <w:pPr>
              <w:ind w:left="3880"/>
              <w:spacing w:after="0"/>
              <w:rPr>
                <w:sz w:val="20"/>
                <w:szCs w:val="20"/>
                <w:color w:val="auto"/>
              </w:rPr>
            </w:pPr>
            <w:r>
              <w:rPr>
                <w:rFonts w:ascii="Arial" w:cs="Arial" w:eastAsia="Arial" w:hAnsi="Arial"/>
                <w:sz w:val="14"/>
                <w:szCs w:val="14"/>
                <w:b w:val="1"/>
                <w:bCs w:val="1"/>
                <w:color w:val="auto"/>
              </w:rPr>
              <w:t>Fee Category</w:t>
            </w:r>
          </w:p>
        </w:tc>
        <w:tc>
          <w:tcPr>
            <w:tcW w:w="220" w:type="dxa"/>
            <w:vAlign w:val="bottom"/>
            <w:tcBorders>
              <w:bottom w:val="single" w:sz="8" w:color="5591C7"/>
            </w:tcBorders>
            <w:shd w:val="clear" w:color="auto" w:fill="5591C7"/>
          </w:tcPr>
          <w:p>
            <w:pPr>
              <w:spacing w:after="0"/>
              <w:rPr>
                <w:sz w:val="15"/>
                <w:szCs w:val="15"/>
                <w:color w:val="auto"/>
              </w:rPr>
            </w:pPr>
          </w:p>
        </w:tc>
        <w:tc>
          <w:tcPr>
            <w:tcW w:w="240" w:type="dxa"/>
            <w:vAlign w:val="bottom"/>
            <w:tcBorders>
              <w:bottom w:val="single" w:sz="8" w:color="auto"/>
            </w:tcBorders>
            <w:shd w:val="clear" w:color="auto" w:fill="5591C7"/>
          </w:tcPr>
          <w:p>
            <w:pPr>
              <w:spacing w:after="0"/>
              <w:rPr>
                <w:sz w:val="15"/>
                <w:szCs w:val="15"/>
                <w:color w:val="auto"/>
              </w:rPr>
            </w:pPr>
          </w:p>
        </w:tc>
        <w:tc>
          <w:tcPr>
            <w:tcW w:w="940" w:type="dxa"/>
            <w:vAlign w:val="bottom"/>
            <w:tcBorders>
              <w:bottom w:val="single" w:sz="8" w:color="auto"/>
            </w:tcBorders>
            <w:shd w:val="clear" w:color="auto" w:fill="5591C7"/>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5591C7"/>
            </w:tcBorders>
            <w:shd w:val="clear" w:color="auto" w:fill="5591C7"/>
          </w:tcPr>
          <w:p>
            <w:pPr>
              <w:spacing w:after="0"/>
              <w:rPr>
                <w:sz w:val="15"/>
                <w:szCs w:val="15"/>
                <w:color w:val="auto"/>
              </w:rPr>
            </w:pPr>
          </w:p>
        </w:tc>
        <w:tc>
          <w:tcPr>
            <w:tcW w:w="240" w:type="dxa"/>
            <w:vAlign w:val="bottom"/>
            <w:tcBorders>
              <w:bottom w:val="single" w:sz="8" w:color="auto"/>
            </w:tcBorders>
            <w:shd w:val="clear" w:color="auto" w:fill="5591C7"/>
          </w:tcPr>
          <w:p>
            <w:pPr>
              <w:spacing w:after="0"/>
              <w:rPr>
                <w:sz w:val="15"/>
                <w:szCs w:val="15"/>
                <w:color w:val="auto"/>
              </w:rPr>
            </w:pPr>
          </w:p>
        </w:tc>
        <w:tc>
          <w:tcPr>
            <w:tcW w:w="940" w:type="dxa"/>
            <w:vAlign w:val="bottom"/>
            <w:tcBorders>
              <w:bottom w:val="single" w:sz="8" w:color="auto"/>
            </w:tcBorders>
            <w:shd w:val="clear" w:color="auto" w:fill="5591C7"/>
          </w:tcPr>
          <w:p>
            <w:pPr>
              <w:jc w:val="right"/>
              <w:ind w:right="355"/>
              <w:spacing w:after="0"/>
              <w:rPr>
                <w:sz w:val="20"/>
                <w:szCs w:val="20"/>
                <w:color w:val="auto"/>
              </w:rPr>
            </w:pPr>
            <w:r>
              <w:rPr>
                <w:rFonts w:ascii="Arial" w:cs="Arial" w:eastAsia="Arial" w:hAnsi="Arial"/>
                <w:sz w:val="14"/>
                <w:szCs w:val="14"/>
                <w:b w:val="1"/>
                <w:bCs w:val="1"/>
                <w:color w:val="auto"/>
              </w:rPr>
              <w:t>2014</w:t>
            </w:r>
          </w:p>
        </w:tc>
      </w:tr>
      <w:tr>
        <w:trPr>
          <w:trHeight w:val="183"/>
        </w:trPr>
        <w:tc>
          <w:tcPr>
            <w:tcW w:w="8660" w:type="dxa"/>
            <w:vAlign w:val="bottom"/>
            <w:shd w:val="clear" w:color="auto" w:fill="5591C7"/>
          </w:tcPr>
          <w:p>
            <w:pPr>
              <w:spacing w:after="0"/>
              <w:rPr>
                <w:sz w:val="15"/>
                <w:szCs w:val="15"/>
                <w:color w:val="auto"/>
              </w:rPr>
            </w:pPr>
          </w:p>
        </w:tc>
        <w:tc>
          <w:tcPr>
            <w:tcW w:w="220" w:type="dxa"/>
            <w:vAlign w:val="bottom"/>
            <w:shd w:val="clear" w:color="auto" w:fill="5591C7"/>
          </w:tcPr>
          <w:p>
            <w:pPr>
              <w:spacing w:after="0"/>
              <w:rPr>
                <w:sz w:val="15"/>
                <w:szCs w:val="15"/>
                <w:color w:val="auto"/>
              </w:rPr>
            </w:pPr>
          </w:p>
        </w:tc>
        <w:tc>
          <w:tcPr>
            <w:tcW w:w="240" w:type="dxa"/>
            <w:vAlign w:val="bottom"/>
            <w:shd w:val="clear" w:color="auto" w:fill="5591C7"/>
          </w:tcPr>
          <w:p>
            <w:pPr>
              <w:spacing w:after="0"/>
              <w:rPr>
                <w:sz w:val="15"/>
                <w:szCs w:val="15"/>
                <w:color w:val="auto"/>
              </w:rPr>
            </w:pPr>
          </w:p>
        </w:tc>
        <w:tc>
          <w:tcPr>
            <w:tcW w:w="2300" w:type="dxa"/>
            <w:vAlign w:val="bottom"/>
            <w:gridSpan w:val="4"/>
            <w:shd w:val="clear" w:color="auto" w:fill="5591C7"/>
          </w:tcPr>
          <w:p>
            <w:pPr>
              <w:jc w:val="right"/>
              <w:ind w:right="635"/>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Audit Fees</w:t>
            </w:r>
          </w:p>
        </w:tc>
        <w:tc>
          <w:tcPr>
            <w:tcW w:w="46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1,453</w:t>
            </w:r>
          </w:p>
        </w:tc>
        <w:tc>
          <w:tcPr>
            <w:tcW w:w="42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1,302</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B8CDE8"/>
          </w:tcPr>
          <w:p>
            <w:pPr>
              <w:spacing w:after="0"/>
              <w:rPr>
                <w:sz w:val="19"/>
                <w:szCs w:val="19"/>
                <w:color w:val="auto"/>
              </w:rPr>
            </w:pPr>
          </w:p>
        </w:tc>
        <w:tc>
          <w:tcPr>
            <w:tcW w:w="240" w:type="dxa"/>
            <w:vAlign w:val="bottom"/>
            <w:shd w:val="clear" w:color="auto" w:fill="B8CDE8"/>
          </w:tcPr>
          <w:p>
            <w:pPr>
              <w:spacing w:after="0"/>
              <w:rPr>
                <w:sz w:val="19"/>
                <w:szCs w:val="19"/>
                <w:color w:val="auto"/>
              </w:rPr>
            </w:pP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B8CDE8"/>
          </w:tcPr>
          <w:p>
            <w:pPr>
              <w:spacing w:after="0"/>
              <w:rPr>
                <w:sz w:val="19"/>
                <w:szCs w:val="19"/>
                <w:color w:val="auto"/>
              </w:rPr>
            </w:pPr>
          </w:p>
        </w:tc>
        <w:tc>
          <w:tcPr>
            <w:tcW w:w="240" w:type="dxa"/>
            <w:vAlign w:val="bottom"/>
            <w:shd w:val="clear" w:color="auto" w:fill="B8CDE8"/>
          </w:tcPr>
          <w:p>
            <w:pPr>
              <w:spacing w:after="0"/>
              <w:rPr>
                <w:sz w:val="19"/>
                <w:szCs w:val="19"/>
                <w:color w:val="auto"/>
              </w:rPr>
            </w:pP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660" w:type="dxa"/>
            <w:vAlign w:val="bottom"/>
            <w:tcBorders>
              <w:bottom w:val="single" w:sz="8" w:color="B8CDE8"/>
            </w:tcBorders>
          </w:tcPr>
          <w:p>
            <w:pPr>
              <w:spacing w:after="0"/>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B8CD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B8CD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Total Fees</w:t>
            </w:r>
          </w:p>
        </w:tc>
        <w:tc>
          <w:tcPr>
            <w:tcW w:w="46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1,708</w:t>
            </w:r>
          </w:p>
        </w:tc>
        <w:tc>
          <w:tcPr>
            <w:tcW w:w="42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1,526</w:t>
            </w:r>
          </w:p>
        </w:tc>
      </w:tr>
    </w:tbl>
    <w:p>
      <w:pPr>
        <w:spacing w:after="0" w:line="184"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for professional services rendered for the audit of our consolidated financial statements, including (i)</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effectiveness of internal control over financial reporting, (ii) review of our consolidated financial statements included in our quarterly reports or (iii) services that are normally provided by our registered independent public accountants in connection with statutory or regulatory filings or engagements for those fiscal years.</w:t>
      </w:r>
    </w:p>
    <w:p>
      <w:pPr>
        <w:spacing w:after="0" w:line="168" w:lineRule="exact"/>
        <w:rPr>
          <w:sz w:val="20"/>
          <w:szCs w:val="20"/>
          <w:color w:val="auto"/>
        </w:rPr>
      </w:pPr>
    </w:p>
    <w:p>
      <w:pPr>
        <w:jc w:val="both"/>
        <w:ind w:right="400" w:firstLine="648"/>
        <w:spacing w:after="0" w:line="251"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consolidated financial statements and are not reported under “Audit Fees.” These services include SSAE 16 service organization audits, and Federal Reserve and tax certification for Indian legal entities.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other tax filing or advisory projects.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21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2" w:name="page83"/>
    <w:bookmarkEnd w:id="82"/>
    <w:p>
      <w:pPr>
        <w:jc w:val="both"/>
        <w:ind w:right="100"/>
        <w:spacing w:after="0" w:line="261" w:lineRule="auto"/>
        <w:rPr>
          <w:sz w:val="20"/>
          <w:szCs w:val="20"/>
          <w:color w:val="auto"/>
        </w:rPr>
      </w:pPr>
      <w:r>
        <w:rPr>
          <w:rFonts w:ascii="Arial" w:cs="Arial" w:eastAsia="Arial" w:hAnsi="Arial"/>
          <w:sz w:val="17"/>
          <w:szCs w:val="17"/>
          <w:color w:val="auto"/>
        </w:rPr>
        <w:t>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fees paid to Ernst &amp; Young LLP in 2015 and 2014 were pre-approved by the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6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b w:val="1"/>
          <w:bCs w:val="1"/>
          <w:color w:val="auto"/>
        </w:rPr>
        <w:t>Our board of directors recommends a vote FOR the ratification of Ernst &amp; Young LLP as our independent registered public accounting firm</w:t>
      </w:r>
      <w:r>
        <w:rPr>
          <w:rFonts w:ascii="Arial" w:cs="Arial" w:eastAsia="Arial" w:hAnsi="Arial"/>
          <w:sz w:val="18"/>
          <w:szCs w:val="18"/>
          <w:color w:val="auto"/>
        </w:rPr>
        <w:t>.</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(NON-BINDING) VOTE ON EXECUTIVE COMPENSATION</w:t>
      </w:r>
    </w:p>
    <w:p>
      <w:pPr>
        <w:spacing w:after="0" w:line="198"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Proposal 3 is an advisory (non-binding) vote on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At the 2011 Annual Meeting of Stockholders, our stockholders voted on a proposal relating to the frequency of the “say-on-pay” vote. We recommended, and our stockholders approved on an advisory, non-binding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also be held at next year’s Annual Meeting of Stockholders.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9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176" w:lineRule="exact"/>
        <w:rPr>
          <w:sz w:val="20"/>
          <w:szCs w:val="20"/>
          <w:color w:val="auto"/>
        </w:rPr>
      </w:pPr>
    </w:p>
    <w:p>
      <w:pPr>
        <w:ind w:left="660" w:right="540"/>
        <w:spacing w:after="0" w:line="275" w:lineRule="auto"/>
        <w:rPr>
          <w:sz w:val="20"/>
          <w:szCs w:val="20"/>
          <w:color w:val="auto"/>
        </w:rPr>
      </w:pPr>
      <w:r>
        <w:rPr>
          <w:rFonts w:ascii="Arial" w:cs="Arial" w:eastAsia="Arial" w:hAnsi="Arial"/>
          <w:sz w:val="17"/>
          <w:szCs w:val="17"/>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60"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above-referenced disclosures related to the compensation of our named executive officers appear beginning at page 23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67" w:lineRule="exact"/>
        <w:rPr>
          <w:sz w:val="20"/>
          <w:szCs w:val="20"/>
          <w:color w:val="auto"/>
        </w:rPr>
      </w:pPr>
    </w:p>
    <w:p>
      <w:pPr>
        <w:jc w:val="both"/>
        <w:ind w:right="620" w:firstLine="648"/>
        <w:spacing w:after="0" w:line="253"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59"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2017 ANNUAL MEETING</w:t>
      </w:r>
    </w:p>
    <w:p>
      <w:pPr>
        <w:spacing w:after="0" w:line="220"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Stockholder proposals intended to be included in our proxy materials for the 2017 Annual Meeting of Stockholders (“2017 Annual Meeting”) must be received by the deadline calculated in accordance with SEC Rule 14a-8, which is 120 days before the anniversary of the date of this year’s proxy statement. This year’s deadline is Friday, December 30, 2016. Such proposals must include the information required by SEC rules, and should be sent in writing by courier or certified mail to the Corporate Secretary of the Company at 280 Park Avenue, 38th Floor, New York, New York 10017. Stockholder proposals that are sent to any other person or location or by any other means may not be received in a timely manner and thus ineligible for inclusion.</w:t>
      </w:r>
    </w:p>
    <w:p>
      <w:pPr>
        <w:spacing w:after="0" w:line="19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Stockholders who intend to submit proposals at the 2017 Annual Meeting but whose proposals are not included in the proxy materials for the meeting, and stockholders who intend to submit nominations for directors at the 2017 Annual Meeting, are required to notify the Corporate Secretary of the Company (at the address above) of their proposal or nominations not less than 90 days, nor more than 120 days, before the anniversary of this year’s Annual Meeting of Stockholders, in accordance with our by-laws. This year such notice must be delivered between February 17, 2017 and March 19, 2017. Special notice provisions apply under the by-laws if the date of the 2017 Annual Meeting is more than 30 days before or 70 days after the anniversary date of this year’s Annual Meeting of Stockholders.</w:t>
      </w:r>
    </w:p>
    <w:p>
      <w:pPr>
        <w:spacing w:after="0" w:line="19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Any notice of proposed business or nomination, whether or not included in our proxy statement, must include the information required under our by-laws, including Section 2.11.4, in order for the matter to be eligible for consideration at the 2017 Annual Meeting. The presiding officer of the 2017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16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MISCELLANEOUS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your broker, bank, trust or other nominee may only deliver one copy of this proxy statement and our 2015 Annual Report to multiple stockholders who share an address unless that nominee has received contrary instructions from one or more of the stockholders. We will deliver promptly, upon written or oral request, a separate copy of this proxy statement and our 2015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22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This proxy statement and our 2015 Annual Report on Form 10-K may be viewed on our website at </w:t>
      </w:r>
      <w:r>
        <w:rPr>
          <w:rFonts w:ascii="Arial" w:cs="Arial" w:eastAsia="Arial" w:hAnsi="Arial"/>
          <w:sz w:val="18"/>
          <w:szCs w:val="18"/>
          <w:u w:val="single" w:color="auto"/>
          <w:color w:val="auto"/>
        </w:rPr>
        <w:t>www.exlservice.com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19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ind w:left="8000"/>
        <w:spacing w:after="0" w:line="235" w:lineRule="auto"/>
        <w:rPr>
          <w:sz w:val="20"/>
          <w:szCs w:val="20"/>
          <w:color w:val="auto"/>
        </w:rPr>
      </w:pPr>
      <w:r>
        <w:rPr>
          <w:rFonts w:ascii="Arial" w:cs="Arial" w:eastAsia="Arial" w:hAnsi="Arial"/>
          <w:sz w:val="18"/>
          <w:szCs w:val="18"/>
          <w:color w:val="auto"/>
        </w:rPr>
        <w:t>General Counsel and</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29, 2016</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We will furnish without charge to each person whose proxy is being solicited, upon the written request of any such person, a copy of the Company’s Annual Report on Form 10-K for the fiscal year ended December 31, 2015, as filed with the SEC, as well as copies of exhibits to the Annual Report on Form 10-K, but for copies of exhibits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April 21, 2016, the stockholder was entitled to vote at the Annual Meeting.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6" w:name="page87"/>
    <w:bookmarkEnd w:id="86"/>
    <w:p>
      <w:pPr>
        <w:spacing w:after="0" w:line="200" w:lineRule="exact"/>
        <w:rPr>
          <w:sz w:val="20"/>
          <w:szCs w:val="20"/>
          <w:color w:val="auto"/>
        </w:rPr>
      </w:pPr>
    </w:p>
    <w:p>
      <w:pPr>
        <w:spacing w:after="0" w:line="209" w:lineRule="exact"/>
        <w:rPr>
          <w:sz w:val="20"/>
          <w:szCs w:val="20"/>
          <w:color w:val="auto"/>
        </w:rPr>
      </w:pPr>
    </w:p>
    <w:p>
      <w:pPr>
        <w:ind w:left="480" w:right="1300"/>
        <w:spacing w:after="0" w:line="247" w:lineRule="auto"/>
        <w:rPr>
          <w:sz w:val="20"/>
          <w:szCs w:val="20"/>
          <w:color w:val="auto"/>
        </w:rPr>
      </w:pPr>
      <w:r>
        <w:rPr>
          <w:rFonts w:ascii="Arial" w:cs="Arial" w:eastAsia="Arial" w:hAnsi="Arial"/>
          <w:sz w:val="18"/>
          <w:szCs w:val="18"/>
          <w:b w:val="1"/>
          <w:bCs w:val="1"/>
          <w:i w:val="1"/>
          <w:iCs w:val="1"/>
          <w:color w:val="auto"/>
        </w:rPr>
        <w:t>EXLSERVICE HOLDINGS, INC. 280 PARK AVENUE, 38TH FLOOR NEW YORK, NY 10017 ATTN: ACCOUNTS PAYABLE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9" w:lineRule="exact"/>
        <w:rPr>
          <w:sz w:val="20"/>
          <w:szCs w:val="20"/>
          <w:color w:val="auto"/>
        </w:rPr>
      </w:pPr>
    </w:p>
    <w:p>
      <w:pPr>
        <w:jc w:val="both"/>
        <w:ind w:right="600"/>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June 16, 2016. Have your proxy card in hand when you access the web site and follow the instructions to obtain your records and to create an electronic voting instruction form.</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600"/>
        <w:spacing w:after="0" w:line="250" w:lineRule="auto"/>
        <w:rPr>
          <w:sz w:val="20"/>
          <w:szCs w:val="20"/>
          <w:color w:val="auto"/>
        </w:rPr>
      </w:pPr>
      <w:r>
        <w:rPr>
          <w:rFonts w:ascii="Arial" w:cs="Arial" w:eastAsia="Arial" w:hAnsi="Arial"/>
          <w:sz w:val="14"/>
          <w:szCs w:val="14"/>
          <w:color w:val="auto"/>
        </w:rPr>
        <w:t>Use any touch-tone telephone to transmit your voting instructions up until 11:59 P.M. Eastern Time on June 16, 2016. Have your proxy card in hand when you call and then follow the instructions.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ind w:right="620"/>
        <w:spacing w:after="0" w:line="25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20" w:space="720"/>
            <w:col w:w="6120"/>
          </w:cols>
          <w:pgMar w:left="220" w:top="69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4"/>
          </w:tcPr>
          <w:p>
            <w:pPr>
              <w:ind w:left="20"/>
              <w:spacing w:after="0"/>
              <w:rPr>
                <w:sz w:val="20"/>
                <w:szCs w:val="20"/>
                <w:color w:val="auto"/>
              </w:rPr>
            </w:pPr>
            <w:r>
              <w:rPr>
                <w:rFonts w:ascii="Arial" w:cs="Arial" w:eastAsia="Arial" w:hAnsi="Arial"/>
                <w:sz w:val="14"/>
                <w:szCs w:val="14"/>
                <w:color w:val="auto"/>
              </w:rPr>
              <w:t>TO VOTE, MARK BLOCKS BELOW IN BLUE OR BLACK INK AS FOLLOWS:</w:t>
            </w:r>
          </w:p>
        </w:tc>
        <w:tc>
          <w:tcPr>
            <w:tcW w:w="80" w:type="dxa"/>
            <w:vAlign w:val="bottom"/>
          </w:tcPr>
          <w:p>
            <w:pPr>
              <w:spacing w:after="0"/>
              <w:rPr>
                <w:sz w:val="14"/>
                <w:szCs w:val="14"/>
                <w:color w:val="auto"/>
              </w:rPr>
            </w:pPr>
          </w:p>
        </w:tc>
        <w:tc>
          <w:tcPr>
            <w:tcW w:w="2680" w:type="dxa"/>
            <w:vAlign w:val="bottom"/>
            <w:vMerge w:val="restart"/>
          </w:tcPr>
          <w:p>
            <w:pPr>
              <w:ind w:left="1180"/>
              <w:spacing w:after="0"/>
              <w:rPr>
                <w:sz w:val="20"/>
                <w:szCs w:val="20"/>
                <w:color w:val="auto"/>
              </w:rPr>
            </w:pPr>
            <w:r>
              <w:rPr>
                <w:rFonts w:ascii="Arial" w:cs="Arial" w:eastAsia="Arial" w:hAnsi="Arial"/>
                <w:sz w:val="14"/>
                <w:szCs w:val="14"/>
                <w:color w:val="auto"/>
              </w:rPr>
              <w:t>E09380-P74132</w:t>
            </w:r>
          </w:p>
        </w:tc>
        <w:tc>
          <w:tcPr>
            <w:tcW w:w="326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3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46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60" w:type="dxa"/>
            <w:vAlign w:val="bottom"/>
            <w:gridSpan w:val="4"/>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4680" w:type="dxa"/>
            <w:vAlign w:val="bottom"/>
            <w:gridSpan w:val="5"/>
            <w:vMerge w:val="continue"/>
          </w:tcPr>
          <w:p>
            <w:pPr>
              <w:spacing w:after="0"/>
              <w:rPr>
                <w:sz w:val="7"/>
                <w:szCs w:val="7"/>
                <w:color w:val="auto"/>
              </w:rPr>
            </w:pPr>
          </w:p>
        </w:tc>
        <w:tc>
          <w:tcPr>
            <w:tcW w:w="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6020" w:type="dxa"/>
            <w:vAlign w:val="bottom"/>
            <w:tcBorders>
              <w:bottom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EXLSERVICE HOLDINGS, INC.</w:t>
            </w:r>
          </w:p>
        </w:tc>
        <w:tc>
          <w:tcPr>
            <w:tcW w:w="6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For</w:t>
            </w: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Withhold For All</w:t>
            </w:r>
          </w:p>
        </w:tc>
        <w:tc>
          <w:tcPr>
            <w:tcW w:w="602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To withhold authority to vote for any individual</w:t>
            </w:r>
          </w:p>
        </w:tc>
        <w:tc>
          <w:tcPr>
            <w:tcW w:w="0" w:type="dxa"/>
            <w:vAlign w:val="bottom"/>
          </w:tcPr>
          <w:p>
            <w:pPr>
              <w:spacing w:after="0"/>
              <w:rPr>
                <w:sz w:val="1"/>
                <w:szCs w:val="1"/>
                <w:color w:val="auto"/>
              </w:rPr>
            </w:pPr>
          </w:p>
        </w:tc>
      </w:tr>
      <w:tr>
        <w:trPr>
          <w:trHeight w:val="182"/>
        </w:trPr>
        <w:tc>
          <w:tcPr>
            <w:tcW w:w="35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The Board of Directors recommends you vote</w:t>
            </w:r>
          </w:p>
        </w:tc>
        <w:tc>
          <w:tcPr>
            <w:tcW w:w="620" w:type="dxa"/>
            <w:vAlign w:val="bottom"/>
          </w:tcPr>
          <w:p>
            <w:pPr>
              <w:jc w:val="center"/>
              <w:ind w:left="168"/>
              <w:spacing w:after="0" w:line="129" w:lineRule="exact"/>
              <w:rPr>
                <w:sz w:val="20"/>
                <w:szCs w:val="20"/>
                <w:color w:val="auto"/>
              </w:rPr>
            </w:pPr>
            <w:r>
              <w:rPr>
                <w:rFonts w:ascii="Arial" w:cs="Arial" w:eastAsia="Arial" w:hAnsi="Arial"/>
                <w:sz w:val="14"/>
                <w:szCs w:val="14"/>
                <w:b w:val="1"/>
                <w:bCs w:val="1"/>
                <w:color w:val="auto"/>
              </w:rPr>
              <w:t>All</w:t>
            </w:r>
          </w:p>
        </w:tc>
        <w:tc>
          <w:tcPr>
            <w:tcW w:w="62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Except</w:t>
            </w:r>
          </w:p>
        </w:tc>
        <w:tc>
          <w:tcPr>
            <w:tcW w:w="6020" w:type="dxa"/>
            <w:vAlign w:val="bottom"/>
            <w:gridSpan w:val="6"/>
          </w:tcPr>
          <w:p>
            <w:pPr>
              <w:ind w:left="80"/>
              <w:spacing w:after="0" w:line="129" w:lineRule="exact"/>
              <w:rPr>
                <w:sz w:val="20"/>
                <w:szCs w:val="20"/>
                <w:color w:val="auto"/>
              </w:rPr>
            </w:pPr>
            <w:r>
              <w:rPr>
                <w:rFonts w:ascii="Arial" w:cs="Arial" w:eastAsia="Arial" w:hAnsi="Arial"/>
                <w:sz w:val="14"/>
                <w:szCs w:val="14"/>
                <w:color w:val="auto"/>
              </w:rPr>
              <w:t>nominee(s), mark “For All Except” and write the</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100" w:type="dxa"/>
            <w:vAlign w:val="bottom"/>
            <w:gridSpan w:val="4"/>
          </w:tcPr>
          <w:p>
            <w:pPr>
              <w:ind w:left="80"/>
              <w:spacing w:after="0" w:line="122" w:lineRule="exact"/>
              <w:rPr>
                <w:sz w:val="20"/>
                <w:szCs w:val="20"/>
                <w:color w:val="auto"/>
              </w:rPr>
            </w:pPr>
            <w:r>
              <w:rPr>
                <w:rFonts w:ascii="Arial" w:cs="Arial" w:eastAsia="Arial" w:hAnsi="Arial"/>
                <w:sz w:val="14"/>
                <w:szCs w:val="14"/>
                <w:color w:val="auto"/>
              </w:rPr>
              <w:t>number(s) of the nominee(s) on the line below.</w:t>
            </w:r>
          </w:p>
        </w:tc>
        <w:tc>
          <w:tcPr>
            <w:tcW w:w="580" w:type="dxa"/>
            <w:vAlign w:val="bottom"/>
            <w:tcBorders>
              <w:top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520" w:type="dxa"/>
            <w:vAlign w:val="bottom"/>
          </w:tcPr>
          <w:p>
            <w:pPr>
              <w:ind w:left="260"/>
              <w:spacing w:after="0"/>
              <w:rPr>
                <w:sz w:val="20"/>
                <w:szCs w:val="20"/>
                <w:color w:val="auto"/>
              </w:rPr>
            </w:pPr>
            <w:r>
              <w:rPr>
                <w:rFonts w:ascii="Arial" w:cs="Arial" w:eastAsia="Arial" w:hAnsi="Arial"/>
                <w:sz w:val="14"/>
                <w:szCs w:val="14"/>
                <w:b w:val="1"/>
                <w:bCs w:val="1"/>
                <w:color w:val="auto"/>
              </w:rPr>
              <w:t>FOR the following:</w:t>
            </w:r>
          </w:p>
        </w:tc>
        <w:tc>
          <w:tcPr>
            <w:tcW w:w="620" w:type="dxa"/>
            <w:vAlign w:val="bottom"/>
            <w:vMerge w:val="restart"/>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20" w:type="dxa"/>
            <w:vAlign w:val="bottom"/>
            <w:vMerge w:val="restart"/>
          </w:tcPr>
          <w:p>
            <w:pPr>
              <w:ind w:left="300"/>
              <w:spacing w:after="0"/>
              <w:rPr>
                <w:sz w:val="20"/>
                <w:szCs w:val="20"/>
                <w:color w:val="auto"/>
              </w:rPr>
            </w:pPr>
            <w:r>
              <w:rPr>
                <w:rFonts w:ascii="Arial" w:cs="Arial" w:eastAsia="Arial" w:hAnsi="Arial"/>
                <w:sz w:val="14"/>
                <w:szCs w:val="14"/>
                <w:color w:val="auto"/>
              </w:rPr>
              <w:t>1.Election of Directors</w:t>
            </w: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3520" w:type="dxa"/>
            <w:vAlign w:val="bottom"/>
          </w:tcPr>
          <w:p>
            <w:pPr>
              <w:ind w:left="700"/>
              <w:spacing w:after="0"/>
              <w:rPr>
                <w:sz w:val="20"/>
                <w:szCs w:val="20"/>
                <w:color w:val="auto"/>
              </w:rPr>
            </w:pPr>
            <w:r>
              <w:rPr>
                <w:rFonts w:ascii="Arial" w:cs="Arial" w:eastAsia="Arial" w:hAnsi="Arial"/>
                <w:sz w:val="14"/>
                <w:szCs w:val="14"/>
                <w:b w:val="1"/>
                <w:bCs w:val="1"/>
                <w:color w:val="auto"/>
              </w:rPr>
              <w:t>Nominees:</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72720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-883920</wp:posOffset>
            </wp:positionV>
            <wp:extent cx="34290" cy="12604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12604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-883920</wp:posOffset>
            </wp:positionV>
            <wp:extent cx="34290" cy="12604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1260475"/>
                    </a:xfrm>
                    <a:prstGeom prst="rect">
                      <a:avLst/>
                    </a:prstGeom>
                    <a:noFill/>
                  </pic:spPr>
                </pic:pic>
              </a:graphicData>
            </a:graphic>
          </wp:anchor>
        </w:drawing>
      </w:r>
    </w:p>
    <w:p>
      <w:pPr>
        <w:spacing w:after="0" w:line="172" w:lineRule="exact"/>
        <w:rPr>
          <w:sz w:val="20"/>
          <w:szCs w:val="20"/>
          <w:color w:val="auto"/>
        </w:rPr>
      </w:pPr>
    </w:p>
    <w:p>
      <w:pPr>
        <w:ind w:left="1120" w:hanging="417"/>
        <w:spacing w:after="0"/>
        <w:tabs>
          <w:tab w:leader="none" w:pos="11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Rohit Kapoor</w:t>
      </w:r>
    </w:p>
    <w:p>
      <w:pPr>
        <w:spacing w:after="0" w:line="42" w:lineRule="exact"/>
        <w:rPr>
          <w:sz w:val="20"/>
          <w:szCs w:val="20"/>
          <w:color w:val="auto"/>
        </w:rPr>
      </w:pPr>
    </w:p>
    <w:p>
      <w:pPr>
        <w:ind w:left="1100" w:hanging="397"/>
        <w:spacing w:after="0"/>
        <w:tabs>
          <w:tab w:leader="none" w:pos="11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Anne Minto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23495</wp:posOffset>
            </wp:positionV>
            <wp:extent cx="7246620" cy="2693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93035"/>
                    </a:xfrm>
                    <a:prstGeom prst="rect">
                      <a:avLst/>
                    </a:prstGeom>
                    <a:noFill/>
                  </pic:spPr>
                </pic:pic>
              </a:graphicData>
            </a:graphic>
          </wp:anchor>
        </w:drawing>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287"/>
        </w:trPr>
        <w:tc>
          <w:tcPr>
            <w:tcW w:w="3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8840" w:type="dxa"/>
            <w:vAlign w:val="bottom"/>
          </w:tcPr>
          <w:p>
            <w:pPr>
              <w:ind w:left="160"/>
              <w:spacing w:after="0"/>
              <w:rPr>
                <w:sz w:val="20"/>
                <w:szCs w:val="20"/>
                <w:color w:val="auto"/>
              </w:rPr>
            </w:pPr>
            <w:r>
              <w:rPr>
                <w:rFonts w:ascii="Arial" w:cs="Arial" w:eastAsia="Arial" w:hAnsi="Arial"/>
                <w:sz w:val="14"/>
                <w:szCs w:val="14"/>
                <w:color w:val="auto"/>
              </w:rPr>
              <w:t>The ratification of the selection of Ernst &amp; Young LLP as the independent registered public accounting firm of the Company for fiscal</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2"/>
        </w:trPr>
        <w:tc>
          <w:tcPr>
            <w:tcW w:w="320" w:type="dxa"/>
            <w:vAlign w:val="bottom"/>
          </w:tcPr>
          <w:p>
            <w:pPr>
              <w:spacing w:after="0"/>
              <w:rPr>
                <w:sz w:val="14"/>
                <w:szCs w:val="14"/>
                <w:color w:val="auto"/>
              </w:rPr>
            </w:pPr>
          </w:p>
        </w:tc>
        <w:tc>
          <w:tcPr>
            <w:tcW w:w="8840" w:type="dxa"/>
            <w:vAlign w:val="bottom"/>
          </w:tcPr>
          <w:p>
            <w:pPr>
              <w:ind w:left="160"/>
              <w:spacing w:after="0"/>
              <w:rPr>
                <w:sz w:val="20"/>
                <w:szCs w:val="20"/>
                <w:color w:val="auto"/>
              </w:rPr>
            </w:pPr>
            <w:r>
              <w:rPr>
                <w:rFonts w:ascii="Arial" w:cs="Arial" w:eastAsia="Arial" w:hAnsi="Arial"/>
                <w:sz w:val="14"/>
                <w:szCs w:val="14"/>
                <w:color w:val="auto"/>
              </w:rPr>
              <w:t>year 2016</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40"/>
        </w:trPr>
        <w:tc>
          <w:tcPr>
            <w:tcW w:w="3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840" w:type="dxa"/>
            <w:vAlign w:val="bottom"/>
          </w:tcPr>
          <w:p>
            <w:pPr>
              <w:ind w:left="160"/>
              <w:spacing w:after="0"/>
              <w:rPr>
                <w:sz w:val="20"/>
                <w:szCs w:val="20"/>
                <w:color w:val="auto"/>
              </w:rPr>
            </w:pPr>
            <w:r>
              <w:rPr>
                <w:rFonts w:ascii="Arial" w:cs="Arial" w:eastAsia="Arial" w:hAnsi="Arial"/>
                <w:sz w:val="14"/>
                <w:szCs w:val="14"/>
                <w:color w:val="auto"/>
              </w:rPr>
              <w:t>The approval of the compensation of the named executive officers of the Company</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31" w:lineRule="exact"/>
        <w:rPr>
          <w:sz w:val="20"/>
          <w:szCs w:val="20"/>
          <w:color w:val="auto"/>
        </w:rPr>
      </w:pPr>
    </w:p>
    <w:p>
      <w:pPr>
        <w:ind w:left="300" w:right="20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Please sign exactly as your name(s) appear(s) hereon. When signing as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attorney, executor, administrator, or other fiduciary, please give full title as such.</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Joint owners should each sign personally. All holders must sign. If a corporation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or partnership, please sign in full corporate or partnership name by authorized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officer.</w:t>
      </w:r>
    </w:p>
    <w:p>
      <w:pPr>
        <w:spacing w:after="0" w:line="200" w:lineRule="exact"/>
        <w:rPr>
          <w:sz w:val="20"/>
          <w:szCs w:val="20"/>
          <w:color w:val="auto"/>
        </w:rPr>
      </w:pPr>
    </w:p>
    <w:p>
      <w:pPr>
        <w:spacing w:after="0" w:line="301" w:lineRule="exact"/>
        <w:rPr>
          <w:sz w:val="20"/>
          <w:szCs w:val="20"/>
          <w:color w:val="auto"/>
        </w:rPr>
      </w:pPr>
    </w:p>
    <w:p>
      <w:pPr>
        <w:ind w:left="300"/>
        <w:spacing w:after="0"/>
        <w:tabs>
          <w:tab w:leader="none" w:pos="3700" w:val="left"/>
          <w:tab w:leader="none" w:pos="5520" w:val="left"/>
          <w:tab w:leader="none" w:pos="87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469265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20" w:top="694" w:right="219"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E09381-P74132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-1905</wp:posOffset>
            </wp:positionV>
            <wp:extent cx="7246620" cy="3533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5331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EXLSERVICE HOLDINGS, INC.</w:t>
      </w:r>
    </w:p>
    <w:p>
      <w:pPr>
        <w:spacing w:after="0" w:line="1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Annual Meeting of Shareholders</w:t>
      </w:r>
    </w:p>
    <w:p>
      <w:pPr>
        <w:jc w:val="center"/>
        <w:ind w:right="360"/>
        <w:spacing w:after="0" w:line="234" w:lineRule="auto"/>
        <w:rPr>
          <w:sz w:val="20"/>
          <w:szCs w:val="20"/>
          <w:color w:val="auto"/>
        </w:rPr>
      </w:pPr>
      <w:r>
        <w:rPr>
          <w:rFonts w:ascii="Arial" w:cs="Arial" w:eastAsia="Arial" w:hAnsi="Arial"/>
          <w:sz w:val="18"/>
          <w:szCs w:val="18"/>
          <w:b w:val="1"/>
          <w:bCs w:val="1"/>
          <w:color w:val="auto"/>
        </w:rPr>
        <w:t>June 17, 2016 8:30 AM</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31"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shareholder(s) hereby appoint(s) Vishal Chhibbar and Nancy Saltzman, or either of them, as proxies, each with the power to appoint his or her substitute, and hereby authorizes them to represent and to vote, as designated on the reverse side of this ballot, all of the shares of common stock of EXLSERVICE HOLDINGS, INC. that the shareholder(s) is/are entitled to vote at the Annual Meeting of Shareholders to be held at 8:30 A.M., eastern daylight time on June 17, 2016, at 280 Park Avenue, 38th Floor, New York, NY 10017, and any adjournment or postponement thereof.</w:t>
      </w:r>
    </w:p>
    <w:p>
      <w:pPr>
        <w:spacing w:after="0" w:line="189"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The undersigned hereby also authorizes the proxy, in his or her discretion, to vote on any other business that may properly be brought before the meeting or any adjournment or postponement thereof to the extent authorized by Rule 14a-4(c) promulgated by the Securities and Exchange Commission.</w:t>
      </w:r>
    </w:p>
    <w:p>
      <w:pPr>
        <w:spacing w:after="0" w:line="113"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and accordingly, will be voted FOR each of the Board of Directors’ nominees for director specified in Proposal 1, and FOR Proposals 2 and 3, unless a contrary choice is specified, in which case the proxy will be voted as specified.</w:t>
      </w:r>
    </w:p>
    <w:p>
      <w:pPr>
        <w:spacing w:after="0" w:line="142" w:lineRule="exact"/>
        <w:rPr>
          <w:sz w:val="20"/>
          <w:szCs w:val="20"/>
          <w:color w:val="auto"/>
        </w:rPr>
      </w:pPr>
    </w:p>
    <w:p>
      <w:pPr>
        <w:jc w:val="both"/>
        <w:ind w:right="380"/>
        <w:spacing w:after="0" w:line="246" w:lineRule="auto"/>
        <w:rPr>
          <w:sz w:val="20"/>
          <w:szCs w:val="20"/>
          <w:color w:val="auto"/>
        </w:rPr>
      </w:pPr>
      <w:r>
        <w:rPr>
          <w:rFonts w:ascii="Arial" w:cs="Arial" w:eastAsia="Arial" w:hAnsi="Arial"/>
          <w:sz w:val="18"/>
          <w:szCs w:val="18"/>
          <w:color w:val="auto"/>
        </w:rPr>
        <w:t>The undersigned hereby acknowledges receipt of the Notice of Annual Meeting of Shareholders, dated on or about April 29, 2016, and the Proxy Statement furnished therewith.</w:t>
      </w:r>
    </w:p>
    <w:p>
      <w:pPr>
        <w:spacing w:after="0" w:line="31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774700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6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lvl w:ilvl="1">
      <w:lvlJc w:val="left"/>
      <w:lvlText w:val="(%2)"/>
      <w:numFmt w:val="decimal"/>
      <w:start w:val="1"/>
    </w:lvl>
  </w:abstractNum>
  <w:abstractNum w:abstractNumId="3">
    <w:nsid w:val="6DE91B18"/>
    <w:multiLevelType w:val="hybridMultilevel"/>
    <w:lvl w:ilvl="0">
      <w:lvlJc w:val="left"/>
      <w:lvlText w:val="(%1)"/>
      <w:numFmt w:val="decimal"/>
      <w:start w:val="212"/>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
      <w:numFmt w:val="bullet"/>
      <w:start w:val="1"/>
    </w:lvl>
    <w:lvl w:ilvl="1">
      <w:lvlJc w:val="left"/>
      <w:lvlText w:val="○"/>
      <w:numFmt w:val="bullet"/>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amp;"/>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lvl w:ilvl="1">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1381823A"/>
    <w:multiLevelType w:val="hybridMultilevel"/>
    <w:lvl w:ilvl="0">
      <w:lvlJc w:val="left"/>
      <w:lvlText w:val="○"/>
      <w:numFmt w:val="bullet"/>
      <w:start w:val="1"/>
    </w:lvl>
    <w:lvl w:ilvl="1">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4"/>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6"/>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2"/>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decimal"/>
      <w:start w:val="751"/>
    </w:lvl>
  </w:abstractNum>
  <w:abstractNum w:abstractNumId="57">
    <w:nsid w:val="5DC79EA8"/>
    <w:multiLevelType w:val="hybridMultilevel"/>
    <w:lvl w:ilvl="0">
      <w:lvlJc w:val="left"/>
      <w:lvlText w:val="(%1)"/>
      <w:numFmt w:val="decimal"/>
      <w:start w:val="3"/>
    </w:lvl>
  </w:abstractNum>
  <w:abstractNum w:abstractNumId="58">
    <w:nsid w:val="540A471C"/>
    <w:multiLevelType w:val="hybridMultilevel"/>
    <w:lvl w:ilvl="0">
      <w:lvlJc w:val="left"/>
      <w:lvlText w:val="(%1)"/>
      <w:numFmt w:val="decimal"/>
      <w:start w:val="4"/>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2"/>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lvl w:ilvl="1">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4"/>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3"/>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2019-12-08T02:09:06Z</dcterms:created>
  <dcterms:modified xsi:type="dcterms:W3CDTF">2019-12-08T02:09:06Z</dcterms:modified>
</cp:coreProperties>
</file>