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01/27/2020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0000FF"/>
              </w:rPr>
              <w:t>01/27/2020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rPr>
                <w:sz w:val="20"/>
                <w:szCs w:val="20"/>
                <w:color w:val="auto"/>
              </w:rPr>
            </w:pPr>
            <w:r>
              <w:rPr>
                <w:rFonts w:ascii="Arial" w:cs="Arial" w:eastAsia="Arial" w:hAnsi="Arial"/>
                <w:sz w:val="18"/>
                <w:szCs w:val="18"/>
                <w:color w:val="0000FF"/>
              </w:rPr>
              <w:t>13,237</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43,203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2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01/27/2020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5,658</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73.63</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37,545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23, 2017. Such shares of Common Stock were deemed earned on January 27, 2020 based on the Compensation Committee of the Board of Directors administering the award certifying the achievement of performance targets applicable to the PRSUs for the performance period ending on December 31, 2019.</w:t>
      </w:r>
    </w:p>
    <w:p>
      <w:pPr>
        <w:spacing w:after="0" w:line="2" w:lineRule="exact"/>
        <w:rPr>
          <w:rFonts w:ascii="Arial" w:cs="Arial" w:eastAsia="Arial" w:hAnsi="Arial"/>
          <w:sz w:val="12"/>
          <w:szCs w:val="12"/>
          <w:color w:val="008000"/>
        </w:rPr>
      </w:pPr>
    </w:p>
    <w:p>
      <w:pPr>
        <w:jc w:val="both"/>
        <w:ind w:left="40" w:right="4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27, 2020 in this case, is used for purposes of computing tax reporting and withholding.</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2020-01-29T16:02:11Z</dcterms:created>
  <dcterms:modified xsi:type="dcterms:W3CDTF">2020-01-29T16:02:11Z</dcterms:modified>
</cp:coreProperties>
</file>