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02/20/2020</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2,731</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40,276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02/20/2020</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1,168</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78.56</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39,108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2,731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02/20/2020</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2,731</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w w:val="96"/>
              </w:rPr>
              <w:t>8,194</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3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20, 2020.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ind w:left="40" w:right="20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20, 2019, the reporting person was granted 10,925 restricted stock units, vesting in four annual installments beginning on the first anniversary of the grant date. 25 percent of the restricted stock units became vested on February 20, 2020, an additional twenty-five percent of the restricted stock units will vest on February 20, 2021, an additional twenty-five percent of the restricted stock units will vest on February 20, 2022; and the remaining balance of twenty-five percent of the restricted stock units will vest on February 20, 2023.</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2020-02-24T16:41:44Z</dcterms:created>
  <dcterms:modified xsi:type="dcterms:W3CDTF">2020-02-24T16:41:44Z</dcterms:modified>
</cp:coreProperties>
</file>