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5"/>
        </w:trPr>
        <w:tc>
          <w:tcPr>
            <w:tcW w:w="632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5290820</wp:posOffset>
            </wp:positionH>
            <wp:positionV relativeFrom="paragraph">
              <wp:posOffset>-630555</wp:posOffset>
            </wp:positionV>
            <wp:extent cx="58420" cy="643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4004945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16510</wp:posOffset>
            </wp:positionV>
            <wp:extent cx="6992620" cy="52444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52444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22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Jetley Vivek</w:t>
        </w:r>
      </w:hyperlink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320 PARK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243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ExlService Holdings,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4"/>
          <w:szCs w:val="14"/>
          <w:color w:val="0000FF"/>
        </w:rPr>
        <w:t>EXLS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05/06/2021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-3" w:right="600" w:firstLine="3"/>
        <w:spacing w:after="0" w:line="239" w:lineRule="auto"/>
        <w:tabs>
          <w:tab w:leader="none" w:pos="14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197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63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EVP and Head of Analytics</w:t>
      </w:r>
    </w:p>
    <w:p>
      <w:pPr>
        <w:spacing w:after="0" w:line="31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3" w:space="720"/>
            <w:col w:w="3337"/>
          </w:cols>
          <w:pgMar w:left="460" w:top="222" w:right="35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10022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20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2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Common Stock, par value $0.001 per share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05/06/2021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1,000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42,573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Common Stock, par value $0.001 per share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05/06/2021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1,000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97.5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41,573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8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80" w:type="dxa"/>
            <w:vAlign w:val="bottom"/>
            <w:gridSpan w:val="10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 w:line="2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right"/>
              <w:ind w:right="13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Stock,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24.77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75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05/06/2021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4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1,000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02/07/2022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par value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3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right"/>
              <w:ind w:right="11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$0.001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per share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-2287905</wp:posOffset>
            </wp:positionV>
            <wp:extent cx="29210" cy="229298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292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On May 6, 2021, the reporting person exercised previously issued options to purchase an aggregate of 1,000 shares of common stock of ExlService Holdings, Inc.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sale was made pursuant to a 10b5-1 plan previously entered into by the reporting person.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On February 7, 2012, the reporting person was granted 6,500 stock options. 100 percent of these options became vested and exercisable on February 7, 2016.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5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Mr. Oseni is the Company's Head of Administration and Accounts.</w:t>
      </w:r>
    </w:p>
    <w:p>
      <w:pPr>
        <w:ind w:left="6600"/>
        <w:spacing w:after="0" w:line="18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Lazbart Oseni, Attorney-in-  </w:t>
      </w:r>
      <w:r>
        <w:rPr>
          <w:rFonts w:ascii="Arial" w:cs="Arial" w:eastAsia="Arial" w:hAnsi="Arial"/>
          <w:sz w:val="33"/>
          <w:szCs w:val="33"/>
          <w:color w:val="0000FF"/>
          <w:vertAlign w:val="subscript"/>
        </w:rPr>
        <w:t>05/10/2021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-27305</wp:posOffset>
            </wp:positionV>
            <wp:extent cx="132143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14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-19685</wp:posOffset>
            </wp:positionV>
            <wp:extent cx="18478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7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5584825</wp:posOffset>
            </wp:positionH>
            <wp:positionV relativeFrom="paragraph">
              <wp:posOffset>-85725</wp:posOffset>
            </wp:positionV>
            <wp:extent cx="4883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3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7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798124" TargetMode="External"/><Relationship Id="rId13" Type="http://schemas.openxmlformats.org/officeDocument/2006/relationships/hyperlink" Target="http://www.sec.gov/cgi-bin/browse-edgar?action=getcompany&amp;CIK=00012979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2021-05-10T17:10:50Z</dcterms:created>
  <dcterms:modified xsi:type="dcterms:W3CDTF">2021-05-10T17:10:50Z</dcterms:modified>
</cp:coreProperties>
</file>