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Srivatsan Nagaraja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EVP &amp; Chief Growth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6,600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02/23/2017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6,600</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02/23/2027</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6,600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will vest in four equal annual installments, beginning on February 23, 2018. Vesting will be accelerated upon certain termination of employment events and upon a "Change in Control" (as defined in the ExlService Holdings, Inc. 2015 Amendment and Restatement of the 2006 Omnibus Award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220"/>
        <w:spacing w:after="0" w:line="283" w:lineRule="auto"/>
        <w:rPr>
          <w:sz w:val="20"/>
          <w:szCs w:val="20"/>
          <w:color w:val="auto"/>
        </w:rPr>
      </w:pPr>
      <w:r>
        <w:rPr>
          <w:rFonts w:ascii="Arial" w:cs="Arial" w:eastAsia="Arial" w:hAnsi="Arial"/>
          <w:sz w:val="12"/>
          <w:szCs w:val="12"/>
          <w:color w:val="008000"/>
        </w:rPr>
        <w:t>On February 23, 2017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p>
      <w:pPr>
        <w:ind w:left="6860"/>
        <w:spacing w:after="0" w:line="180"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925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2019-12-04T00:59:35Z</dcterms:created>
  <dcterms:modified xsi:type="dcterms:W3CDTF">2019-12-04T00:59:35Z</dcterms:modified>
</cp:coreProperties>
</file>