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AYYAPPAN AJAY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05"/>
        <w:spacing w:after="0"/>
        <w:rPr>
          <w:sz w:val="20"/>
          <w:szCs w:val="20"/>
          <w:color w:val="auto"/>
        </w:rPr>
      </w:pPr>
      <w:r>
        <w:rPr>
          <w:rFonts w:ascii="Times New Roman" w:cs="Times New Roman" w:eastAsia="Times New Roman" w:hAnsi="Times New Roman"/>
          <w:sz w:val="17"/>
          <w:szCs w:val="17"/>
          <w:color w:val="0000FF"/>
        </w:rPr>
        <w:t>EVP &amp; Gen Counsel/Corp. Sec'y.</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50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6"/>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14,000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54,986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7,622</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49.14</w:t>
            </w:r>
            <w:r>
              <w:rPr>
                <w:rFonts w:ascii="Times New Roman" w:cs="Times New Roman" w:eastAsia="Times New Roman" w:hAnsi="Times New Roman"/>
                <w:sz w:val="22"/>
                <w:szCs w:val="22"/>
                <w:color w:val="008000"/>
                <w:w w:val="95"/>
                <w:vertAlign w:val="superscript"/>
              </w:rPr>
              <w:t>(2)</w:t>
            </w:r>
          </w:p>
        </w:tc>
        <w:tc>
          <w:tcPr>
            <w:tcW w:w="300" w:type="dxa"/>
            <w:vAlign w:val="bottom"/>
          </w:tcPr>
          <w:p>
            <w:pPr>
              <w:spacing w:after="0"/>
              <w:rPr>
                <w:sz w:val="21"/>
                <w:szCs w:val="21"/>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47,364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20,980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68,344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11,172</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49.14</w:t>
            </w:r>
            <w:r>
              <w:rPr>
                <w:rFonts w:ascii="Times New Roman" w:cs="Times New Roman" w:eastAsia="Times New Roman" w:hAnsi="Times New Roman"/>
                <w:sz w:val="22"/>
                <w:szCs w:val="22"/>
                <w:color w:val="008000"/>
                <w:w w:val="95"/>
                <w:vertAlign w:val="superscript"/>
              </w:rPr>
              <w:t>(2)</w:t>
            </w:r>
          </w:p>
        </w:tc>
        <w:tc>
          <w:tcPr>
            <w:tcW w:w="300" w:type="dxa"/>
            <w:vAlign w:val="bottom"/>
          </w:tcPr>
          <w:p>
            <w:pPr>
              <w:spacing w:after="0"/>
              <w:rPr>
                <w:sz w:val="21"/>
                <w:szCs w:val="21"/>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57,172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16, 2022. Such shares of Common Stock were deemed earned on January 27, 2025 based on the Compensation Committee of the Board of Directors administering the award certifying the achievement of performance targets applicable to the PRSUs for the performance period ending on December 31, 2024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Ajay Ayyappan</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01/29/2025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2098"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2025-01-29T16:20:06Z</dcterms:created>
  <dcterms:modified xsi:type="dcterms:W3CDTF">2025-01-29T16:20:06Z</dcterms:modified>
</cp:coreProperties>
</file>