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Date of Report (Date of earliest event reported): July 27, 2017</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27, 2017, ExlService Holdings, Inc. (the “Company”) reported its results of operations for the three months ended June 30, 2017.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8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w w:val="88"/>
              </w:rPr>
              <w:t>Press Release, dated July 27, 2017 (furnished pursuant to Item 2.02).</w:t>
            </w:r>
          </w:p>
        </w:tc>
      </w:tr>
    </w:tbl>
    <w:p>
      <w:pPr>
        <w:sectPr>
          <w:pgSz w:w="11900" w:h="16838" w:orient="portrait"/>
          <w:cols w:equalWidth="0" w:num="1">
            <w:col w:w="11420"/>
          </w:cols>
          <w:pgMar w:left="240" w:top="63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40" w:type="dxa"/>
            <w:vAlign w:val="bottom"/>
          </w:tcPr>
          <w:p>
            <w:pPr>
              <w:spacing w:after="0"/>
              <w:rPr>
                <w:sz w:val="19"/>
                <w:szCs w:val="19"/>
                <w:color w:val="auto"/>
              </w:rPr>
            </w:pPr>
          </w:p>
        </w:tc>
        <w:tc>
          <w:tcPr>
            <w:tcW w:w="8140" w:type="dxa"/>
            <w:vAlign w:val="bottom"/>
            <w:gridSpan w:val="2"/>
          </w:tcPr>
          <w:p>
            <w:pPr>
              <w:ind w:left="17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40" w:type="dxa"/>
            <w:vAlign w:val="bottom"/>
          </w:tcPr>
          <w:p>
            <w:pPr>
              <w:spacing w:after="0"/>
              <w:rPr>
                <w:sz w:val="20"/>
                <w:szCs w:val="20"/>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40" w:type="dxa"/>
            <w:vAlign w:val="bottom"/>
          </w:tcPr>
          <w:p>
            <w:pPr>
              <w:spacing w:after="0"/>
              <w:rPr>
                <w:sz w:val="20"/>
                <w:szCs w:val="20"/>
                <w:color w:val="auto"/>
              </w:rPr>
            </w:pPr>
            <w:r>
              <w:rPr>
                <w:rFonts w:ascii="Arial" w:cs="Arial" w:eastAsia="Arial" w:hAnsi="Arial"/>
                <w:sz w:val="18"/>
                <w:szCs w:val="18"/>
                <w:color w:val="auto"/>
              </w:rPr>
              <w:t>Date: July 27, 2017</w:t>
            </w:r>
          </w:p>
        </w:tc>
        <w:tc>
          <w:tcPr>
            <w:tcW w:w="3120" w:type="dxa"/>
            <w:vAlign w:val="bottom"/>
          </w:tcPr>
          <w:p>
            <w:pPr>
              <w:ind w:left="17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2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40" w:type="dxa"/>
            <w:vAlign w:val="bottom"/>
          </w:tcPr>
          <w:p>
            <w:pPr>
              <w:spacing w:after="0"/>
              <w:rPr>
                <w:sz w:val="21"/>
                <w:szCs w:val="21"/>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240" w:type="dxa"/>
            <w:vAlign w:val="bottom"/>
          </w:tcPr>
          <w:p>
            <w:pPr>
              <w:spacing w:after="0"/>
              <w:rPr>
                <w:sz w:val="22"/>
                <w:szCs w:val="22"/>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6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0" w:type="dxa"/>
            <w:vAlign w:val="bottom"/>
          </w:tcPr>
          <w:p>
            <w:pPr>
              <w:ind w:left="252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88"/>
              </w:rPr>
              <w:t>Press Release, dated July 27, 2017 (furnished pursuant to Item 2.02).</w:t>
            </w:r>
          </w:p>
        </w:tc>
      </w:tr>
    </w:tbl>
    <w:p>
      <w:pPr>
        <w:sectPr>
          <w:pgSz w:w="11900" w:h="16838" w:orient="portrait"/>
          <w:cols w:equalWidth="0" w:num="1">
            <w:col w:w="10219"/>
          </w:cols>
          <w:pgMar w:left="240" w:top="6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2017 SECOND QUARTER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2017 Second Quarter Revenues of $189.1 Million, up 10.9% year over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Diluted EPS (GAAP) of $0.58, up from $0.47 in Q2 of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Adjusted Diluted EPS (Non-GAAP) of $0.70, up from $0.55 in Q2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July 27, 2017 - ExlService Holdings, Inc. (NASDAQ: EXLS), a leading operations management and analytics company, today announced its financial results for the quarter ended June 30,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Rohit Kapoor, Vice Chairman and CEO, commented, “In the second quarter of 2017, EXL had strong revenue growth. Our second quarter revenue was $189.1 million, an increase of 10.9% year-over-year, and we generated revenue of $372.1 million in the first half of the year, an increase of 10.2%. Revenue growth for the second quarter was led by our analytics segment which grew 30.2% year-over-year. Our operations management business grew 5.1% year-over-year.</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“EXL is becoming the strategic digital transformation partner of choice. Our clients use our next-generation operations management, robotics, advanced analytics and domain expertise to transform their business models. Our pipeline across our portfolio of solutions is strong as evidenced by 16 new client wins this quarter.”</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Vishal Chhibbar, CFO, commented, “We have increased our revenue guidance for 2017 to $748 million - $762 million from $740 million - $760 million to reflect better performance in the second quarter and favorable exchange rates versus the U.S. dollar. Our guidance represents annual revenue growth of 9% to 11% from 2016 on a constant currency basis. We have also increased our adjusted diluted EPS guidance for 2017 to $2.54 - $2.64, an increase of 9% to 13% from 2016. Our balance sheet remains strong with cash and short-term investments of $237 million.”</w:t>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Second Quarter 2017</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(Banking &amp; Financial Services, Utilities and Consulting) and Analytics. Reconciliations of adjusted (non-GAAP) financial measures, including those reflecting constant currency, to GAAP measures are included at the end of this release.</w:t>
      </w:r>
    </w:p>
    <w:p>
      <w:pPr>
        <w:spacing w:after="0" w:line="331"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2017 increased to $189.1 million compared to $170.5 million for the second quarter of 2016, an increase of 10.9% both on a reported and constant currency basis from the second quarter of 2016, and an increase of 3.3% sequentially from the quarter ended March 31, 2017.</w:t>
      </w:r>
    </w:p>
    <w:p>
      <w:pPr>
        <w:spacing w:after="0" w:line="357"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87"/>
              </w:rPr>
              <w:t>Revenues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3"/>
              </w:rPr>
              <w:t>Gross Margin</w:t>
            </w:r>
          </w:p>
        </w:tc>
        <w:tc>
          <w:tcPr>
            <w:tcW w:w="1100" w:type="dxa"/>
            <w:vAlign w:val="bottom"/>
          </w:tcPr>
          <w:p>
            <w:pPr>
              <w:spacing w:after="0"/>
              <w:rPr>
                <w:sz w:val="18"/>
                <w:szCs w:val="18"/>
                <w:color w:val="auto"/>
              </w:rPr>
            </w:pPr>
          </w:p>
        </w:tc>
      </w:tr>
      <w:tr>
        <w:trPr>
          <w:trHeight w:val="3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r>
      <w:tr>
        <w:trPr>
          <w:trHeight w:val="217"/>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60" w:type="dxa"/>
            <w:vAlign w:val="bottom"/>
            <w:gridSpan w:val="7"/>
          </w:tcPr>
          <w:p>
            <w:pPr>
              <w:jc w:val="center"/>
              <w:ind w:right="1000"/>
              <w:spacing w:after="0"/>
              <w:rPr>
                <w:sz w:val="20"/>
                <w:szCs w:val="20"/>
                <w:color w:val="auto"/>
              </w:rPr>
            </w:pPr>
            <w:r>
              <w:rPr>
                <w:rFonts w:ascii="Arial" w:cs="Arial" w:eastAsia="Arial" w:hAnsi="Arial"/>
                <w:sz w:val="16"/>
                <w:szCs w:val="16"/>
                <w:b w:val="1"/>
                <w:bCs w:val="1"/>
                <w:color w:val="auto"/>
                <w:w w:val="90"/>
              </w:rPr>
              <w:t>Three months ended</w:t>
            </w:r>
          </w:p>
        </w:tc>
        <w:tc>
          <w:tcPr>
            <w:tcW w:w="920" w:type="dxa"/>
            <w:vAlign w:val="bottom"/>
          </w:tcPr>
          <w:p>
            <w:pPr>
              <w:spacing w:after="0"/>
              <w:rPr>
                <w:sz w:val="18"/>
                <w:szCs w:val="18"/>
                <w:color w:val="auto"/>
              </w:rPr>
            </w:pPr>
          </w:p>
        </w:tc>
        <w:tc>
          <w:tcPr>
            <w:tcW w:w="2420" w:type="dxa"/>
            <w:vAlign w:val="bottom"/>
            <w:gridSpan w:val="5"/>
          </w:tcPr>
          <w:p>
            <w:pPr>
              <w:jc w:val="center"/>
              <w:ind w:right="839"/>
              <w:spacing w:after="0"/>
              <w:rPr>
                <w:sz w:val="20"/>
                <w:szCs w:val="20"/>
                <w:color w:val="auto"/>
              </w:rPr>
            </w:pPr>
            <w:r>
              <w:rPr>
                <w:rFonts w:ascii="Arial" w:cs="Arial" w:eastAsia="Arial" w:hAnsi="Arial"/>
                <w:sz w:val="16"/>
                <w:szCs w:val="16"/>
                <w:b w:val="1"/>
                <w:bCs w:val="1"/>
                <w:color w:val="auto"/>
                <w:w w:val="90"/>
              </w:rPr>
              <w:t>Three months ended</w:t>
            </w:r>
          </w:p>
        </w:tc>
      </w:tr>
      <w:tr>
        <w:trPr>
          <w:trHeight w:val="3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w w:val="87"/>
              </w:rPr>
              <w:t>June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7"/>
              </w:rPr>
              <w:t>June 30,</w:t>
            </w:r>
          </w:p>
        </w:tc>
        <w:tc>
          <w:tcPr>
            <w:tcW w:w="1100" w:type="dxa"/>
            <w:vAlign w:val="bottom"/>
          </w:tcPr>
          <w:p>
            <w:pPr>
              <w:ind w:left="100"/>
              <w:spacing w:after="0"/>
              <w:rPr>
                <w:sz w:val="20"/>
                <w:szCs w:val="20"/>
                <w:color w:val="auto"/>
              </w:rPr>
            </w:pPr>
            <w:r>
              <w:rPr>
                <w:rFonts w:ascii="Arial" w:cs="Arial" w:eastAsia="Arial" w:hAnsi="Arial"/>
                <w:sz w:val="16"/>
                <w:szCs w:val="16"/>
                <w:b w:val="1"/>
                <w:bCs w:val="1"/>
                <w:color w:val="auto"/>
              </w:rPr>
              <w:t>March 31,</w:t>
            </w:r>
          </w:p>
        </w:tc>
      </w:tr>
      <w:tr>
        <w:trPr>
          <w:trHeight w:val="270"/>
        </w:trPr>
        <w:tc>
          <w:tcPr>
            <w:tcW w:w="286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Pr>
          <w:p>
            <w:pPr>
              <w:spacing w:after="0"/>
              <w:rPr>
                <w:sz w:val="23"/>
                <w:szCs w:val="23"/>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23"/>
                <w:szCs w:val="23"/>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2017</w:t>
            </w:r>
          </w:p>
        </w:tc>
        <w:tc>
          <w:tcPr>
            <w:tcW w:w="10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ind w:left="280"/>
              <w:spacing w:after="0"/>
              <w:rPr>
                <w:sz w:val="20"/>
                <w:szCs w:val="20"/>
                <w:color w:val="auto"/>
              </w:rPr>
            </w:pPr>
            <w:r>
              <w:rPr>
                <w:rFonts w:ascii="Arial" w:cs="Arial" w:eastAsia="Arial" w:hAnsi="Arial"/>
                <w:sz w:val="16"/>
                <w:szCs w:val="16"/>
                <w:b w:val="1"/>
                <w:bCs w:val="1"/>
                <w:color w:val="auto"/>
              </w:rPr>
              <w:t>2017</w:t>
            </w:r>
          </w:p>
        </w:tc>
      </w:tr>
      <w:tr>
        <w:trPr>
          <w:trHeight w:val="3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60" w:type="dxa"/>
            <w:vAlign w:val="bottom"/>
            <w:gridSpan w:val="7"/>
          </w:tcPr>
          <w:p>
            <w:pPr>
              <w:jc w:val="center"/>
              <w:ind w:right="1000"/>
              <w:spacing w:after="0"/>
              <w:rPr>
                <w:sz w:val="20"/>
                <w:szCs w:val="20"/>
                <w:color w:val="auto"/>
              </w:rPr>
            </w:pPr>
            <w:r>
              <w:rPr>
                <w:rFonts w:ascii="Arial" w:cs="Arial" w:eastAsia="Arial" w:hAnsi="Arial"/>
                <w:sz w:val="16"/>
                <w:szCs w:val="16"/>
                <w:b w:val="1"/>
                <w:bCs w:val="1"/>
                <w:color w:val="auto"/>
                <w:w w:val="91"/>
              </w:rPr>
              <w:t>(dollars in millions)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55.9</w:t>
            </w:r>
          </w:p>
        </w:tc>
        <w:tc>
          <w:tcPr>
            <w:tcW w:w="180" w:type="dxa"/>
            <w:vAlign w:val="bottom"/>
          </w:tcPr>
          <w:p>
            <w:pPr>
              <w:spacing w:after="0"/>
              <w:rPr>
                <w:sz w:val="23"/>
                <w:szCs w:val="23"/>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rPr>
              <w:t>29.7%</w:t>
            </w:r>
          </w:p>
        </w:tc>
        <w:tc>
          <w:tcPr>
            <w:tcW w:w="1020" w:type="dxa"/>
            <w:vAlign w:val="bottom"/>
            <w:gridSpan w:val="2"/>
          </w:tcPr>
          <w:p>
            <w:pPr>
              <w:jc w:val="center"/>
              <w:ind w:left="399"/>
              <w:spacing w:after="0"/>
              <w:rPr>
                <w:sz w:val="20"/>
                <w:szCs w:val="20"/>
                <w:color w:val="auto"/>
              </w:rPr>
            </w:pPr>
            <w:r>
              <w:rPr>
                <w:rFonts w:ascii="Arial" w:cs="Arial" w:eastAsia="Arial" w:hAnsi="Arial"/>
                <w:sz w:val="16"/>
                <w:szCs w:val="16"/>
                <w:color w:val="auto"/>
                <w:w w:val="92"/>
              </w:rPr>
              <w:t>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31.5%</w:t>
            </w:r>
          </w:p>
        </w:tc>
      </w:tr>
      <w:tr>
        <w:trPr>
          <w:trHeight w:val="3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Healthcare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35.3%</w:t>
            </w:r>
          </w:p>
        </w:tc>
        <w:tc>
          <w:tcPr>
            <w:tcW w:w="1020" w:type="dxa"/>
            <w:vAlign w:val="bottom"/>
            <w:tcBorders>
              <w:bottom w:val="single" w:sz="8" w:color="CCEEFF"/>
            </w:tcBorders>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2"/>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35.6%</w:t>
            </w:r>
          </w:p>
        </w:tc>
      </w:tr>
      <w:tr>
        <w:trPr>
          <w:trHeight w:val="237"/>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Travel, Transportation &amp; Logistics</w:t>
            </w:r>
          </w:p>
        </w:tc>
        <w:tc>
          <w:tcPr>
            <w:tcW w:w="1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rPr>
              <w:t>41.3%</w:t>
            </w:r>
          </w:p>
        </w:tc>
        <w:tc>
          <w:tcPr>
            <w:tcW w:w="1020" w:type="dxa"/>
            <w:vAlign w:val="bottom"/>
            <w:gridSpan w:val="2"/>
          </w:tcPr>
          <w:p>
            <w:pPr>
              <w:jc w:val="center"/>
              <w:ind w:left="399"/>
              <w:spacing w:after="0"/>
              <w:rPr>
                <w:sz w:val="20"/>
                <w:szCs w:val="20"/>
                <w:color w:val="auto"/>
              </w:rPr>
            </w:pPr>
            <w:r>
              <w:rPr>
                <w:rFonts w:ascii="Arial" w:cs="Arial" w:eastAsia="Arial" w:hAnsi="Arial"/>
                <w:sz w:val="16"/>
                <w:szCs w:val="16"/>
                <w:color w:val="auto"/>
                <w:w w:val="92"/>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40.0%</w:t>
            </w:r>
          </w:p>
        </w:tc>
      </w:tr>
      <w:tr>
        <w:trPr>
          <w:trHeight w:val="3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&amp; Accounting</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38.4%</w:t>
            </w:r>
          </w:p>
        </w:tc>
        <w:tc>
          <w:tcPr>
            <w:tcW w:w="1020" w:type="dxa"/>
            <w:vAlign w:val="bottom"/>
            <w:tcBorders>
              <w:bottom w:val="single" w:sz="8" w:color="CCEEFF"/>
            </w:tcBorders>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2"/>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38.6%</w:t>
            </w:r>
          </w:p>
        </w:tc>
      </w:tr>
      <w:tr>
        <w:trPr>
          <w:trHeight w:val="237"/>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All Other</w:t>
            </w:r>
          </w:p>
        </w:tc>
        <w:tc>
          <w:tcPr>
            <w:tcW w:w="1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8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rPr>
              <w:t>31.5%</w:t>
            </w:r>
          </w:p>
        </w:tc>
        <w:tc>
          <w:tcPr>
            <w:tcW w:w="1020" w:type="dxa"/>
            <w:vAlign w:val="bottom"/>
            <w:gridSpan w:val="2"/>
          </w:tcPr>
          <w:p>
            <w:pPr>
              <w:jc w:val="center"/>
              <w:ind w:left="399"/>
              <w:spacing w:after="0"/>
              <w:rPr>
                <w:sz w:val="20"/>
                <w:szCs w:val="20"/>
                <w:color w:val="auto"/>
              </w:rPr>
            </w:pPr>
            <w:r>
              <w:rPr>
                <w:rFonts w:ascii="Arial" w:cs="Arial" w:eastAsia="Arial" w:hAnsi="Arial"/>
                <w:sz w:val="16"/>
                <w:szCs w:val="16"/>
                <w:color w:val="auto"/>
                <w:w w:val="92"/>
              </w:rPr>
              <w:t>37.3%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31.6%</w:t>
            </w:r>
          </w:p>
        </w:tc>
      </w:tr>
      <w:tr>
        <w:trPr>
          <w:trHeight w:val="3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2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1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8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rPr>
              <w:t>33.9%</w:t>
            </w:r>
          </w:p>
        </w:tc>
        <w:tc>
          <w:tcPr>
            <w:tcW w:w="1020" w:type="dxa"/>
            <w:vAlign w:val="bottom"/>
            <w:gridSpan w:val="2"/>
          </w:tcPr>
          <w:p>
            <w:pPr>
              <w:jc w:val="center"/>
              <w:ind w:left="399"/>
              <w:spacing w:after="0"/>
              <w:rPr>
                <w:sz w:val="20"/>
                <w:szCs w:val="20"/>
                <w:color w:val="auto"/>
              </w:rPr>
            </w:pPr>
            <w:r>
              <w:rPr>
                <w:rFonts w:ascii="Arial" w:cs="Arial" w:eastAsia="Arial" w:hAnsi="Arial"/>
                <w:sz w:val="16"/>
                <w:szCs w:val="16"/>
                <w:color w:val="auto"/>
                <w:w w:val="92"/>
              </w:rPr>
              <w:t>35.5%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34.6%</w:t>
            </w:r>
          </w:p>
        </w:tc>
      </w:tr>
      <w:tr>
        <w:trPr>
          <w:trHeight w:val="33"/>
        </w:trPr>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183.0</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33.6%</w:t>
            </w:r>
          </w:p>
        </w:tc>
        <w:tc>
          <w:tcPr>
            <w:tcW w:w="102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34.3%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34.4%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2017 was 8.5% compared to 9.5% in the second quarter of 2016 and 8.7% for the quarter ended March 31, 2017. Adjusted operating income margin for the quarter ending June 30, 2017 was 13.1% compared to 13.7% in the second quarter of 2016 and 13.9% for the quarter ended March 31, 2017.</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2017 was $0.58 compared to $0.47 for the second quarter of 2016 and $0.48 for the quarter ended March 31, 2017. Adjusted diluted earnings per share for the quarter ended June 30, 2017 was $0.70 (includes one-time income tax benefit of $3.1 million or $0.09 of diluted earnings per share from conclusion of an uncertain tax position) compared to $0.55 for the second quarter of 2016 and $0.60 for the quarter ended March 31, 2017.</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Second Quarter 2017</w:t>
      </w:r>
    </w:p>
    <w:p>
      <w:pPr>
        <w:spacing w:after="0" w:line="229" w:lineRule="exact"/>
        <w:rPr>
          <w:sz w:val="20"/>
          <w:szCs w:val="20"/>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16 new clients, consisting of six new clients in our operations management business and 10 new clients in analytics.</w:t>
      </w:r>
    </w:p>
    <w:p>
      <w:pPr>
        <w:spacing w:after="0" w:line="225" w:lineRule="exact"/>
        <w:rPr>
          <w:rFonts w:ascii="Arial" w:cs="Arial" w:eastAsia="Arial" w:hAnsi="Arial"/>
          <w:sz w:val="18"/>
          <w:szCs w:val="18"/>
          <w:color w:val="auto"/>
        </w:rPr>
      </w:pPr>
    </w:p>
    <w:p>
      <w:pPr>
        <w:ind w:left="340" w:right="20" w:hanging="264"/>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Opened our state-of-the-art Digital Experience Center in Jersey City, New Jersey for collaboration to design and architect digital solutions that transform clients’ businesses.</w:t>
      </w:r>
    </w:p>
    <w:p>
      <w:pPr>
        <w:spacing w:after="0" w:line="170"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Opened new delivery centers in Chennai and Hyderabad and expanded our operations centers in Kochi, Noida and Gurgaon.</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Introduced LifePRO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Version 19 with enhanced capabilities for management of complex annuities.</w:t>
      </w:r>
    </w:p>
    <w:p>
      <w:pPr>
        <w:spacing w:after="0" w:line="144"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Achieved Leader placement and Star Performer recognition for second straight year in the “Everest Group PEAK Matrix™ for Analytics BPS”.</w:t>
      </w:r>
    </w:p>
    <w:p>
      <w:pPr>
        <w:spacing w:after="0" w:line="236" w:lineRule="exact"/>
        <w:rPr>
          <w:rFonts w:ascii="Arial" w:cs="Arial" w:eastAsia="Arial" w:hAnsi="Arial"/>
          <w:sz w:val="17"/>
          <w:szCs w:val="17"/>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as a Leader in “IDC MarketScape for Finance and Accounting BPO Services”.</w:t>
      </w:r>
    </w:p>
    <w:p>
      <w:pPr>
        <w:sectPr>
          <w:pgSz w:w="11900" w:h="16838" w:orient="portrait"/>
          <w:cols w:equalWidth="0" w:num="1">
            <w:col w:w="11420"/>
          </w:cols>
          <w:pgMar w:left="240" w:top="1026" w:right="239" w:bottom="1440" w:gutter="0" w:footer="0" w:header="0"/>
        </w:sectPr>
      </w:pPr>
    </w:p>
    <w:bookmarkStart w:id="6" w:name="page7"/>
    <w:bookmarkEnd w:id="6"/>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Honored with 2017 LOMA Excellence in Education Awards for Insurance Training.</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97 new processes.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Guidance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current visibility, the Company is increasing its guidance. This guidance is based on the following exchange rates for the remainder of the year: U.S. Dollar to Indian Rupee exchange rate of 64.50, British Pound to U.S. Dollar exchange rate of 1.30, U.S. Dollar to the Philippine Peso exchange rate of 50.5 and all other currencies at current exchange rates.</w:t>
      </w:r>
    </w:p>
    <w:p>
      <w:pPr>
        <w:spacing w:after="0" w:line="181" w:lineRule="exact"/>
        <w:rPr>
          <w:sz w:val="20"/>
          <w:szCs w:val="20"/>
          <w:color w:val="auto"/>
        </w:rPr>
      </w:pPr>
    </w:p>
    <w:p>
      <w:pPr>
        <w:ind w:left="340" w:hanging="26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$748 million to $762 million, representing an annual revenue growth of 9% to 11% on a constant currency basis.</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diluted earnings per share of $2.54 to $2.64, representing an annual increase of 9% to 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85"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ExlService Holdings, Inc. will host a conference call on Thursday, July 27, 2017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8" w:lineRule="exact"/>
        <w:rPr>
          <w:sz w:val="20"/>
          <w:szCs w:val="20"/>
          <w:color w:val="auto"/>
        </w:rPr>
      </w:pPr>
    </w:p>
    <w:p>
      <w:pPr>
        <w:jc w:val="both"/>
        <w:ind w:right="20"/>
        <w:spacing w:after="0" w:line="424"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at least twelve months.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 xml:space="preserve">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26,000 professionals in locations throughout the United States, Europe, Asia (primarily India and Philippines), South America, Australia and South Africa. For more information, visit </w:t>
      </w:r>
      <w:r>
        <w:rPr>
          <w:rFonts w:ascii="Arial" w:cs="Arial" w:eastAsia="Arial" w:hAnsi="Arial"/>
          <w:sz w:val="18"/>
          <w:szCs w:val="18"/>
          <w:u w:val="single" w:color="auto"/>
          <w:color w:val="0000FF"/>
        </w:rPr>
        <w:t>www.exlservice.com.</w:t>
      </w:r>
    </w:p>
    <w:p>
      <w:pPr>
        <w:spacing w:after="0" w:line="270" w:lineRule="exact"/>
        <w:rPr>
          <w:sz w:val="20"/>
          <w:szCs w:val="20"/>
          <w:color w:val="auto"/>
        </w:rPr>
      </w:pPr>
    </w:p>
    <w:p>
      <w:pPr>
        <w:jc w:val="both"/>
        <w:spacing w:after="0" w:line="320"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w:t>
      </w:r>
    </w:p>
    <w:p>
      <w:pPr>
        <w:sectPr>
          <w:pgSz w:w="11900" w:h="16838" w:orient="portrait"/>
          <w:cols w:equalWidth="0" w:num="1">
            <w:col w:w="11420"/>
          </w:cols>
          <w:pgMar w:left="240" w:top="800" w:right="239" w:bottom="1440" w:gutter="0" w:footer="0" w:header="0"/>
        </w:sectPr>
      </w:pPr>
    </w:p>
    <w:bookmarkStart w:id="7" w:name="page8"/>
    <w:bookmarkEnd w:id="7"/>
    <w:p>
      <w:pPr>
        <w:jc w:val="both"/>
        <w:spacing w:after="0" w:line="349" w:lineRule="auto"/>
        <w:rPr>
          <w:sz w:val="20"/>
          <w:szCs w:val="20"/>
          <w:color w:val="auto"/>
        </w:rPr>
      </w:pPr>
      <w:r>
        <w:rPr>
          <w:rFonts w:ascii="Arial" w:cs="Arial" w:eastAsia="Arial" w:hAnsi="Arial"/>
          <w:sz w:val="16"/>
          <w:szCs w:val="16"/>
          <w:i w:val="1"/>
          <w:iCs w:val="1"/>
          <w:color w:val="auto"/>
        </w:rPr>
        <w:t>from those in the forward-looking statements. These factors are discussed in more detail in EXL’s filings with the Securities and Exchange Commission, including EXL’s Annual Report on Form 10-K for the year ended December 31, 2016.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719"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0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189,057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337,514</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125,449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112,026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245,568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220,405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63,608</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58,452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117,109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9,637</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47,479</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42,216</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94,491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84,421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32,688</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2,639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6,127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43,098</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7,008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20,378</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Weighted-average number of shares used in computing earnings per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33,819,320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33,621,444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33,833,153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33,500,736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34,993,226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34,510,400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35,051,767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34,431,028</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00"/>
          </w:cols>
          <w:pgMar w:left="660" w:top="796" w:right="6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64"/>
        </w:trPr>
        <w:tc>
          <w:tcPr>
            <w:tcW w:w="7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147,915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123,798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398,600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378,824</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63,978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46,973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32,075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11,661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14,189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40,845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116,033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124,231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167,509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174,350</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36,252,428 shares issued and 33,691,731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80"/>
              <w:spacing w:after="0"/>
              <w:rPr>
                <w:sz w:val="20"/>
                <w:szCs w:val="20"/>
                <w:color w:val="auto"/>
              </w:rPr>
            </w:pPr>
            <w:r>
              <w:rPr>
                <w:rFonts w:ascii="Arial" w:cs="Arial" w:eastAsia="Arial" w:hAnsi="Arial"/>
                <w:sz w:val="16"/>
                <w:szCs w:val="16"/>
                <w:color w:val="auto"/>
                <w:w w:val="90"/>
              </w:rPr>
              <w:t>outstanding as of June 30, 2017 and 35,699,819 shares issued and 33,628,109 shares outstanding as of December</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80"/>
              <w:spacing w:after="0"/>
              <w:rPr>
                <w:sz w:val="20"/>
                <w:szCs w:val="20"/>
                <w:color w:val="auto"/>
              </w:rPr>
            </w:pPr>
            <w:r>
              <w:rPr>
                <w:rFonts w:ascii="Arial" w:cs="Arial" w:eastAsia="Arial" w:hAnsi="Arial"/>
                <w:sz w:val="16"/>
                <w:szCs w:val="16"/>
                <w:color w:val="auto"/>
              </w:rPr>
              <w:t>31, 2016</w:t>
            </w:r>
          </w:p>
        </w:tc>
        <w:tc>
          <w:tcPr>
            <w:tcW w:w="26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415,342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663,413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592,347</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Less: 2,560,697 shares as of June 30, 2017 and 2,071,710 shares as of December 31, 2016, held in treasury, at cost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579,719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531,985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579,922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532,178</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certain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non-GAAP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non-GAAP financial measures to determine variable compensation of its employees. EXL believes that it is unreasonably difficult to provide its earnings per share financial guidance in accordance with GAAP for a number of reasons, including, without limitation, EXL’s inability to predict its future stock-based compensation expense under ASC Topic 718, the amortization of intangibles associated with further acquisitions and the currency fluctuations. EXL also incurs significant non-cash charges for depreciation that may not be indicative of the Company’s ability to generate cash flow.</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EXL’s primary exchange rate exposure is with the Indian Rupee, the U.K. pound sterling and the Philippine Peso. The average exchange rate of the U.S. Dollar against the Indian Rupee decreased from 67.06 during the quarter ended June 30, 2016 to 64.45 during the quarter ended June 30, 2017, representing appreciation of 3.9%. The average exchange rate of the U.S. Dollar against the Philippine Peso increased from 46.90 during the quarter ended June 30, 2016 to 50.06 during the quarter ended June 30, 2017, representing a depreciation of 6.7%. The average exchange rate of the British Pound against the U.S. Dollar decreased from 1.42 during the quarter ended June 30, 2016 to 1.29 during the quarter ended June 30, 2017, representing a depreciation of 9.4%. This information is provided because EXL believes that it provides useful comparative incremental information to investors regarding EXL’s operating performance.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reconciliation of these non-GAAP financial measures from GAAP measures for the three months ended June 30, 2017 and 2016 and the three months ended March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7"/>
                <w:szCs w:val="17"/>
                <w:color w:val="auto"/>
              </w:rPr>
            </w:pPr>
          </w:p>
        </w:tc>
        <w:tc>
          <w:tcPr>
            <w:tcW w:w="176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47"/>
        </w:trPr>
        <w:tc>
          <w:tcPr>
            <w:tcW w:w="56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20,378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16,375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16,788</w:t>
            </w:r>
          </w:p>
        </w:tc>
        <w:tc>
          <w:tcPr>
            <w:tcW w:w="0" w:type="dxa"/>
            <w:vAlign w:val="bottom"/>
          </w:tcPr>
          <w:p>
            <w:pPr>
              <w:spacing w:after="0"/>
              <w:rPr>
                <w:sz w:val="1"/>
                <w:szCs w:val="1"/>
                <w:color w:val="auto"/>
              </w:rPr>
            </w:pPr>
          </w:p>
        </w:tc>
      </w:tr>
      <w:tr>
        <w:trPr>
          <w:trHeight w:val="224"/>
        </w:trPr>
        <w:tc>
          <w:tcPr>
            <w:tcW w:w="5680" w:type="dxa"/>
            <w:vAlign w:val="bottom"/>
          </w:tcPr>
          <w:p>
            <w:pPr>
              <w:ind w:left="380"/>
              <w:spacing w:after="0"/>
              <w:rPr>
                <w:sz w:val="20"/>
                <w:szCs w:val="20"/>
                <w:color w:val="auto"/>
              </w:rPr>
            </w:pPr>
            <w:r>
              <w:rPr>
                <w:rFonts w:ascii="Arial" w:cs="Arial" w:eastAsia="Arial" w:hAnsi="Arial"/>
                <w:sz w:val="16"/>
                <w:szCs w:val="16"/>
                <w:color w:val="auto"/>
              </w:rPr>
              <w:t>add: Income tax expense</w:t>
            </w:r>
          </w:p>
        </w:tc>
        <w:tc>
          <w:tcPr>
            <w:tcW w:w="2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7,008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3,560</w:t>
            </w:r>
          </w:p>
        </w:tc>
        <w:tc>
          <w:tcPr>
            <w:tcW w:w="0" w:type="dxa"/>
            <w:vAlign w:val="bottom"/>
          </w:tcPr>
          <w:p>
            <w:pPr>
              <w:spacing w:after="0"/>
              <w:rPr>
                <w:sz w:val="1"/>
                <w:szCs w:val="1"/>
                <w:color w:val="auto"/>
              </w:rPr>
            </w:pPr>
          </w:p>
        </w:tc>
      </w:tr>
      <w:tr>
        <w:trPr>
          <w:trHeight w:val="47"/>
        </w:trPr>
        <w:tc>
          <w:tcPr>
            <w:tcW w:w="5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subtract: Other income and foreign exchange gain, net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16,129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16,236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15,902</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 (a)</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5,956</w:t>
            </w:r>
          </w:p>
        </w:tc>
        <w:tc>
          <w:tcPr>
            <w:tcW w:w="0" w:type="dxa"/>
            <w:vAlign w:val="bottom"/>
          </w:tcPr>
          <w:p>
            <w:pPr>
              <w:spacing w:after="0"/>
              <w:rPr>
                <w:sz w:val="1"/>
                <w:szCs w:val="1"/>
                <w:color w:val="auto"/>
              </w:rPr>
            </w:pPr>
          </w:p>
        </w:tc>
      </w:tr>
      <w:tr>
        <w:trPr>
          <w:trHeight w:val="224"/>
        </w:trPr>
        <w:tc>
          <w:tcPr>
            <w:tcW w:w="568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 (b)</w:t>
            </w:r>
          </w:p>
        </w:tc>
        <w:tc>
          <w:tcPr>
            <w:tcW w:w="2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47"/>
        </w:trPr>
        <w:tc>
          <w:tcPr>
            <w:tcW w:w="56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25,356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13.7%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i w:val="1"/>
                <w:iCs w:val="1"/>
                <w:color w:val="auto"/>
              </w:rPr>
              <w:t>13.9%</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5,928</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30,873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28,956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31,284</w:t>
            </w:r>
          </w:p>
        </w:tc>
        <w:tc>
          <w:tcPr>
            <w:tcW w:w="0" w:type="dxa"/>
            <w:vAlign w:val="bottom"/>
          </w:tcPr>
          <w:p>
            <w:pPr>
              <w:spacing w:after="0"/>
              <w:rPr>
                <w:sz w:val="1"/>
                <w:szCs w:val="1"/>
                <w:color w:val="auto"/>
              </w:rPr>
            </w:pPr>
          </w:p>
        </w:tc>
      </w:tr>
      <w:tr>
        <w:trPr>
          <w:trHeight w:val="73"/>
        </w:trPr>
        <w:tc>
          <w:tcPr>
            <w:tcW w:w="56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revenues (Non-GAAP)</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17.1%</w:t>
            </w:r>
          </w:p>
        </w:tc>
        <w:tc>
          <w:tcPr>
            <w:tcW w:w="0" w:type="dxa"/>
            <w:vAlign w:val="bottom"/>
          </w:tcPr>
          <w:p>
            <w:pPr>
              <w:spacing w:after="0"/>
              <w:rPr>
                <w:sz w:val="1"/>
                <w:szCs w:val="1"/>
                <w:color w:val="auto"/>
              </w:rPr>
            </w:pPr>
          </w:p>
        </w:tc>
      </w:tr>
      <w:tr>
        <w:trPr>
          <w:trHeight w:val="33"/>
        </w:trPr>
        <w:tc>
          <w:tcPr>
            <w:tcW w:w="5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0" w:hanging="214"/>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 w:lineRule="exact"/>
        <w:rPr>
          <w:rFonts w:ascii="Arial" w:cs="Arial" w:eastAsia="Arial" w:hAnsi="Arial"/>
          <w:sz w:val="16"/>
          <w:szCs w:val="16"/>
          <w:color w:val="auto"/>
        </w:rPr>
      </w:pPr>
    </w:p>
    <w:p>
      <w:pPr>
        <w:ind w:left="620" w:hanging="234"/>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ectPr>
          <w:pgSz w:w="11900" w:h="16838" w:orient="portrait"/>
          <w:cols w:equalWidth="0" w:num="1">
            <w:col w:w="11420"/>
          </w:cols>
          <w:pgMar w:left="240" w:top="702" w:right="2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33"/>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47"/>
        </w:trPr>
        <w:tc>
          <w:tcPr>
            <w:tcW w:w="6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20,378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16,788</w:t>
            </w:r>
          </w:p>
        </w:tc>
        <w:tc>
          <w:tcPr>
            <w:tcW w:w="0" w:type="dxa"/>
            <w:vAlign w:val="bottom"/>
          </w:tcPr>
          <w:p>
            <w:pPr>
              <w:spacing w:after="0"/>
              <w:rPr>
                <w:sz w:val="1"/>
                <w:szCs w:val="1"/>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add: Stock-based compensation expense (a)</w:t>
            </w:r>
          </w:p>
        </w:tc>
        <w:tc>
          <w:tcPr>
            <w:tcW w:w="2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5,956</w:t>
            </w:r>
          </w:p>
        </w:tc>
        <w:tc>
          <w:tcPr>
            <w:tcW w:w="0" w:type="dxa"/>
            <w:vAlign w:val="bottom"/>
          </w:tcPr>
          <w:p>
            <w:pPr>
              <w:spacing w:after="0"/>
              <w:rPr>
                <w:sz w:val="1"/>
                <w:szCs w:val="1"/>
                <w:color w:val="auto"/>
              </w:rPr>
            </w:pPr>
          </w:p>
        </w:tc>
      </w:tr>
      <w:tr>
        <w:trPr>
          <w:trHeight w:val="47"/>
        </w:trPr>
        <w:tc>
          <w:tcPr>
            <w:tcW w:w="6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Amortization of acquisition-related intangibles (b)</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subtract: Tax impact on stock-based compensation expense (c)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47"/>
        </w:trPr>
        <w:tc>
          <w:tcPr>
            <w:tcW w:w="6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subtract: Changes in fair value of earn-out consideration (net of tax) (d)</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21,031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0.70</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0.55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0.60</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221" w:lineRule="exact"/>
        <w:rPr>
          <w:rFonts w:ascii="Arial" w:cs="Arial" w:eastAsia="Arial" w:hAnsi="Arial"/>
          <w:sz w:val="16"/>
          <w:szCs w:val="16"/>
          <w:color w:val="auto"/>
        </w:rPr>
      </w:pPr>
    </w:p>
    <w:p>
      <w:pPr>
        <w:ind w:firstLine="8"/>
        <w:spacing w:after="0" w:line="275"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impact include $1,624 and $2,057 during the three months ended June 30, 2017 and March 31, 2017 respectively, related to a discrete benefit recognized in income tax expense on adoption of ASU No. 2016-09, Compensation - Stock Compensation.</w:t>
      </w:r>
    </w:p>
    <w:p>
      <w:pPr>
        <w:spacing w:after="0" w:line="172"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change in fair value of earn-out consideration related to the RPM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98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2019-12-06T22:31:51Z</dcterms:created>
  <dcterms:modified xsi:type="dcterms:W3CDTF">2019-12-06T22:31:51Z</dcterms:modified>
</cp:coreProperties>
</file>