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7045960" cy="48215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482155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Jetley Vivek</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jc w:val="center"/>
        <w:ind w:right="246"/>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3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02/15/2023</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6" w:right="620" w:firstLine="6"/>
        <w:spacing w:after="0" w:line="239"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4" w:type="dxa"/>
        <w:tblCellMar>
          <w:top w:w="0" w:type="dxa"/>
          <w:left w:w="0" w:type="dxa"/>
          <w:bottom w:w="0" w:type="dxa"/>
          <w:right w:w="0" w:type="dxa"/>
        </w:tblCellMar>
      </w:tblPr>
      <w:tr>
        <w:trPr>
          <w:trHeight w:val="156"/>
        </w:trPr>
        <w:tc>
          <w:tcPr>
            <w:tcW w:w="24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654"/>
        <w:spacing w:after="0"/>
        <w:rPr>
          <w:sz w:val="20"/>
          <w:szCs w:val="20"/>
          <w:color w:val="auto"/>
        </w:rPr>
      </w:pPr>
      <w:r>
        <w:rPr>
          <w:rFonts w:ascii="Arial" w:cs="Arial" w:eastAsia="Arial" w:hAnsi="Arial"/>
          <w:sz w:val="17"/>
          <w:szCs w:val="17"/>
          <w:color w:val="0000FF"/>
        </w:rPr>
        <w:t>EVP and Head of Analytics</w:t>
      </w:r>
    </w:p>
    <w:p>
      <w:pPr>
        <w:spacing w:after="0" w:line="313" w:lineRule="exact"/>
        <w:rPr>
          <w:sz w:val="24"/>
          <w:szCs w:val="24"/>
          <w:color w:val="auto"/>
        </w:rPr>
      </w:pPr>
    </w:p>
    <w:p>
      <w:pPr>
        <w:sectPr>
          <w:pgSz w:w="11900" w:h="16838" w:orient="portrait"/>
          <w:cols w:equalWidth="0" w:num="3">
            <w:col w:w="3180" w:space="720"/>
            <w:col w:w="3106" w:space="720"/>
            <w:col w:w="3354"/>
          </w:cols>
          <w:pgMar w:left="460" w:top="222" w:right="35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60"/>
              <w:spacing w:after="0"/>
              <w:rPr>
                <w:sz w:val="20"/>
                <w:szCs w:val="20"/>
                <w:color w:val="auto"/>
              </w:rPr>
            </w:pPr>
            <w:r>
              <w:rPr>
                <w:rFonts w:ascii="Arial" w:cs="Arial" w:eastAsia="Arial" w:hAnsi="Arial"/>
                <w:sz w:val="17"/>
                <w:szCs w:val="17"/>
                <w:color w:val="0000FF"/>
              </w:rPr>
              <w:t>NY</w:t>
            </w:r>
          </w:p>
        </w:tc>
        <w:tc>
          <w:tcPr>
            <w:tcW w:w="1600" w:type="dxa"/>
            <w:vAlign w:val="bottom"/>
          </w:tcPr>
          <w:p>
            <w:pPr>
              <w:ind w:left="420"/>
              <w:spacing w:after="0"/>
              <w:rPr>
                <w:sz w:val="20"/>
                <w:szCs w:val="20"/>
                <w:color w:val="auto"/>
              </w:rPr>
            </w:pPr>
            <w:r>
              <w:rPr>
                <w:rFonts w:ascii="Arial" w:cs="Arial" w:eastAsia="Arial" w:hAnsi="Arial"/>
                <w:sz w:val="17"/>
                <w:szCs w:val="17"/>
                <w:color w:val="0000FF"/>
              </w:rPr>
              <w:t>10022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1"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02" w:lineRule="exact"/>
        <w:rPr>
          <w:sz w:val="24"/>
          <w:szCs w:val="24"/>
          <w:color w:val="auto"/>
        </w:rPr>
      </w:pPr>
    </w:p>
    <w:p>
      <w:pPr>
        <w:sectPr>
          <w:pgSz w:w="11900" w:h="16838" w:orient="portrait"/>
          <w:cols w:equalWidth="0" w:num="2">
            <w:col w:w="3740" w:space="160"/>
            <w:col w:w="718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52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5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3"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1"/>
                <w:szCs w:val="11"/>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jc w:val="right"/>
              <w:ind w:right="243"/>
              <w:spacing w:after="0"/>
              <w:rPr>
                <w:sz w:val="20"/>
                <w:szCs w:val="20"/>
                <w:color w:val="auto"/>
              </w:rPr>
            </w:pPr>
            <w:r>
              <w:rPr>
                <w:rFonts w:ascii="Arial" w:cs="Arial" w:eastAsia="Arial" w:hAnsi="Arial"/>
                <w:sz w:val="11"/>
                <w:szCs w:val="11"/>
                <w:color w:val="008000"/>
              </w:rPr>
              <w:t>(2)</w:t>
            </w:r>
          </w:p>
        </w:tc>
        <w:tc>
          <w:tcPr>
            <w:tcW w:w="680" w:type="dxa"/>
            <w:vAlign w:val="bottom"/>
          </w:tcPr>
          <w:p>
            <w:pPr>
              <w:ind w:left="140"/>
              <w:spacing w:after="0" w:line="143" w:lineRule="exact"/>
              <w:rPr>
                <w:sz w:val="20"/>
                <w:szCs w:val="20"/>
                <w:color w:val="auto"/>
              </w:rPr>
            </w:pPr>
            <w:r>
              <w:rPr>
                <w:rFonts w:ascii="Arial" w:cs="Arial" w:eastAsia="Arial" w:hAnsi="Arial"/>
                <w:sz w:val="13"/>
                <w:szCs w:val="13"/>
                <w:color w:val="0000FF"/>
              </w:rPr>
              <w:t>Stock,</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3,520</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80"/>
              <w:spacing w:after="0" w:line="143" w:lineRule="exact"/>
              <w:rPr>
                <w:sz w:val="20"/>
                <w:szCs w:val="20"/>
                <w:color w:val="auto"/>
              </w:rPr>
            </w:pPr>
            <w:r>
              <w:rPr>
                <w:rFonts w:ascii="Arial" w:cs="Arial" w:eastAsia="Arial" w:hAnsi="Arial"/>
                <w:sz w:val="13"/>
                <w:szCs w:val="13"/>
                <w:color w:val="0000FF"/>
              </w:rPr>
              <w:t>02/15/2023</w:t>
            </w:r>
          </w:p>
        </w:tc>
        <w:tc>
          <w:tcPr>
            <w:tcW w:w="1100" w:type="dxa"/>
            <w:vAlign w:val="bottom"/>
          </w:tcPr>
          <w:p>
            <w:pPr>
              <w:spacing w:after="0"/>
              <w:rPr>
                <w:sz w:val="12"/>
                <w:szCs w:val="12"/>
                <w:color w:val="auto"/>
              </w:rPr>
            </w:pPr>
          </w:p>
        </w:tc>
        <w:tc>
          <w:tcPr>
            <w:tcW w:w="800" w:type="dxa"/>
            <w:vAlign w:val="bottom"/>
          </w:tcPr>
          <w:p>
            <w:pPr>
              <w:ind w:left="180"/>
              <w:spacing w:after="0" w:line="143" w:lineRule="exact"/>
              <w:rPr>
                <w:sz w:val="20"/>
                <w:szCs w:val="20"/>
                <w:color w:val="auto"/>
              </w:rPr>
            </w:pPr>
            <w:r>
              <w:rPr>
                <w:rFonts w:ascii="Arial" w:cs="Arial" w:eastAsia="Arial" w:hAnsi="Arial"/>
                <w:sz w:val="13"/>
                <w:szCs w:val="13"/>
                <w:color w:val="0000FF"/>
              </w:rPr>
              <w:t>A</w:t>
            </w:r>
          </w:p>
        </w:tc>
        <w:tc>
          <w:tcPr>
            <w:tcW w:w="480" w:type="dxa"/>
            <w:vAlign w:val="bottom"/>
          </w:tcPr>
          <w:p>
            <w:pPr>
              <w:ind w:left="100"/>
              <w:spacing w:after="0" w:line="143" w:lineRule="exact"/>
              <w:rPr>
                <w:sz w:val="20"/>
                <w:szCs w:val="20"/>
                <w:color w:val="auto"/>
              </w:rPr>
            </w:pPr>
            <w:r>
              <w:rPr>
                <w:rFonts w:ascii="Arial" w:cs="Arial" w:eastAsia="Arial" w:hAnsi="Arial"/>
                <w:sz w:val="13"/>
                <w:szCs w:val="13"/>
                <w:color w:val="0000FF"/>
              </w:rPr>
              <w:t>3,520</w:t>
            </w:r>
          </w:p>
        </w:tc>
        <w:tc>
          <w:tcPr>
            <w:tcW w:w="2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Arial" w:cs="Arial" w:eastAsia="Arial" w:hAnsi="Arial"/>
                <w:sz w:val="13"/>
                <w:szCs w:val="13"/>
                <w:color w:val="0000FF"/>
              </w:rPr>
              <w:t>par value</w:t>
            </w: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tcPr>
          <w:p>
            <w:pPr>
              <w:ind w:left="340"/>
              <w:spacing w:after="0" w:line="143" w:lineRule="exact"/>
              <w:rPr>
                <w:sz w:val="20"/>
                <w:szCs w:val="20"/>
                <w:color w:val="auto"/>
              </w:rPr>
            </w:pPr>
            <w:r>
              <w:rPr>
                <w:rFonts w:ascii="Arial" w:cs="Arial" w:eastAsia="Arial" w:hAnsi="Arial"/>
                <w:sz w:val="13"/>
                <w:szCs w:val="13"/>
                <w:color w:val="0000FF"/>
              </w:rPr>
              <w:t>3,520</w:t>
            </w:r>
          </w:p>
        </w:tc>
        <w:tc>
          <w:tcPr>
            <w:tcW w:w="740" w:type="dxa"/>
            <w:vAlign w:val="bottom"/>
          </w:tcPr>
          <w:p>
            <w:pPr>
              <w:ind w:left="320"/>
              <w:spacing w:after="0" w:line="143"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40"/>
              <w:spacing w:after="0" w:line="143" w:lineRule="exact"/>
              <w:rPr>
                <w:sz w:val="20"/>
                <w:szCs w:val="20"/>
                <w:color w:val="auto"/>
              </w:rPr>
            </w:pPr>
            <w:r>
              <w:rPr>
                <w:rFonts w:ascii="Arial" w:cs="Arial" w:eastAsia="Arial" w:hAnsi="Arial"/>
                <w:sz w:val="13"/>
                <w:szCs w:val="13"/>
                <w:color w:val="0000FF"/>
              </w:rPr>
              <w:t>$0.001</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the Company's common stock upon settlement.</w:t>
      </w:r>
    </w:p>
    <w:p>
      <w:pPr>
        <w:spacing w:after="0" w:line="45" w:lineRule="exact"/>
        <w:rPr>
          <w:rFonts w:ascii="Arial" w:cs="Arial" w:eastAsia="Arial" w:hAnsi="Arial"/>
          <w:sz w:val="13"/>
          <w:szCs w:val="13"/>
          <w:color w:val="008000"/>
        </w:rPr>
      </w:pPr>
    </w:p>
    <w:p>
      <w:pPr>
        <w:ind w:left="40" w:right="46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restricted stock units will vest in four equal annual installments, beginning on February 15, 2024. Vesting will be accelerated upon certain termination of employment events and upon a "Change in Control" (as defined in the ExlService Holdings, Inc. 2018 Omnibus Incentive Plan).</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right="480"/>
        <w:spacing w:after="0" w:line="241" w:lineRule="auto"/>
        <w:rPr>
          <w:sz w:val="20"/>
          <w:szCs w:val="20"/>
          <w:color w:val="auto"/>
        </w:rPr>
      </w:pPr>
      <w:r>
        <w:rPr>
          <w:rFonts w:ascii="Arial" w:cs="Arial" w:eastAsia="Arial" w:hAnsi="Arial"/>
          <w:sz w:val="13"/>
          <w:szCs w:val="13"/>
          <w:color w:val="008000"/>
        </w:rPr>
        <w:t>Note: On February 15, 2023 the reporting person was also granted performance-based restricted stock units that are subject to material conditions beyond the reporting person's control, and, therefore, not considered derivative securities for purposes of Section 16 of the Securities Exchange Act of 1934, as amended, and excluded from this report. Mr. Oseni is the Company's Head of Administration and Accounts.</w:t>
      </w:r>
    </w:p>
    <w:p>
      <w:pPr>
        <w:ind w:left="6600"/>
        <w:spacing w:after="0" w:line="181"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2"/>
          <w:szCs w:val="32"/>
          <w:color w:val="0000FF"/>
          <w:vertAlign w:val="subscript"/>
        </w:rPr>
        <w:t>02/17/2023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23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38"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9812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2023-02-17T17:05:10Z</dcterms:created>
  <dcterms:modified xsi:type="dcterms:W3CDTF">2023-02-17T17:05:10Z</dcterms:modified>
</cp:coreProperties>
</file>