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59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594"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20" w:type="dxa"/>
            <w:vAlign w:val="bottom"/>
            <w:gridSpan w:val="10"/>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80" w:type="dxa"/>
            <w:vAlign w:val="bottom"/>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20" w:type="dxa"/>
            <w:vAlign w:val="bottom"/>
            <w:gridSpan w:val="10"/>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6"/>
          </w:tcPr>
          <w:p>
            <w:pPr>
              <w:jc w:val="center"/>
              <w:ind w:left="9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10/28/2013</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8"/>
                <w:szCs w:val="18"/>
                <w:color w:val="0000FF"/>
                <w:w w:val="86"/>
              </w:rPr>
              <w:t>400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580" w:type="dxa"/>
            <w:vAlign w:val="bottom"/>
            <w:tcBorders>
              <w:bottom w:val="single" w:sz="8" w:color="2C2C2C"/>
            </w:tcBorders>
          </w:tcPr>
          <w:p>
            <w:pPr>
              <w:jc w:val="center"/>
              <w:ind w:left="4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8.75</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12"/>
              <w:spacing w:after="0"/>
              <w:rPr>
                <w:sz w:val="20"/>
                <w:szCs w:val="20"/>
                <w:color w:val="auto"/>
              </w:rPr>
            </w:pPr>
            <w:r>
              <w:rPr>
                <w:rFonts w:ascii="Arial" w:cs="Arial" w:eastAsia="Arial" w:hAnsi="Arial"/>
                <w:sz w:val="18"/>
                <w:szCs w:val="18"/>
                <w:color w:val="0000FF"/>
                <w:w w:val="86"/>
              </w:rPr>
              <w:t>400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10/28/2013</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8"/>
                <w:szCs w:val="18"/>
                <w:color w:val="0000FF"/>
                <w:w w:val="86"/>
              </w:rPr>
              <w:t>400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580" w:type="dxa"/>
            <w:vAlign w:val="bottom"/>
            <w:tcBorders>
              <w:bottom w:val="single" w:sz="8" w:color="2C2C2C"/>
            </w:tcBorders>
          </w:tcPr>
          <w:p>
            <w:pPr>
              <w:jc w:val="center"/>
              <w:ind w:left="46"/>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32"/>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10/29/2013</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(3)</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8"/>
                <w:szCs w:val="18"/>
                <w:color w:val="0000FF"/>
                <w:w w:val="88"/>
              </w:rPr>
              <w:t>2,400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580" w:type="dxa"/>
            <w:vAlign w:val="bottom"/>
            <w:tcBorders>
              <w:bottom w:val="single" w:sz="8" w:color="2C2C2C"/>
            </w:tcBorders>
          </w:tcPr>
          <w:p>
            <w:pPr>
              <w:jc w:val="center"/>
              <w:ind w:left="4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8.75</w:t>
            </w:r>
          </w:p>
        </w:tc>
        <w:tc>
          <w:tcPr>
            <w:tcW w:w="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35"/>
              <w:spacing w:after="0"/>
              <w:rPr>
                <w:sz w:val="20"/>
                <w:szCs w:val="20"/>
                <w:color w:val="auto"/>
              </w:rPr>
            </w:pPr>
            <w:r>
              <w:rPr>
                <w:rFonts w:ascii="Arial" w:cs="Arial" w:eastAsia="Arial" w:hAnsi="Arial"/>
                <w:sz w:val="18"/>
                <w:szCs w:val="18"/>
                <w:color w:val="0000FF"/>
                <w:w w:val="88"/>
              </w:rPr>
              <w:t>2,400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10/29/2013</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8"/>
                <w:szCs w:val="18"/>
                <w:color w:val="0000FF"/>
                <w:w w:val="88"/>
              </w:rPr>
              <w:t>2,400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31.025</w:t>
            </w:r>
            <w:r>
              <w:rPr>
                <w:rFonts w:ascii="Arial" w:cs="Arial" w:eastAsia="Arial" w:hAnsi="Arial"/>
                <w:sz w:val="22"/>
                <w:szCs w:val="22"/>
                <w:color w:val="008000"/>
                <w:w w:val="84"/>
                <w:vertAlign w:val="superscript"/>
              </w:rPr>
              <w:t>(4)</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32"/>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jc w:val="center"/>
              <w:ind w:left="9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0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87"/>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jc w:val="right"/>
              <w:ind w:right="106"/>
              <w:spacing w:after="0"/>
              <w:rPr>
                <w:sz w:val="20"/>
                <w:szCs w:val="20"/>
                <w:color w:val="auto"/>
              </w:rPr>
            </w:pPr>
            <w:r>
              <w:rPr>
                <w:rFonts w:ascii="Arial" w:cs="Arial" w:eastAsia="Arial" w:hAnsi="Arial"/>
                <w:sz w:val="18"/>
                <w:szCs w:val="18"/>
                <w:color w:val="0000FF"/>
              </w:rPr>
              <w:t>400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10/28/2013</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right"/>
              <w:ind w:right="98"/>
              <w:spacing w:after="0" w:line="149" w:lineRule="exact"/>
              <w:rPr>
                <w:sz w:val="20"/>
                <w:szCs w:val="20"/>
                <w:color w:val="auto"/>
              </w:rPr>
            </w:pPr>
            <w:r>
              <w:rPr>
                <w:rFonts w:ascii="Arial" w:cs="Arial" w:eastAsia="Arial" w:hAnsi="Arial"/>
                <w:sz w:val="14"/>
                <w:szCs w:val="14"/>
                <w:color w:val="0000FF"/>
              </w:rPr>
              <w:t>400</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02/10/2019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6"/>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line="149" w:lineRule="exact"/>
              <w:rPr>
                <w:sz w:val="20"/>
                <w:szCs w:val="20"/>
                <w:color w:val="auto"/>
              </w:rPr>
            </w:pPr>
            <w:r>
              <w:rPr>
                <w:rFonts w:ascii="Arial" w:cs="Arial" w:eastAsia="Arial" w:hAnsi="Arial"/>
                <w:sz w:val="14"/>
                <w:szCs w:val="14"/>
                <w:color w:val="0000FF"/>
                <w:w w:val="88"/>
              </w:rPr>
              <w:t>46,065</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81"/>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87"/>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(3)</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jc w:val="right"/>
              <w:ind w:right="46"/>
              <w:spacing w:after="0"/>
              <w:rPr>
                <w:sz w:val="20"/>
                <w:szCs w:val="20"/>
                <w:color w:val="auto"/>
              </w:rPr>
            </w:pPr>
            <w:r>
              <w:rPr>
                <w:rFonts w:ascii="Arial" w:cs="Arial" w:eastAsia="Arial" w:hAnsi="Arial"/>
                <w:sz w:val="18"/>
                <w:szCs w:val="18"/>
                <w:color w:val="0000FF"/>
                <w:w w:val="97"/>
              </w:rPr>
              <w:t>2,400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10/29/2013</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right"/>
              <w:ind w:right="38"/>
              <w:spacing w:after="0" w:line="149" w:lineRule="exact"/>
              <w:rPr>
                <w:sz w:val="20"/>
                <w:szCs w:val="20"/>
                <w:color w:val="auto"/>
              </w:rPr>
            </w:pPr>
            <w:r>
              <w:rPr>
                <w:rFonts w:ascii="Arial" w:cs="Arial" w:eastAsia="Arial" w:hAnsi="Arial"/>
                <w:sz w:val="14"/>
                <w:szCs w:val="14"/>
                <w:color w:val="0000FF"/>
                <w:w w:val="85"/>
              </w:rPr>
              <w:t>2,400</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02/10/2019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6"/>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line="149" w:lineRule="exact"/>
              <w:rPr>
                <w:sz w:val="20"/>
                <w:szCs w:val="20"/>
                <w:color w:val="auto"/>
              </w:rPr>
            </w:pPr>
            <w:r>
              <w:rPr>
                <w:rFonts w:ascii="Arial" w:cs="Arial" w:eastAsia="Arial" w:hAnsi="Arial"/>
                <w:sz w:val="14"/>
                <w:szCs w:val="14"/>
                <w:color w:val="0000FF"/>
                <w:w w:val="88"/>
              </w:rPr>
              <w:t>43,665</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81"/>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28, 2013 the reporting person exercised previously issued options to purchase an aggregate of 400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29, 2013 the reporting person exercised previously issued options to purchase an aggregate of 2,400 shares of common stock of ExlService Holdings, Inc.</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$31.00 to $31.12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43,665 of these options are currently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10/30/2013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2019-12-16T15:13:30Z</dcterms:created>
  <dcterms:modified xsi:type="dcterms:W3CDTF">2019-12-16T15:13:30Z</dcterms:modified>
</cp:coreProperties>
</file>