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Jetley Vivek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EVP and Head of Analytics</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1607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5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02/01/2021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jc w:val="right"/>
              <w:ind w:right="112"/>
              <w:spacing w:after="0"/>
              <w:rPr>
                <w:sz w:val="20"/>
                <w:szCs w:val="20"/>
                <w:color w:val="auto"/>
              </w:rPr>
            </w:pPr>
            <w:r>
              <w:rPr>
                <w:rFonts w:ascii="Arial" w:cs="Arial" w:eastAsia="Arial" w:hAnsi="Arial"/>
                <w:sz w:val="17"/>
                <w:szCs w:val="17"/>
                <w:color w:val="0000FF"/>
              </w:rPr>
              <w:t>2,223</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40,443</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5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02/01/2021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right"/>
              <w:ind w:right="192"/>
              <w:spacing w:after="0"/>
              <w:rPr>
                <w:sz w:val="20"/>
                <w:szCs w:val="20"/>
                <w:color w:val="auto"/>
              </w:rPr>
            </w:pPr>
            <w:r>
              <w:rPr>
                <w:rFonts w:ascii="Arial" w:cs="Arial" w:eastAsia="Arial" w:hAnsi="Arial"/>
                <w:sz w:val="17"/>
                <w:szCs w:val="17"/>
                <w:color w:val="0000FF"/>
              </w:rPr>
              <w:t>933</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76.68</w:t>
            </w:r>
            <w:r>
              <w:rPr>
                <w:rFonts w:ascii="Arial" w:cs="Arial" w:eastAsia="Arial" w:hAnsi="Arial"/>
                <w:sz w:val="22"/>
                <w:szCs w:val="22"/>
                <w:color w:val="008000"/>
                <w:vertAlign w:val="superscript"/>
              </w:rPr>
              <w:t>(2)</w:t>
            </w:r>
          </w:p>
        </w:tc>
        <w:tc>
          <w:tcPr>
            <w:tcW w:w="12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39,510</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22, 2018. Such shares of Common Stock were deemed earned on February 1, 2021 based on the Compensation Committee of the Board of Directors administering the award certifying the achievement of performance targets applicable to the PRSUs for the performance period ending on December 31, 2020.</w:t>
      </w:r>
    </w:p>
    <w:p>
      <w:pPr>
        <w:spacing w:after="0" w:line="8" w:lineRule="exact"/>
        <w:rPr>
          <w:rFonts w:ascii="Arial" w:cs="Arial" w:eastAsia="Arial" w:hAnsi="Arial"/>
          <w:sz w:val="12"/>
          <w:szCs w:val="12"/>
          <w:color w:val="008000"/>
        </w:rPr>
      </w:pPr>
    </w:p>
    <w:p>
      <w:pPr>
        <w:jc w:val="both"/>
        <w:ind w:left="40" w:right="24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Pursuant to the agreement governing the grant of the PRSUs and pursuant to the Company's 2015 Amendment and Restatement of the 2006 Omnibus Award Plan, pursuant to which such PRSUs were granted, the closing price of the Common Stock on the Nasdaq Global Select Market on the preceding day, January 29, 2021 in this case, is used for purposes of computing tax reporting and withholding.</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2021-02-03T16:28:54Z</dcterms:created>
  <dcterms:modified xsi:type="dcterms:W3CDTF">2021-02-03T16:28:54Z</dcterms:modified>
</cp:coreProperties>
</file>