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 PURSUANT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ind w:left="1800"/>
        <w:spacing w:after="0"/>
        <w:tabs>
          <w:tab w:leader="none" w:pos="53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b w:val="1"/>
          <w:bCs w:val="1"/>
          <w:color w:val="auto"/>
        </w:rPr>
        <w:t>June 9, 2008</w:t>
      </w:r>
    </w:p>
    <w:p>
      <w:pPr>
        <w:spacing w:after="0" w:line="200" w:lineRule="exact"/>
        <w:rPr>
          <w:sz w:val="24"/>
          <w:szCs w:val="24"/>
          <w:color w:val="auto"/>
        </w:rPr>
      </w:pPr>
    </w:p>
    <w:p>
      <w:pPr>
        <w:spacing w:after="0" w:line="227" w:lineRule="exact"/>
        <w:rPr>
          <w:sz w:val="24"/>
          <w:szCs w:val="24"/>
          <w:color w:val="auto"/>
        </w:rPr>
      </w:pPr>
    </w:p>
    <w:p>
      <w:pPr>
        <w:ind w:left="2280"/>
        <w:spacing w:after="0"/>
        <w:rPr>
          <w:sz w:val="20"/>
          <w:szCs w:val="20"/>
          <w:color w:val="auto"/>
        </w:rPr>
      </w:pPr>
      <w:r>
        <w:rPr>
          <w:rFonts w:ascii="Arial" w:cs="Arial" w:eastAsia="Arial" w:hAnsi="Arial"/>
          <w:sz w:val="24"/>
          <w:szCs w:val="24"/>
          <w:b w:val="1"/>
          <w:bCs w:val="1"/>
          <w:color w:val="auto"/>
        </w:rPr>
        <w:t>EXLSERVICE HOLDINGS, INC.</w:t>
      </w:r>
    </w:p>
    <w:p>
      <w:pPr>
        <w:spacing w:after="0" w:line="41"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(State or other jurisdiction of incorporation)</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001-33089</w:t>
            </w:r>
          </w:p>
        </w:tc>
        <w:tc>
          <w:tcPr>
            <w:tcW w:w="3840" w:type="dxa"/>
            <w:vAlign w:val="bottom"/>
          </w:tcPr>
          <w:p>
            <w:pPr>
              <w:jc w:val="right"/>
              <w:ind w:right="1372"/>
              <w:spacing w:after="0"/>
              <w:rPr>
                <w:sz w:val="20"/>
                <w:szCs w:val="20"/>
                <w:color w:val="auto"/>
              </w:rPr>
            </w:pPr>
            <w:r>
              <w:rPr>
                <w:rFonts w:ascii="Arial" w:cs="Arial" w:eastAsia="Arial" w:hAnsi="Arial"/>
                <w:sz w:val="18"/>
                <w:szCs w:val="18"/>
                <w:b w:val="1"/>
                <w:bCs w:val="1"/>
                <w:color w:val="auto"/>
              </w:rPr>
              <w:t>82-0572194</w:t>
            </w:r>
          </w:p>
        </w:tc>
      </w:tr>
      <w:tr>
        <w:trPr>
          <w:trHeight w:val="97"/>
        </w:trPr>
        <w:tc>
          <w:tcPr>
            <w:tcW w:w="428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r>
      <w:tr>
        <w:trPr>
          <w:trHeight w:val="216"/>
        </w:trPr>
        <w:tc>
          <w:tcPr>
            <w:tcW w:w="4280" w:type="dxa"/>
            <w:vAlign w:val="bottom"/>
          </w:tcPr>
          <w:p>
            <w:pPr>
              <w:jc w:val="center"/>
              <w:ind w:left="12"/>
              <w:spacing w:after="0"/>
              <w:rPr>
                <w:sz w:val="20"/>
                <w:szCs w:val="20"/>
                <w:color w:val="auto"/>
              </w:rPr>
            </w:pPr>
            <w:r>
              <w:rPr>
                <w:rFonts w:ascii="Arial" w:cs="Arial" w:eastAsia="Arial" w:hAnsi="Arial"/>
                <w:sz w:val="18"/>
                <w:szCs w:val="18"/>
                <w:color w:val="auto"/>
                <w:w w:val="90"/>
              </w:rPr>
              <w:t>(Commission File Number)</w:t>
            </w:r>
          </w:p>
        </w:tc>
        <w:tc>
          <w:tcPr>
            <w:tcW w:w="3840" w:type="dxa"/>
            <w:vAlign w:val="bottom"/>
          </w:tcPr>
          <w:p>
            <w:pPr>
              <w:jc w:val="center"/>
              <w:spacing w:after="0"/>
              <w:rPr>
                <w:sz w:val="20"/>
                <w:szCs w:val="20"/>
                <w:color w:val="auto"/>
              </w:rPr>
            </w:pPr>
            <w:r>
              <w:rPr>
                <w:rFonts w:ascii="Arial" w:cs="Arial" w:eastAsia="Arial" w:hAnsi="Arial"/>
                <w:sz w:val="18"/>
                <w:szCs w:val="18"/>
                <w:color w:val="auto"/>
                <w:w w:val="92"/>
              </w:rPr>
              <w:t>(I.R.S. Employer Identification No.)</w:t>
            </w:r>
          </w:p>
        </w:tc>
      </w:tr>
      <w:tr>
        <w:trPr>
          <w:trHeight w:val="533"/>
        </w:trPr>
        <w:tc>
          <w:tcPr>
            <w:tcW w:w="4280" w:type="dxa"/>
            <w:vAlign w:val="bottom"/>
          </w:tcPr>
          <w:p>
            <w:pPr>
              <w:jc w:val="center"/>
              <w:ind w:left="12"/>
              <w:spacing w:after="0"/>
              <w:rPr>
                <w:sz w:val="20"/>
                <w:szCs w:val="20"/>
                <w:color w:val="auto"/>
              </w:rPr>
            </w:pPr>
            <w:r>
              <w:rPr>
                <w:rFonts w:ascii="Arial" w:cs="Arial" w:eastAsia="Arial" w:hAnsi="Arial"/>
                <w:sz w:val="18"/>
                <w:szCs w:val="18"/>
                <w:b w:val="1"/>
                <w:bCs w:val="1"/>
                <w:color w:val="auto"/>
                <w:w w:val="87"/>
              </w:rPr>
              <w:t>350 Park Avenue</w:t>
            </w:r>
          </w:p>
        </w:tc>
        <w:tc>
          <w:tcPr>
            <w:tcW w:w="3840" w:type="dxa"/>
            <w:vAlign w:val="bottom"/>
          </w:tcPr>
          <w:p>
            <w:pPr>
              <w:spacing w:after="0"/>
              <w:rPr>
                <w:sz w:val="24"/>
                <w:szCs w:val="24"/>
                <w:color w:val="auto"/>
              </w:rPr>
            </w:pPr>
          </w:p>
        </w:tc>
      </w:tr>
      <w:tr>
        <w:trPr>
          <w:trHeight w:val="255"/>
        </w:trPr>
        <w:tc>
          <w:tcPr>
            <w:tcW w:w="4280" w:type="dxa"/>
            <w:vAlign w:val="bottom"/>
          </w:tcPr>
          <w:p>
            <w:pPr>
              <w:jc w:val="center"/>
              <w:ind w:left="12"/>
              <w:spacing w:after="0"/>
              <w:rPr>
                <w:sz w:val="20"/>
                <w:szCs w:val="20"/>
                <w:color w:val="auto"/>
              </w:rPr>
            </w:pPr>
            <w:r>
              <w:rPr>
                <w:rFonts w:ascii="Arial" w:cs="Arial" w:eastAsia="Arial" w:hAnsi="Arial"/>
                <w:sz w:val="18"/>
                <w:szCs w:val="18"/>
                <w:b w:val="1"/>
                <w:bCs w:val="1"/>
                <w:color w:val="auto"/>
                <w:w w:val="90"/>
              </w:rPr>
              <w:t>New York, New York</w:t>
            </w:r>
          </w:p>
        </w:tc>
        <w:tc>
          <w:tcPr>
            <w:tcW w:w="3840" w:type="dxa"/>
            <w:vAlign w:val="bottom"/>
          </w:tcPr>
          <w:p>
            <w:pPr>
              <w:jc w:val="right"/>
              <w:ind w:right="1572"/>
              <w:spacing w:after="0"/>
              <w:rPr>
                <w:sz w:val="20"/>
                <w:szCs w:val="20"/>
                <w:color w:val="auto"/>
              </w:rPr>
            </w:pPr>
            <w:r>
              <w:rPr>
                <w:rFonts w:ascii="Arial" w:cs="Arial" w:eastAsia="Arial" w:hAnsi="Arial"/>
                <w:sz w:val="18"/>
                <w:szCs w:val="18"/>
                <w:b w:val="1"/>
                <w:bCs w:val="1"/>
                <w:color w:val="auto"/>
              </w:rPr>
              <w:t>10022</w:t>
            </w:r>
          </w:p>
        </w:tc>
      </w:tr>
      <w:tr>
        <w:trPr>
          <w:trHeight w:val="97"/>
        </w:trPr>
        <w:tc>
          <w:tcPr>
            <w:tcW w:w="428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r>
      <w:tr>
        <w:trPr>
          <w:trHeight w:val="216"/>
        </w:trPr>
        <w:tc>
          <w:tcPr>
            <w:tcW w:w="4280" w:type="dxa"/>
            <w:vAlign w:val="bottom"/>
          </w:tcPr>
          <w:p>
            <w:pPr>
              <w:jc w:val="center"/>
              <w:ind w:left="12"/>
              <w:spacing w:after="0"/>
              <w:rPr>
                <w:sz w:val="20"/>
                <w:szCs w:val="20"/>
                <w:color w:val="auto"/>
              </w:rPr>
            </w:pPr>
            <w:r>
              <w:rPr>
                <w:rFonts w:ascii="Arial" w:cs="Arial" w:eastAsia="Arial" w:hAnsi="Arial"/>
                <w:sz w:val="18"/>
                <w:szCs w:val="18"/>
                <w:color w:val="auto"/>
                <w:w w:val="90"/>
              </w:rPr>
              <w:t>(Address of principal executive offices)</w:t>
            </w:r>
          </w:p>
        </w:tc>
        <w:tc>
          <w:tcPr>
            <w:tcW w:w="3840" w:type="dxa"/>
            <w:vAlign w:val="bottom"/>
          </w:tcPr>
          <w:p>
            <w:pPr>
              <w:jc w:val="center"/>
              <w:spacing w:after="0"/>
              <w:rPr>
                <w:sz w:val="20"/>
                <w:szCs w:val="20"/>
                <w:color w:val="auto"/>
              </w:rPr>
            </w:pPr>
            <w:r>
              <w:rPr>
                <w:rFonts w:ascii="Arial" w:cs="Arial" w:eastAsia="Arial" w:hAnsi="Arial"/>
                <w:sz w:val="18"/>
                <w:szCs w:val="18"/>
                <w:color w:val="auto"/>
                <w:w w:val="89"/>
              </w:rPr>
              <w:t>(Zip Code)</w:t>
            </w:r>
          </w:p>
        </w:tc>
      </w:tr>
    </w:tbl>
    <w:p>
      <w:pPr>
        <w:spacing w:after="0" w:line="29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jc w:val="both"/>
        <w:ind w:right="2099" w:firstLine="402"/>
        <w:spacing w:after="0" w:line="33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109"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17" w:lineRule="exact"/>
        <w:rPr>
          <w:rFonts w:ascii="Arial" w:cs="Arial" w:eastAsia="Arial" w:hAnsi="Arial"/>
          <w:sz w:val="22"/>
          <w:szCs w:val="22"/>
          <w:color w:val="auto"/>
        </w:rPr>
      </w:pPr>
    </w:p>
    <w:p>
      <w:pPr>
        <w:ind w:left="340" w:right="2119" w:hanging="8"/>
        <w:spacing w:after="0" w:line="228" w:lineRule="auto"/>
        <w:tabs>
          <w:tab w:leader="none" w:pos="583"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Arial" w:cs="Arial" w:eastAsia="Arial" w:hAnsi="Arial"/>
          <w:sz w:val="22"/>
          <w:szCs w:val="22"/>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5"/>
          <w:szCs w:val="15"/>
          <w:color w:val="auto"/>
        </w:rPr>
        <w:t>Pre-commencement communications pursuant to Rule 13e-4(c) under the Exchange Act (17 CFR 240.13e-</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514540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1149350</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31" w:lineRule="exact"/>
        <w:rPr>
          <w:sz w:val="20"/>
          <w:szCs w:val="20"/>
          <w:color w:val="auto"/>
        </w:rPr>
      </w:pPr>
    </w:p>
    <w:p>
      <w:pPr>
        <w:jc w:val="both"/>
        <w:ind w:right="2099"/>
        <w:spacing w:after="0" w:line="253" w:lineRule="auto"/>
        <w:rPr>
          <w:sz w:val="20"/>
          <w:szCs w:val="20"/>
          <w:color w:val="auto"/>
        </w:rPr>
      </w:pPr>
      <w:r>
        <w:rPr>
          <w:rFonts w:ascii="Arial" w:cs="Arial" w:eastAsia="Arial" w:hAnsi="Arial"/>
          <w:sz w:val="18"/>
          <w:szCs w:val="18"/>
          <w:color w:val="auto"/>
        </w:rPr>
        <w:t>ExlService Holdings, Inc. (Nasdaq: EXLS) (the “Company”), a leading provider of transformation and outsourcing solutions, announced that one of its major clients, Norwich Union Insurance, has communicated its commencement of a significant transformation program. As part of the program, Norwich Union expects to create seven new operations centers of excellence in the United Kingdom and two new operations centers of excellence in India by the end of 2010. Norwich Union also confirmed its long-term commitment to a number of other operations centers, including the operations center with the Company in Noida, India. The Company’s contract with Norwich Union remains in effect until July 2009 and the Company maintains an excellent relationship with Norwich Union.</w:t>
      </w:r>
    </w:p>
    <w:p>
      <w:pPr>
        <w:spacing w:after="0" w:line="226"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Another of the Company’s clients, Orange UK, a United Kingdom-based wireless service provider, announced a plan to focus on enhancing the quality of customer service and invest in technology to realize its strategic objectives. As part of the plan, Orange UK expects to transfer back to the United Kingdom a number of operations being provided by vendors located overseas. Orange UK has confirmed that the Company’s India-based operations will continue to be an integral part of its customer service delivery strategy. While there may be some changes to the processes that the Company provides, Orange UK has confirmed that there is no planned reduction in the overall scale of the relationship.</w:t>
      </w:r>
    </w:p>
    <w:p>
      <w:pPr>
        <w:spacing w:after="0" w:line="199"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i w:val="1"/>
          <w:iCs w:val="1"/>
          <w:color w:val="auto"/>
        </w:rPr>
        <w:t>This Report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often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Annual Report on Form 10-K for the year ended December 31, 2007. These risks could cause actual results to differ materially from those implied by forward-looking statements in this release.</w:t>
      </w:r>
    </w:p>
    <w:p>
      <w:pPr>
        <w:spacing w:after="0" w:line="205"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You should keep in mind that any forward-looking statement made herein, or elsewhere, speaks only as of the date on which it is made. New risks and uncertainties come up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2" w:name="page3"/>
    <w:bookmarkEnd w:id="2"/>
    <w:p>
      <w:pPr>
        <w:jc w:val="both"/>
        <w:ind w:right="2119"/>
        <w:spacing w:after="0" w:line="259" w:lineRule="auto"/>
        <w:rPr>
          <w:sz w:val="20"/>
          <w:szCs w:val="20"/>
          <w:color w:val="auto"/>
        </w:rPr>
      </w:pPr>
      <w:r>
        <w:rPr>
          <w:rFonts w:ascii="Arial" w:cs="Arial" w:eastAsia="Arial" w:hAnsi="Arial"/>
          <w:sz w:val="18"/>
          <w:szCs w:val="18"/>
          <w:i w:val="1"/>
          <w:iCs w:val="1"/>
          <w:color w:val="auto"/>
        </w:rPr>
        <w:t>time to time, and it is impossible to predict these events or how they may affect the Compa ny. The Company has no obligation to update any forward-looking statements after the date hereof, except as required by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915670</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3" w:name="page4"/>
    <w:bookmarkEnd w:id="3"/>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1297"/>
        <w:spacing w:after="0" w:line="33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on Form 8-K to be signed on its behalf by the undersigned, thereunto duly authorized.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Dated: June 9, 2008</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Amit Shashank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10795</wp:posOffset>
            </wp:positionV>
            <wp:extent cx="2160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 Amit Shashank</w:t>
      </w:r>
    </w:p>
    <w:p>
      <w:pPr>
        <w:spacing w:after="0" w:line="15" w:lineRule="exact"/>
        <w:rPr>
          <w:sz w:val="20"/>
          <w:szCs w:val="20"/>
          <w:color w:val="auto"/>
        </w:rPr>
      </w:pPr>
    </w:p>
    <w:p>
      <w:pPr>
        <w:ind w:left="4700"/>
        <w:spacing w:after="0"/>
        <w:tabs>
          <w:tab w:leader="none" w:pos="5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sectPr>
      <w:pgSz w:w="11900" w:h="16838" w:orient="portrait"/>
      <w:cols w:equalWidth="0" w:num="1">
        <w:col w:w="10219"/>
      </w:cols>
      <w:pgMar w:left="240" w:top="7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2019-12-11T15:57:40Z</dcterms:created>
  <dcterms:modified xsi:type="dcterms:W3CDTF">2019-12-11T15:57:40Z</dcterms:modified>
</cp:coreProperties>
</file>