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Shashank Amit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02/04/2011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6"/>
          <w:szCs w:val="16"/>
          <w:color w:val="0000FF"/>
        </w:rPr>
        <w:t>VP &amp; Gen. Counsel/Corp. Sec'y</w:t>
      </w:r>
    </w:p>
    <w:p>
      <w:pPr>
        <w:spacing w:after="0" w:line="338" w:lineRule="exact"/>
        <w:rPr>
          <w:sz w:val="24"/>
          <w:szCs w:val="24"/>
          <w:color w:val="auto"/>
        </w:rPr>
      </w:pPr>
    </w:p>
    <w:p>
      <w:pPr>
        <w:sectPr>
          <w:pgSz w:w="11900" w:h="16838" w:orient="portrait"/>
          <w:cols w:equalWidth="0" w:num="3">
            <w:col w:w="3360" w:space="720"/>
            <w:col w:w="3257" w:space="720"/>
            <w:col w:w="3423"/>
          </w:cols>
          <w:pgMar w:left="240" w:top="226" w:right="17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0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right"/>
              <w:ind w:right="339"/>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02/04/2011</w:t>
            </w:r>
          </w:p>
        </w:tc>
        <w:tc>
          <w:tcPr>
            <w:tcW w:w="2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680" w:type="dxa"/>
            <w:vAlign w:val="bottom"/>
          </w:tcPr>
          <w:p>
            <w:pPr>
              <w:jc w:val="right"/>
              <w:ind w:right="13"/>
              <w:spacing w:after="0"/>
              <w:rPr>
                <w:sz w:val="20"/>
                <w:szCs w:val="20"/>
                <w:color w:val="auto"/>
              </w:rPr>
            </w:pPr>
            <w:r>
              <w:rPr>
                <w:rFonts w:ascii="Arial" w:cs="Arial" w:eastAsia="Arial" w:hAnsi="Arial"/>
                <w:sz w:val="18"/>
                <w:szCs w:val="18"/>
                <w:color w:val="0000FF"/>
              </w:rPr>
              <w:t>800</w:t>
            </w:r>
          </w:p>
        </w:tc>
        <w:tc>
          <w:tcPr>
            <w:tcW w:w="700" w:type="dxa"/>
            <w:vAlign w:val="bottom"/>
          </w:tcPr>
          <w:p>
            <w:pPr>
              <w:ind w:left="400"/>
              <w:spacing w:after="0"/>
              <w:rPr>
                <w:sz w:val="20"/>
                <w:szCs w:val="20"/>
                <w:color w:val="auto"/>
              </w:rPr>
            </w:pPr>
            <w:r>
              <w:rPr>
                <w:rFonts w:ascii="Arial" w:cs="Arial" w:eastAsia="Arial" w:hAnsi="Arial"/>
                <w:sz w:val="18"/>
                <w:szCs w:val="18"/>
                <w:color w:val="0000FF"/>
              </w:rPr>
              <w:t>A</w:t>
            </w:r>
          </w:p>
        </w:tc>
        <w:tc>
          <w:tcPr>
            <w:tcW w:w="560" w:type="dxa"/>
            <w:vAlign w:val="bottom"/>
          </w:tcPr>
          <w:p>
            <w:pPr>
              <w:jc w:val="right"/>
              <w:ind w:right="34"/>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260" w:type="dxa"/>
            <w:vAlign w:val="bottom"/>
            <w:gridSpan w:val="2"/>
          </w:tcPr>
          <w:p>
            <w:pPr>
              <w:ind w:left="360"/>
              <w:spacing w:after="0"/>
              <w:rPr>
                <w:sz w:val="20"/>
                <w:szCs w:val="20"/>
                <w:color w:val="auto"/>
              </w:rPr>
            </w:pPr>
            <w:r>
              <w:rPr>
                <w:rFonts w:ascii="Arial" w:cs="Arial" w:eastAsia="Arial" w:hAnsi="Arial"/>
                <w:sz w:val="18"/>
                <w:szCs w:val="18"/>
                <w:color w:val="0000FF"/>
              </w:rPr>
              <w:t>14,179</w:t>
            </w:r>
          </w:p>
        </w:tc>
        <w:tc>
          <w:tcPr>
            <w:tcW w:w="940" w:type="dxa"/>
            <w:vAlign w:val="bottom"/>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02/04/2011</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right"/>
              <w:ind w:right="13"/>
              <w:spacing w:after="0"/>
              <w:rPr>
                <w:sz w:val="20"/>
                <w:szCs w:val="20"/>
                <w:color w:val="auto"/>
              </w:rPr>
            </w:pPr>
            <w:r>
              <w:rPr>
                <w:rFonts w:ascii="Arial" w:cs="Arial" w:eastAsia="Arial" w:hAnsi="Arial"/>
                <w:sz w:val="18"/>
                <w:szCs w:val="18"/>
                <w:color w:val="0000FF"/>
              </w:rPr>
              <w:t>294</w:t>
            </w:r>
          </w:p>
        </w:tc>
        <w:tc>
          <w:tcPr>
            <w:tcW w:w="70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19.76</w:t>
            </w:r>
            <w:r>
              <w:rPr>
                <w:rFonts w:ascii="Arial" w:cs="Arial" w:eastAsia="Arial" w:hAnsi="Arial"/>
                <w:sz w:val="22"/>
                <w:szCs w:val="22"/>
                <w:color w:val="008000"/>
                <w:w w:val="93"/>
                <w:vertAlign w:val="superscript"/>
              </w:rPr>
              <w:t>(2)</w:t>
            </w:r>
          </w:p>
        </w:tc>
        <w:tc>
          <w:tcPr>
            <w:tcW w:w="126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13,885</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jc w:val="center"/>
              <w:ind w:left="8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20" w:type="dxa"/>
            <w:vAlign w:val="bottom"/>
            <w:gridSpan w:val="10"/>
          </w:tcPr>
          <w:p>
            <w:pPr>
              <w:ind w:left="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13"/>
              <w:spacing w:after="0" w:line="135" w:lineRule="exact"/>
              <w:rPr>
                <w:sz w:val="20"/>
                <w:szCs w:val="20"/>
                <w:color w:val="auto"/>
              </w:rPr>
            </w:pPr>
            <w:r>
              <w:rPr>
                <w:rFonts w:ascii="Arial" w:cs="Arial" w:eastAsia="Arial" w:hAnsi="Arial"/>
                <w:sz w:val="12"/>
                <w:szCs w:val="12"/>
                <w:b w:val="1"/>
                <w:bCs w:val="1"/>
                <w:color w:val="auto"/>
                <w:w w:val="98"/>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3"/>
              <w:spacing w:after="0"/>
              <w:rPr>
                <w:sz w:val="20"/>
                <w:szCs w:val="20"/>
                <w:color w:val="auto"/>
              </w:rPr>
            </w:pPr>
            <w:r>
              <w:rPr>
                <w:rFonts w:ascii="Arial" w:cs="Arial" w:eastAsia="Arial" w:hAnsi="Arial"/>
                <w:sz w:val="12"/>
                <w:szCs w:val="12"/>
                <w:b w:val="1"/>
                <w:bCs w:val="1"/>
                <w:color w:val="auto"/>
                <w:w w:val="92"/>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jc w:val="right"/>
              <w:ind w:right="233"/>
              <w:spacing w:after="0"/>
              <w:rPr>
                <w:sz w:val="20"/>
                <w:szCs w:val="20"/>
                <w:color w:val="auto"/>
              </w:rPr>
            </w:pPr>
            <w:r>
              <w:rPr>
                <w:rFonts w:ascii="Arial" w:cs="Arial" w:eastAsia="Arial" w:hAnsi="Arial"/>
                <w:sz w:val="11"/>
                <w:szCs w:val="11"/>
                <w:color w:val="008000"/>
              </w:rPr>
              <w:t>(3)</w:t>
            </w: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jc w:val="right"/>
              <w:ind w:right="114"/>
              <w:spacing w:after="0"/>
              <w:rPr>
                <w:sz w:val="20"/>
                <w:szCs w:val="20"/>
                <w:color w:val="auto"/>
              </w:rPr>
            </w:pPr>
            <w:r>
              <w:rPr>
                <w:rFonts w:ascii="Arial" w:cs="Arial" w:eastAsia="Arial" w:hAnsi="Arial"/>
                <w:sz w:val="18"/>
                <w:szCs w:val="18"/>
                <w:color w:val="0000FF"/>
              </w:rPr>
              <w:t>800</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02/04/2011</w:t>
            </w: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5"/>
                <w:szCs w:val="5"/>
                <w:color w:val="auto"/>
              </w:rPr>
            </w:pPr>
          </w:p>
        </w:tc>
        <w:tc>
          <w:tcPr>
            <w:tcW w:w="800" w:type="dxa"/>
            <w:vAlign w:val="bottom"/>
            <w:vMerge w:val="restart"/>
          </w:tcPr>
          <w:p>
            <w:pPr>
              <w:ind w:left="460"/>
              <w:spacing w:after="0" w:line="149" w:lineRule="exact"/>
              <w:rPr>
                <w:sz w:val="20"/>
                <w:szCs w:val="20"/>
                <w:color w:val="auto"/>
              </w:rPr>
            </w:pPr>
            <w:r>
              <w:rPr>
                <w:rFonts w:ascii="Arial" w:cs="Arial" w:eastAsia="Arial" w:hAnsi="Arial"/>
                <w:sz w:val="14"/>
                <w:szCs w:val="14"/>
                <w:color w:val="0000FF"/>
              </w:rPr>
              <w:t>800</w:t>
            </w: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7,200</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6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4, 2011, ExlService Holdings, Inc. (the "Company") issued 800 shares of common stock, par value $0.001 per share ("Common Stock"), to the reporting person upon the vesting of an equal number of shares of restricted stock previously granted to the reporting person.</w:t>
      </w:r>
    </w:p>
    <w:p>
      <w:pPr>
        <w:spacing w:after="0" w:line="30"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4, 2011.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2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800 shares of restricted stock vested on February 4, 2011; an additional 1,600 shares of restricted stock will vest on February 4, 2012; another 2,400 shares of restricted stock will vest on February 4, 2013; and the remaining 3,200 shares of restricted stock will vest on February 4, 2014.</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02/08/2011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9"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2019-12-16T15:15:58Z</dcterms:created>
  <dcterms:modified xsi:type="dcterms:W3CDTF">2019-12-16T15:15:58Z</dcterms:modified>
</cp:coreProperties>
</file>