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001-33089</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New York, New York</w:t>
            </w: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4"/>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277-7100</w:t>
            </w:r>
          </w:p>
        </w:tc>
        <w:tc>
          <w:tcPr>
            <w:tcW w:w="1680" w:type="dxa"/>
            <w:vAlign w:val="bottom"/>
          </w:tcPr>
          <w:p>
            <w:pPr>
              <w:spacing w:after="0"/>
              <w:rPr>
                <w:sz w:val="24"/>
                <w:szCs w:val="24"/>
                <w:color w:val="auto"/>
              </w:rPr>
            </w:pP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234"/>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right="160" w:hanging="652"/>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9"/>
        </w:trPr>
        <w:tc>
          <w:tcPr>
            <w:tcW w:w="37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r>
      <w:tr>
        <w:trPr>
          <w:trHeight w:val="28"/>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675"/>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June 21, 2024, following stockholder approval at the Annual Meeting of Stockholders (the “Annual Meeting”) of ExlService Holdings, Inc. (the “Company”), the Company filed with the Secretary of State of the State of Delaware the Company’s Fourth Amended and Restated Certificate of Incorporation (the “Fourth A&amp;R Charter”), effective upon filing, to reflect new Delaware law provisions regarding officer exculpation and to effect certain other changes, as described in the Company’s definitive proxy statement for the Annual Meeting filed with the Securities and Exchange Commission on April 29, 2024. The foregoing description of the Fourth A&amp;R Charter does not purport to be complete and is qualified in its entirety by reference to the text of the Fourth A&amp;R Charter, which is included as Exhibit 3.1 to this Current Report on Form 8-K.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June 20, 2024, at the Annual Meeting, the Company’s stockholders voted on the following four proposals: (1) the election of all eight members of the Company’s board of directors, (2) the ratification of the selection of Deloitte &amp; Touche LLP as the independent registered public accounting firm of the Company for fiscal year 2024 (“Auditor Ratification”), (3) the approval, on a non-binding advisory basis, of the compensation of the named executive officers of the Company (“Say-on-Pay”), and (4) the approval of the Fourth A&amp;R Charter. The results of the voting were as follows:</w:t>
      </w:r>
    </w:p>
    <w:p>
      <w:pPr>
        <w:spacing w:after="0" w:line="18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Each of the eight nominees for election to the Company’s board of directors was duly elected to serve as a director for a term of one year, until the 2025 annual meeting of stockholders, or until his or her successor is duly elected and qualified in accordance with the by-laws of the Company. The final results of the voting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310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5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310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146,430,696</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1,557,250</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102,344</w:t>
            </w:r>
          </w:p>
        </w:tc>
        <w:tc>
          <w:tcPr>
            <w:tcW w:w="14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7,427,589</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Vikram Pandit</w:t>
            </w:r>
          </w:p>
        </w:tc>
        <w:tc>
          <w:tcPr>
            <w:tcW w:w="31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146,474,191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1,512,495</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103,604</w:t>
            </w:r>
          </w:p>
        </w:tc>
        <w:tc>
          <w:tcPr>
            <w:tcW w:w="14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7,427,589</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Bartlett</w:t>
            </w:r>
          </w:p>
        </w:tc>
        <w:tc>
          <w:tcPr>
            <w:tcW w:w="310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147,845,645</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140,570</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104,075</w:t>
            </w:r>
          </w:p>
        </w:tc>
        <w:tc>
          <w:tcPr>
            <w:tcW w:w="14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7,427,589</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Andreas Fibig</w:t>
            </w:r>
          </w:p>
        </w:tc>
        <w:tc>
          <w:tcPr>
            <w:tcW w:w="31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146,659,462</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1,326,223</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104,605</w:t>
            </w:r>
          </w:p>
        </w:tc>
        <w:tc>
          <w:tcPr>
            <w:tcW w:w="14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7,427,589</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Kristy Pipes</w:t>
            </w:r>
          </w:p>
        </w:tc>
        <w:tc>
          <w:tcPr>
            <w:tcW w:w="310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139,877,921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8,108,306</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104,063</w:t>
            </w:r>
          </w:p>
        </w:tc>
        <w:tc>
          <w:tcPr>
            <w:tcW w:w="14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7,427,589</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Nitin Sahney</w:t>
            </w:r>
          </w:p>
        </w:tc>
        <w:tc>
          <w:tcPr>
            <w:tcW w:w="31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134,060,619</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13,925,555</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104,116</w:t>
            </w:r>
          </w:p>
        </w:tc>
        <w:tc>
          <w:tcPr>
            <w:tcW w:w="14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7,427,589</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Jaynie Studenmund</w:t>
            </w:r>
          </w:p>
        </w:tc>
        <w:tc>
          <w:tcPr>
            <w:tcW w:w="310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146,397,775</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1,588,343</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104,172</w:t>
            </w:r>
          </w:p>
        </w:tc>
        <w:tc>
          <w:tcPr>
            <w:tcW w:w="14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7,427,589</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Sarah Keohane Williamson</w:t>
            </w:r>
          </w:p>
        </w:tc>
        <w:tc>
          <w:tcPr>
            <w:tcW w:w="31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145,894,152</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2,092,068</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104,070</w:t>
            </w:r>
          </w:p>
        </w:tc>
        <w:tc>
          <w:tcPr>
            <w:tcW w:w="14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7,427,589</w:t>
            </w:r>
          </w:p>
        </w:tc>
      </w:tr>
    </w:tbl>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Proposal 2. Auditor Ratification was approved. The final results of the voting were as follows:</w:t>
            </w:r>
          </w:p>
        </w:tc>
        <w:tc>
          <w:tcPr>
            <w:tcW w:w="1360" w:type="dxa"/>
            <w:vAlign w:val="bottom"/>
          </w:tcPr>
          <w:p>
            <w:pPr>
              <w:spacing w:after="0"/>
              <w:rPr>
                <w:sz w:val="18"/>
                <w:szCs w:val="18"/>
                <w:color w:val="auto"/>
              </w:rPr>
            </w:pPr>
          </w:p>
        </w:tc>
      </w:tr>
      <w:tr>
        <w:trPr>
          <w:trHeight w:val="430"/>
        </w:trPr>
        <w:tc>
          <w:tcPr>
            <w:tcW w:w="7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760" w:type="dxa"/>
            <w:vAlign w:val="bottom"/>
          </w:tcPr>
          <w:p>
            <w:pPr>
              <w:spacing w:after="0"/>
              <w:rPr>
                <w:sz w:val="20"/>
                <w:szCs w:val="20"/>
                <w:color w:val="auto"/>
              </w:rPr>
            </w:pPr>
          </w:p>
        </w:tc>
        <w:tc>
          <w:tcPr>
            <w:tcW w:w="268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r>
        <w:trPr>
          <w:trHeight w:val="216"/>
        </w:trPr>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154,814,384</w:t>
            </w:r>
          </w:p>
        </w:tc>
        <w:tc>
          <w:tcPr>
            <w:tcW w:w="19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5"/>
              </w:rPr>
              <w:t>311,039</w:t>
            </w:r>
          </w:p>
        </w:tc>
        <w:tc>
          <w:tcPr>
            <w:tcW w:w="196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9"/>
              </w:rPr>
              <w:t>392,456</w:t>
            </w:r>
          </w:p>
        </w:tc>
        <w:tc>
          <w:tcPr>
            <w:tcW w:w="136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r>
      <w:tr>
        <w:trPr>
          <w:trHeight w:val="391"/>
        </w:trPr>
        <w:tc>
          <w:tcPr>
            <w:tcW w:w="7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Proposal 3. Say-on-Pay was approved. The final results of the voting were as follows:</w:t>
            </w:r>
          </w:p>
        </w:tc>
        <w:tc>
          <w:tcPr>
            <w:tcW w:w="1360" w:type="dxa"/>
            <w:vAlign w:val="bottom"/>
          </w:tcPr>
          <w:p>
            <w:pPr>
              <w:spacing w:after="0"/>
              <w:rPr>
                <w:sz w:val="24"/>
                <w:szCs w:val="24"/>
                <w:color w:val="auto"/>
              </w:rPr>
            </w:pPr>
          </w:p>
        </w:tc>
      </w:tr>
      <w:tr>
        <w:trPr>
          <w:trHeight w:val="430"/>
        </w:trPr>
        <w:tc>
          <w:tcPr>
            <w:tcW w:w="7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760" w:type="dxa"/>
            <w:vAlign w:val="bottom"/>
          </w:tcPr>
          <w:p>
            <w:pPr>
              <w:spacing w:after="0"/>
              <w:rPr>
                <w:sz w:val="20"/>
                <w:szCs w:val="20"/>
                <w:color w:val="auto"/>
              </w:rPr>
            </w:pPr>
          </w:p>
        </w:tc>
        <w:tc>
          <w:tcPr>
            <w:tcW w:w="268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r>
        <w:trPr>
          <w:trHeight w:val="216"/>
        </w:trPr>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144,709,416</w:t>
            </w:r>
          </w:p>
        </w:tc>
        <w:tc>
          <w:tcPr>
            <w:tcW w:w="19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2,296,814</w:t>
            </w:r>
          </w:p>
        </w:tc>
        <w:tc>
          <w:tcPr>
            <w:tcW w:w="196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1,084,060</w:t>
            </w:r>
          </w:p>
        </w:tc>
        <w:tc>
          <w:tcPr>
            <w:tcW w:w="13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7,427,589</w:t>
            </w:r>
          </w:p>
        </w:tc>
      </w:tr>
      <w:tr>
        <w:trPr>
          <w:trHeight w:val="391"/>
        </w:trPr>
        <w:tc>
          <w:tcPr>
            <w:tcW w:w="7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Proposal 4. The Fourth A&amp;R Charter was approved. The final results of the voting were as follows:</w:t>
            </w:r>
          </w:p>
        </w:tc>
        <w:tc>
          <w:tcPr>
            <w:tcW w:w="1360" w:type="dxa"/>
            <w:vAlign w:val="bottom"/>
          </w:tcPr>
          <w:p>
            <w:pPr>
              <w:spacing w:after="0"/>
              <w:rPr>
                <w:sz w:val="24"/>
                <w:szCs w:val="24"/>
                <w:color w:val="auto"/>
              </w:rPr>
            </w:pPr>
          </w:p>
        </w:tc>
      </w:tr>
      <w:tr>
        <w:trPr>
          <w:trHeight w:val="430"/>
        </w:trPr>
        <w:tc>
          <w:tcPr>
            <w:tcW w:w="7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760" w:type="dxa"/>
            <w:vAlign w:val="bottom"/>
          </w:tcPr>
          <w:p>
            <w:pPr>
              <w:spacing w:after="0"/>
              <w:rPr>
                <w:sz w:val="20"/>
                <w:szCs w:val="20"/>
                <w:color w:val="auto"/>
              </w:rPr>
            </w:pPr>
          </w:p>
        </w:tc>
        <w:tc>
          <w:tcPr>
            <w:tcW w:w="268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r>
        <w:trPr>
          <w:trHeight w:val="216"/>
        </w:trPr>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128,875,330</w:t>
            </w:r>
          </w:p>
        </w:tc>
        <w:tc>
          <w:tcPr>
            <w:tcW w:w="19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18,794,969</w:t>
            </w:r>
          </w:p>
        </w:tc>
        <w:tc>
          <w:tcPr>
            <w:tcW w:w="196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9"/>
              </w:rPr>
              <w:t>419,991</w:t>
            </w:r>
          </w:p>
        </w:tc>
        <w:tc>
          <w:tcPr>
            <w:tcW w:w="13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7,427,589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21" w:lineRule="exact"/>
        <w:rPr>
          <w:sz w:val="20"/>
          <w:szCs w:val="20"/>
          <w:color w:val="auto"/>
        </w:rPr>
      </w:pPr>
    </w:p>
    <w:p>
      <w:pPr>
        <w:ind w:left="260"/>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46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3.1</w:t>
      </w:r>
      <w:r>
        <w:rPr>
          <w:sz w:val="20"/>
          <w:szCs w:val="20"/>
          <w:color w:val="auto"/>
        </w:rPr>
        <w:tab/>
      </w:r>
      <w:r>
        <w:rPr>
          <w:rFonts w:ascii="Times New Roman" w:cs="Times New Roman" w:eastAsia="Times New Roman" w:hAnsi="Times New Roman"/>
          <w:sz w:val="17"/>
          <w:szCs w:val="17"/>
          <w:u w:val="single" w:color="auto"/>
          <w:color w:val="0000EE"/>
        </w:rPr>
        <w:t>Fourth Amended and Restated Certificate of Incorporation of ExlService Holdings, Inc., effective June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Ajay Ayyappan</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ExlService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and by virtue of the provisions of the General Corporation Law of the State of Delaware (the “</w:t>
      </w:r>
      <w:r>
        <w:rPr>
          <w:rFonts w:ascii="Times New Roman" w:cs="Times New Roman" w:eastAsia="Times New Roman" w:hAnsi="Times New Roman"/>
          <w:sz w:val="18"/>
          <w:szCs w:val="18"/>
          <w:u w:val="single" w:color="auto"/>
          <w:color w:val="auto"/>
        </w:rPr>
        <w:t>General Corporation Law</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That the name of the Corporation is ExlService Holdings, Inc. The original Certificate of Incorporation of the Corporation was filed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of State of the State of Delaware on October 29, 2002. The first Amended and Restated Certificate of Incorporation of the Corporation was filed with the Secretary of State of the State of Delaware on December 13, 2002. The second Amended and Restated Certificate of Incorporation of the Corporation was filed with the Secretary of State of the State of Delaware on October 24, 2006. The Restated Certificate of Incorporation of the Corporation was filed with the Secretary of State of the State of Delaware on August 1, 2023.</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That the Board of Directors of the Corporation duly adopted resolutions proposing to amend and restate the Restated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of the Corporation, declaring said amendment and restatement to be advisable and in the best interests of the Corporation and its stockholders, and authorizing the appropriate officers of the Corporation to solicit the consent of the stockholders therefor, which resolution setting forth the proposed amendment and restatement is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Restated Certificate of Incorporation of the Corporation be amended and restated in its entirety to read as follows:</w:t>
      </w:r>
    </w:p>
    <w:p>
      <w:pPr>
        <w:spacing w:after="0" w:line="229" w:lineRule="exact"/>
        <w:rPr>
          <w:sz w:val="20"/>
          <w:szCs w:val="20"/>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corporation is “ExlService Holdings, Inc.”</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Registered Office and Agent</w:t>
      </w:r>
      <w:r>
        <w:rPr>
          <w:rFonts w:ascii="Times New Roman" w:cs="Times New Roman" w:eastAsia="Times New Roman" w:hAnsi="Times New Roman"/>
          <w:sz w:val="18"/>
          <w:szCs w:val="18"/>
          <w:color w:val="auto"/>
        </w:rPr>
        <w:t>. The address of the Corporation’s registered office in the State of Delaware is 1209 Orange Street, City of Wilmington, County of New Castle, State of Delaware 19801; and the name of its registered agent at such address is The Corporation Trust Company.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w:t>
      </w:r>
      <w:r>
        <w:rPr>
          <w:rFonts w:ascii="Times New Roman" w:cs="Times New Roman" w:eastAsia="Times New Roman" w:hAnsi="Times New Roman"/>
          <w:sz w:val="18"/>
          <w:szCs w:val="18"/>
          <w:color w:val="auto"/>
        </w:rPr>
        <w:t>. The purpose of the Corporation is to engage in any lawful act or activity for which corporations may be organized under the General Corporation Law.</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Corporation is authorized to issue two classes of stock to be designated, respectively, “Common Stock” and “Preferred Stock.” The total number of shares of all classes of stock which the Corporation shall have authority to issue is 415,000,000 shares, consisting of (i) 400,000,000 shares of Common Stock, $0.001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15,000,000 shares of Preferred Stock, $0.001 par value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Classes of Shares</w:t>
      </w:r>
      <w:r>
        <w:rPr>
          <w:rFonts w:ascii="Times New Roman" w:cs="Times New Roman" w:eastAsia="Times New Roman" w:hAnsi="Times New Roman"/>
          <w:sz w:val="18"/>
          <w:szCs w:val="18"/>
          <w:color w:val="auto"/>
        </w:rPr>
        <w:t>. The designation, relative rights, preferences and limitations of the shares of each class are as follows: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Except as otherwise provided by law or by this Certificate of Incorporation and subject to the express terms of any series of shares of Preferred Stock, the holders of outstanding shares of Common Stock shall exclusively possess voting power for the election of Directors and for all other purposes, each holder of record of shares of Common Stock shall be entitled to one vote for each share of Common Stock standing in his or her name on the books of the Corporation. Except as otherwise provided by law or by this Certificate of Incorporation and subject to the express terms of any series of shares of Preferred Stock, the holders of shares of Common Stock shall be entitled, to the exclusion of the holders of shares of Preferred Stock of any and all series, to receive such dividends as from time to time may be declared by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In the event of any liquidation, dissolution or winding up of the Corporation, whether voluntary or involuntary, subject to the rights, if any, of the holders of any outstanding series of Preferred Stock, the holders of shares of Common Stock shall be entitled to share ratably according to the number of shares of Common Stock held by them in all remaining assets of the Corporation available for distribution to its stockholders. Subject to the rights of the holders of any one or more series of Preferred Stock then outstanding, the number of authorized shares of any class or classes of stock may be increased or decreased (but not below the number of shares thereof then outstanding) by the affirmative vote of the holders of a majority of the stock of the Corporation entitled to vote, irrespective of the provisions of Section 242(b)(2) of the General Corporation Law or any corresponding provision hereinafter enacted.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The shares of Preferred Stock may be issued from time to time in one or more series of any number of shares, provided that the aggregate number of shares issued and not retired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 Each series of shares of Preferred Stock: (a) may have such voting rights or powers, full or limited, if any; (b) may be subject to redemption at such time or times and at such prices, if any; (c) may be entitled to receive dividends (which may be cumulative or non-cumulative) at such rate or rates, on such conditions and at such times, and payable in preference to, or in such relation to, the dividends payable on any other class or classes or series of stock, if any; (d) may have such rights upon the voluntary or involuntary liquidation, winding up or dissolution of, upon any distribution of the assets of, or in the event of any merger, sale or consolidation of, the Corporation, if any; (e) may be made convertible into or exchangeable for, shares of any other class or classes or of any other series of the same or any other class or classes of stock of the Corporation (or any other securities of the Corporation or any other person) at such price or prices or at such rates of exchange and with such adjustments, if any; (f) may be entitled to the benefit of a sinking fund to be applied to the purchase or redemption of shares of such series in such amount or amounts, if any; (g)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(h) may be subject to restrictions on transfer or registration of transfer, or on the amount of shares that may be owned by any person or group of persons; and (i) may have such other relative, participating, optional or other special rights, qualifications, limitations or restrictions thereof, if any; all as shall be stated in said resolution or resolutions of the Board providing for the designation and issue of such shares of Preferred Stock.</w:t>
      </w:r>
    </w:p>
    <w:p>
      <w:pPr>
        <w:spacing w:after="0" w:line="188" w:lineRule="exact"/>
        <w:rPr>
          <w:sz w:val="20"/>
          <w:szCs w:val="20"/>
          <w:color w:val="auto"/>
        </w:rPr>
      </w:pPr>
    </w:p>
    <w:p>
      <w:pPr>
        <w:ind w:left="840" w:hanging="184"/>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of Directors.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 xml:space="preserve"> The business and affairs of the Corporation shall be managed by, or under the direction of, the Board. Unless and except to the extent that the Amended and Restated By-laws of the Corporation, as such By-laws may be amended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require, the election of the Directors of the Corporation need not be by written ballot. Except as otherwise provided for or fixed pursuant to the provisions of Section 5 of this Certificate of Incorporation relating to the rights of the holders of any series of Preferred Stock to elect additional Directors, the total number of Directors constituting the entire Board shall be not less than 6 nor more than 12, with the then authorized number of Directors being fixed from time to time by the Board. During any period when the holders of any series of Preferred Stock have the right to elect additional Directors as provided for or fixed pursuant to the provisions of Section 5 hereof,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disqualification, resignation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and authorized number of Directors of the Corporation shall be reduced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Terms of Directors</w:t>
      </w:r>
      <w:r>
        <w:rPr>
          <w:rFonts w:ascii="Times New Roman" w:cs="Times New Roman" w:eastAsia="Times New Roman" w:hAnsi="Times New Roman"/>
          <w:sz w:val="18"/>
          <w:szCs w:val="18"/>
          <w:color w:val="auto"/>
        </w:rPr>
        <w:t>. Subject to the provisions of this Certificate of Incorporation relating to directors elected by the holders of one or more series of Preferred Stock, voting as a separate series or with one or more other series of Preferred Stock, at each annual meeting of stockholders commencing with the 2019 annual meeting of stockholders, directors of the corporation other than those in the 2020 Class and 2021 Class (each as defined below) shall be elected for a term of one year, expiring at the next succeeding annual meeting of stockholders. Each director of the corporation who was elected at the 2017 annual meeting of stockholders for a three-year term expiring in 2020 (the “2020 Class”), and each director of the corporation who was elected at the 2018 annual meeting of stockholders for a three-year term expiring in 2021 (the “2021 Class”), including any person appointed to fill any vacancy occurring with respect to any director in the 2020 Class or the 2021 Class (each of whom shall be deemed to be a member of the class of directors in which the vacancy occurred), shall continue to hold office until the end of the term for which such director was elected or appointed, as applicable. Subject to the provisions of this Certificate of Incorporation relating to directors elected by the holders of one or more series of Preferred Stock, voting as a separate series or with one or more other series of Preferred Stock, (a) commencing with the 2020 annual meeting of stockholders, all directors of the corporation other than those in the 2021 Class will be elected for a term of one year, and (b) commencing with the 2021 annual meeting of stockholders, all directors of the corporation will be elected for a term of one year. In all cases, each director shall serve until such director’s successor has been duly elected and qualified or until such director’s earlier death, disqualification, resignation or removal.</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Subject to the rights of the holders of any one or more series of Preferred Stock then outstanding, newly created directorships resulting from any increase in the authorized number of Directors or any vacancies on the Board resulting from death, resignation, retirement, disqualification, removal from office or other cause shall be filled solely by the affirmative vote of a majority of the remaining Directors then in office, even if less than a quorum of the Board. Any Director so chosen shall hold office until the expiration of the term of office of the Director whom he or she has replaced and until his or her successor shall be duly elected and qualified or until such Director’s earlier death, disqualification, resignation or removal. No decrease in the number of Directors shall shorten the term of any incumbent Director.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Removal of Directors</w:t>
      </w:r>
      <w:r>
        <w:rPr>
          <w:rFonts w:ascii="Times New Roman" w:cs="Times New Roman" w:eastAsia="Times New Roman" w:hAnsi="Times New Roman"/>
          <w:sz w:val="18"/>
          <w:szCs w:val="18"/>
          <w:color w:val="auto"/>
        </w:rPr>
        <w:t>. Unless otherwise restricted by applicable law and except for such additional Directors, if any, as are elected by the holders of any series of Preferred Stock as provided for or fixed pursuant to the provisions of Section 5 hereof, any Director, or the entire Board, may be removed from office at any time, with or without cause, by the affirmative vote of the holders of at least a majority of the total voting power of the outstanding shares of capital stock of the Corporation entitled to vote generally in the election of Directors, voting together as a single class.</w:t>
      </w:r>
    </w:p>
    <w:p>
      <w:pPr>
        <w:spacing w:after="0" w:line="180" w:lineRule="exact"/>
        <w:rPr>
          <w:sz w:val="20"/>
          <w:szCs w:val="20"/>
          <w:color w:val="auto"/>
        </w:rPr>
      </w:pPr>
    </w:p>
    <w:p>
      <w:pPr>
        <w:jc w:val="both"/>
        <w:ind w:firstLine="656"/>
        <w:spacing w:after="0" w:line="261" w:lineRule="auto"/>
        <w:tabs>
          <w:tab w:leader="none" w:pos="8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To the fullest extent permitted by the General Corporation Law, as the same exists or may hereafter be amended, a Director or officer of the Corporation shall not be personally liable to the Corporation or its stockholders for monetary damages for breach of fiduciary duty as a Director or officer. Any amendment, repeal or modification of the foregoing provision shall not adversely affect any right or protection of a Director or officer of the Corporation hereunder in respect of any act or omission occurring prior to the time of such amendment, repeal or modification.</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Right to Indemnification.</w:t>
      </w:r>
      <w:r>
        <w:rPr>
          <w:rFonts w:ascii="Times New Roman" w:cs="Times New Roman" w:eastAsia="Times New Roman" w:hAnsi="Times New Roman"/>
          <w:sz w:val="18"/>
          <w:szCs w:val="18"/>
          <w:color w:val="auto"/>
        </w:rPr>
        <w:t xml:space="preserve"> The Corporation shall indemnify and hold harmless, to the fullest extent permitted by applicable law as it presently exists or may hereafter be amended, any person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(an “</w:t>
      </w:r>
      <w:r>
        <w:rPr>
          <w:rFonts w:ascii="Times New Roman" w:cs="Times New Roman" w:eastAsia="Times New Roman" w:hAnsi="Times New Roman"/>
          <w:sz w:val="18"/>
          <w:szCs w:val="18"/>
          <w:u w:val="single" w:color="auto"/>
          <w:color w:val="auto"/>
        </w:rPr>
        <w:t>Other Entity</w:t>
      </w:r>
      <w:r>
        <w:rPr>
          <w:rFonts w:ascii="Times New Roman" w:cs="Times New Roman" w:eastAsia="Times New Roman" w:hAnsi="Times New Roman"/>
          <w:sz w:val="18"/>
          <w:szCs w:val="18"/>
          <w:color w:val="auto"/>
        </w:rPr>
        <w:t>”), including service with respect to employee benefit plans, against all liability and loss suffered and expenses (including attorneys’ fees) reasonably incurred by such Covered Person. Notwithstanding the preceding sentence, except as otherwise provided in Section 8.3, the Corporation shall be required to indemnify a Covered Person in connection with a Proceeding (or part thereof) commenced by such Covered Person only if the commencement of such Proceeding (or part thereof) by the Covered Person was authorized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Prepayment of Expenses</w:t>
      </w:r>
      <w:r>
        <w:rPr>
          <w:rFonts w:ascii="Times New Roman" w:cs="Times New Roman" w:eastAsia="Times New Roman" w:hAnsi="Times New Roman"/>
          <w:sz w:val="18"/>
          <w:szCs w:val="18"/>
          <w:color w:val="auto"/>
        </w:rPr>
        <w:t>. The Corporation shall pay the expenses (including attorneys’ fees) incurred by a Covered Person in defending any Proceeding in advance of its final disposition, provided, however,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Section 8 or otherwise.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If a claim for indemnification or advancement of expenses under this Section 8 is not paid in full within 30 days after a written claim therefor by the Covered Person has been received by the Corporation, the Covered Person may file suit to recover the unpaid amount of such claim and, if successful,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conferred on any Covered Person by this Section 8 shall not be exclusive of any other rights that such Covered Person may have or hereafter acquire under any statute, provision of this Certificate of Incorporation, the By-laws, agreement, vote of stockholders or disinterested Directors or otherwise.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Other Sources</w:t>
      </w:r>
      <w:r>
        <w:rPr>
          <w:rFonts w:ascii="Times New Roman" w:cs="Times New Roman" w:eastAsia="Times New Roman" w:hAnsi="Times New Roman"/>
          <w:sz w:val="18"/>
          <w:szCs w:val="18"/>
          <w:color w:val="auto"/>
        </w:rPr>
        <w:t>. The Corporation’s obligation, if any, to indemnify or to advance expenses to any Covered Person who was or is serving at its request as a Director, officer, employee or agent of an Other Entity shall be reduced by any amount such Covered Person collects as indemnification or advancement of expenses from such Other Entity.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Amendment or Repeal</w:t>
      </w:r>
      <w:r>
        <w:rPr>
          <w:rFonts w:ascii="Times New Roman" w:cs="Times New Roman" w:eastAsia="Times New Roman" w:hAnsi="Times New Roman"/>
          <w:sz w:val="18"/>
          <w:szCs w:val="18"/>
          <w:color w:val="auto"/>
        </w:rPr>
        <w:t>. Any repeal or modification of the foregoing provisions of this Section 8 shall not adversely affect any right or protection hereunder of any Covered Person in respect of any act or omission occurring prior to the time of such repeal or modification.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Other Indemnification and Prepayment of Expenses</w:t>
      </w:r>
      <w:r>
        <w:rPr>
          <w:rFonts w:ascii="Times New Roman" w:cs="Times New Roman" w:eastAsia="Times New Roman" w:hAnsi="Times New Roman"/>
          <w:sz w:val="18"/>
          <w:szCs w:val="18"/>
          <w:color w:val="auto"/>
        </w:rPr>
        <w:t>. This Section 8 shall not limit the right of the Corporation, to the extent and in the manner permitted by applicable law, to indemnify and to advance expenses to persons other than Covered Persons when and as authorized by appropriate corporate action.</w:t>
      </w:r>
    </w:p>
    <w:p>
      <w:pPr>
        <w:spacing w:after="0" w:line="176" w:lineRule="exact"/>
        <w:rPr>
          <w:sz w:val="20"/>
          <w:szCs w:val="20"/>
          <w:color w:val="auto"/>
        </w:rPr>
      </w:pPr>
    </w:p>
    <w:p>
      <w:pPr>
        <w:jc w:val="both"/>
        <w:ind w:firstLine="656"/>
        <w:spacing w:after="0" w:line="255" w:lineRule="auto"/>
        <w:tabs>
          <w:tab w:leader="none" w:pos="8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Adoption, Amendment and/or Repeal of By-Laws</w:t>
      </w:r>
      <w:r>
        <w:rPr>
          <w:rFonts w:ascii="Times New Roman" w:cs="Times New Roman" w:eastAsia="Times New Roman" w:hAnsi="Times New Roman"/>
          <w:sz w:val="18"/>
          <w:szCs w:val="18"/>
          <w:color w:val="auto"/>
        </w:rPr>
        <w:t>. In furtherance and not in limitation of the powers conferred by the laws of the State of Delaware, the Board is expressly authorized to make, alter and repeal the By-laws, subject to the power of the Stockholders of the Corporation to alter or repeal any By-laws whether adopted by them or otherwise. Notwithstanding any other provisions of this Certificate of Incorporation or the By-laws (and notwithstanding the fact that a lesser percentage may be permitted by applicable law, this Certificate of Incorporation or the By-laws), but in addition to any affirmative vote of the holders of any particular class of stock of the Corporation required by applicable law or this Certificate of Incorporation, the affirmative vote of the holders of at least 66 2/3% of the voting power of the shares of the then outstanding voting stock of the Corporation, voting together as a single class, shall be required to adopt new By-laws or to alter, amend or repeal the By-laws.</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9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Amendments</w:t>
      </w:r>
      <w:r>
        <w:rPr>
          <w:rFonts w:ascii="Times New Roman" w:cs="Times New Roman" w:eastAsia="Times New Roman" w:hAnsi="Times New Roman"/>
          <w:sz w:val="18"/>
          <w:szCs w:val="18"/>
          <w:color w:val="auto"/>
        </w:rPr>
        <w:t>. The Corporation reserves the right at any time, and from time to time, to amend, alter, change or repeal any provision contained in this Certificate of Incorporation. In addition, other provisions authorized by the laws of the State of Delaware at the time in force may be added or inserted, in the manner now or hereafter prescribed by applicable law. All rights, preferences and privileges of whatsoever nature conferred upon stockholders, Directors or any other persons whomsoever by and pursuant to this Certificate of Incorporation in its present form or as hereafter amended are granted and held subject to the rights the Corporation has reserved in this Section 10. Notwithstanding any other provisions of this Certificate of Incorporation or the By-laws (and notwithstanding the fact that a lesser percentage may be permitted by applicable law, this Certificate of Incorporation or the By-laws), but in addition to any affirmative vote of the holders of any particular class of stock of the Corporation required by applicable law or this Certificate of Incorporation, the affirmative vote of the holders of at least 66 2/3% of the voting power of the shares of the then outstanding voting stock of the Corporation, voting together as a single class, shall be required to amend or repeal, or adopt any provisions inconsistent with Sections 6, 9, 10, 11 or 12 of this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56"/>
        <w:spacing w:after="0" w:line="258" w:lineRule="auto"/>
        <w:tabs>
          <w:tab w:leader="none" w:pos="9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Written Consent Prohibition</w:t>
      </w:r>
      <w:r>
        <w:rPr>
          <w:rFonts w:ascii="Times New Roman" w:cs="Times New Roman" w:eastAsia="Times New Roman" w:hAnsi="Times New Roman"/>
          <w:sz w:val="18"/>
          <w:szCs w:val="18"/>
          <w:color w:val="auto"/>
        </w:rPr>
        <w:t>. Except as otherwise provided for or fixed pursuant to the provisions of Section 5 of this Certificate of Incorporation relating to the rights of holders of any series of Preferred Stock, no action that is required or permitted to be taken by the stockholders of the Corporation at any annual or special meeting of stockholders may be effected by written consent of stockholders in lieu of a meeting of stockholders, unless the action to be effected by written consent of stockholders and the taking of such action by such written consent have expressly been approved in advance by the Board.</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the Corporation’s Stockholders</w:t>
      </w:r>
      <w:r>
        <w:rPr>
          <w:rFonts w:ascii="Times New Roman" w:cs="Times New Roman" w:eastAsia="Times New Roman" w:hAnsi="Times New Roman"/>
          <w:sz w:val="18"/>
          <w:szCs w:val="18"/>
          <w:color w:val="auto"/>
        </w:rPr>
        <w:t>. Unless otherwise provided by applicable law and subject to the express terms of any series of shares of Preferred Stock, a special meeting of the Corporation’s stockholders may be called only by (a) the Corporation’s Chairman of the Board or (b) a majority of the members of the Board, and may not be called by any other person or persons.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WITNESS the signature of this Fourth Amended and Restated Certificate of Incorporation this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June, 2024.</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Rohit Kapoor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Chairman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6"/>
    </w:lvl>
  </w:abstractNum>
  <w:abstractNum w:abstractNumId="4">
    <w:nsid w:val="507ED7AB"/>
    <w:multiLevelType w:val="hybridMultilevel"/>
    <w:lvl w:ilvl="0">
      <w:lvlJc w:val="left"/>
      <w:lvlText w:val="%1."/>
      <w:numFmt w:val="decimal"/>
      <w:start w:val="7"/>
    </w:lvl>
  </w:abstractNum>
  <w:abstractNum w:abstractNumId="5">
    <w:nsid w:val="2EB141F2"/>
    <w:multiLevelType w:val="hybridMultilevel"/>
    <w:lvl w:ilvl="0">
      <w:lvlJc w:val="left"/>
      <w:lvlText w:val="%1."/>
      <w:numFmt w:val="decimal"/>
      <w:start w:val="9"/>
    </w:lvl>
  </w:abstractNum>
  <w:abstractNum w:abstractNumId="6">
    <w:nsid w:val="41B71EF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2024-06-25T15:07:56Z</dcterms:created>
  <dcterms:modified xsi:type="dcterms:W3CDTF">2024-06-25T15:07:56Z</dcterms:modified>
</cp:coreProperties>
</file>