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89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429" w:lineRule="exact"/>
        <w:rPr>
          <w:sz w:val="24"/>
          <w:szCs w:val="24"/>
          <w:color w:val="auto"/>
        </w:rPr>
      </w:pPr>
    </w:p>
    <w:p>
      <w:pPr>
        <w:sectPr>
          <w:pgSz w:w="11900" w:h="16895"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860" w:type="dxa"/>
            <w:vAlign w:val="bottom"/>
            <w:vMerge w:val="restart"/>
          </w:tcPr>
          <w:p>
            <w:pPr>
              <w:ind w:left="20"/>
              <w:spacing w:after="0"/>
              <w:rPr>
                <w:sz w:val="20"/>
                <w:szCs w:val="20"/>
                <w:color w:val="auto"/>
              </w:rPr>
            </w:pPr>
            <w:r>
              <w:rPr>
                <w:rFonts w:ascii="Arial" w:cs="Arial" w:eastAsia="Arial" w:hAnsi="Arial"/>
                <w:sz w:val="18"/>
                <w:szCs w:val="18"/>
                <w:color w:val="0000FF"/>
              </w:rPr>
              <w:t>10022</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8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4"/>
          </w:tcPr>
          <w:p>
            <w:pPr>
              <w:jc w:val="center"/>
              <w:ind w:left="633"/>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480" w:type="dxa"/>
            <w:vAlign w:val="bottom"/>
            <w:tcBorders>
              <w:bottom w:val="single" w:sz="8" w:color="2C2C2C"/>
            </w:tcBorders>
            <w:gridSpan w:val="6"/>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80" w:type="dxa"/>
            <w:vAlign w:val="bottom"/>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gridSpan w:val="3"/>
          </w:tcPr>
          <w:p>
            <w:pPr>
              <w:jc w:val="center"/>
              <w:ind w:right="92"/>
              <w:spacing w:after="0"/>
              <w:rPr>
                <w:sz w:val="20"/>
                <w:szCs w:val="20"/>
                <w:color w:val="auto"/>
              </w:rPr>
            </w:pPr>
            <w:r>
              <w:rPr>
                <w:rFonts w:ascii="Arial" w:cs="Arial" w:eastAsia="Arial" w:hAnsi="Arial"/>
                <w:sz w:val="18"/>
                <w:szCs w:val="18"/>
                <w:color w:val="0000FF"/>
                <w:w w:val="88"/>
              </w:rPr>
              <w:t>04/24/2009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69"/>
              <w:spacing w:after="0"/>
              <w:rPr>
                <w:sz w:val="20"/>
                <w:szCs w:val="20"/>
                <w:color w:val="auto"/>
              </w:rPr>
            </w:pPr>
            <w:r>
              <w:rPr>
                <w:rFonts w:ascii="Arial" w:cs="Arial" w:eastAsia="Arial" w:hAnsi="Arial"/>
                <w:sz w:val="18"/>
                <w:szCs w:val="18"/>
                <w:color w:val="0000FF"/>
                <w:w w:val="86"/>
              </w:rPr>
              <w:t>850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11"/>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16,134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80" w:type="dxa"/>
            <w:vAlign w:val="bottom"/>
            <w:tcBorders>
              <w:bottom w:val="single" w:sz="8" w:color="2C2C2C"/>
            </w:tcBorders>
            <w:gridSpan w:val="6"/>
          </w:tcPr>
          <w:p>
            <w:pPr>
              <w:spacing w:after="0"/>
              <w:rPr>
                <w:sz w:val="5"/>
                <w:szCs w:val="5"/>
                <w:color w:val="auto"/>
              </w:rPr>
            </w:pPr>
          </w:p>
        </w:tc>
        <w:tc>
          <w:tcPr>
            <w:tcW w:w="10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3"/>
          </w:tcPr>
          <w:p>
            <w:pPr>
              <w:jc w:val="center"/>
              <w:ind w:right="92"/>
              <w:spacing w:after="0"/>
              <w:rPr>
                <w:sz w:val="20"/>
                <w:szCs w:val="20"/>
                <w:color w:val="auto"/>
              </w:rPr>
            </w:pPr>
            <w:r>
              <w:rPr>
                <w:rFonts w:ascii="Arial" w:cs="Arial" w:eastAsia="Arial" w:hAnsi="Arial"/>
                <w:sz w:val="18"/>
                <w:szCs w:val="18"/>
                <w:color w:val="0000FF"/>
                <w:w w:val="88"/>
              </w:rPr>
              <w:t>04/24/2009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6"/>
              </w:rPr>
              <w:t>277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9.36</w:t>
            </w:r>
            <w:r>
              <w:rPr>
                <w:rFonts w:ascii="Arial" w:cs="Arial" w:eastAsia="Arial" w:hAnsi="Arial"/>
                <w:sz w:val="22"/>
                <w:szCs w:val="22"/>
                <w:color w:val="008000"/>
                <w:w w:val="85"/>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15,857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80" w:type="dxa"/>
            <w:vAlign w:val="bottom"/>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gridSpan w:val="3"/>
          </w:tcPr>
          <w:p>
            <w:pPr>
              <w:jc w:val="center"/>
              <w:ind w:right="92"/>
              <w:spacing w:after="0"/>
              <w:rPr>
                <w:sz w:val="20"/>
                <w:szCs w:val="20"/>
                <w:color w:val="auto"/>
              </w:rPr>
            </w:pPr>
            <w:r>
              <w:rPr>
                <w:rFonts w:ascii="Arial" w:cs="Arial" w:eastAsia="Arial" w:hAnsi="Arial"/>
                <w:sz w:val="18"/>
                <w:szCs w:val="18"/>
                <w:color w:val="0000FF"/>
                <w:w w:val="88"/>
              </w:rPr>
              <w:t>04/25/2009</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89"/>
              <w:spacing w:after="0"/>
              <w:rPr>
                <w:sz w:val="20"/>
                <w:szCs w:val="20"/>
                <w:color w:val="auto"/>
              </w:rPr>
            </w:pPr>
            <w:r>
              <w:rPr>
                <w:rFonts w:ascii="Arial" w:cs="Arial" w:eastAsia="Arial" w:hAnsi="Arial"/>
                <w:sz w:val="18"/>
                <w:szCs w:val="18"/>
                <w:color w:val="0000FF"/>
                <w:w w:val="88"/>
              </w:rPr>
              <w:t>2,000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11"/>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17,857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480" w:type="dxa"/>
            <w:vAlign w:val="bottom"/>
            <w:tcBorders>
              <w:bottom w:val="single" w:sz="8" w:color="2C2C2C"/>
            </w:tcBorders>
            <w:gridSpan w:val="6"/>
          </w:tcPr>
          <w:p>
            <w:pPr>
              <w:spacing w:after="0"/>
              <w:rPr>
                <w:sz w:val="5"/>
                <w:szCs w:val="5"/>
                <w:color w:val="auto"/>
              </w:rPr>
            </w:pPr>
          </w:p>
        </w:tc>
        <w:tc>
          <w:tcPr>
            <w:tcW w:w="100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4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7"/>
              </w:rPr>
              <w:t>Common Stock, par value $0.001 per share</w:t>
            </w:r>
          </w:p>
        </w:tc>
        <w:tc>
          <w:tcPr>
            <w:tcW w:w="1000" w:type="dxa"/>
            <w:vAlign w:val="bottom"/>
            <w:tcBorders>
              <w:bottom w:val="single" w:sz="8" w:color="2C2C2C"/>
            </w:tcBorders>
            <w:gridSpan w:val="3"/>
          </w:tcPr>
          <w:p>
            <w:pPr>
              <w:jc w:val="center"/>
              <w:ind w:right="92"/>
              <w:spacing w:after="0"/>
              <w:rPr>
                <w:sz w:val="20"/>
                <w:szCs w:val="20"/>
                <w:color w:val="auto"/>
              </w:rPr>
            </w:pPr>
            <w:r>
              <w:rPr>
                <w:rFonts w:ascii="Arial" w:cs="Arial" w:eastAsia="Arial" w:hAnsi="Arial"/>
                <w:sz w:val="18"/>
                <w:szCs w:val="18"/>
                <w:color w:val="0000FF"/>
                <w:w w:val="88"/>
              </w:rPr>
              <w:t>04/25/2009</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6"/>
              </w:rPr>
              <w:t>650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9.47</w:t>
            </w:r>
            <w:r>
              <w:rPr>
                <w:rFonts w:ascii="Arial" w:cs="Arial" w:eastAsia="Arial" w:hAnsi="Arial"/>
                <w:sz w:val="22"/>
                <w:szCs w:val="22"/>
                <w:color w:val="008000"/>
                <w:w w:val="85"/>
                <w:vertAlign w:val="superscript"/>
              </w:rPr>
              <w:t>(4)</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17,207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(6)</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1"/>
              <w:spacing w:after="0"/>
              <w:rPr>
                <w:sz w:val="20"/>
                <w:szCs w:val="20"/>
                <w:color w:val="auto"/>
              </w:rPr>
            </w:pPr>
            <w:r>
              <w:rPr>
                <w:rFonts w:ascii="Arial" w:cs="Arial" w:eastAsia="Arial" w:hAnsi="Arial"/>
                <w:sz w:val="18"/>
                <w:szCs w:val="18"/>
                <w:color w:val="0000FF"/>
              </w:rPr>
              <w:t>850</w:t>
            </w:r>
          </w:p>
        </w:tc>
        <w:tc>
          <w:tcPr>
            <w:tcW w:w="2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04/24/2009</w:t>
            </w: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850</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6,390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(8)</w:t>
            </w:r>
          </w:p>
        </w:tc>
        <w:tc>
          <w:tcPr>
            <w:tcW w:w="66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1"/>
              <w:spacing w:after="0"/>
              <w:rPr>
                <w:sz w:val="20"/>
                <w:szCs w:val="20"/>
                <w:color w:val="auto"/>
              </w:rPr>
            </w:pPr>
            <w:r>
              <w:rPr>
                <w:rFonts w:ascii="Arial" w:cs="Arial" w:eastAsia="Arial" w:hAnsi="Arial"/>
                <w:sz w:val="18"/>
                <w:szCs w:val="18"/>
                <w:color w:val="0000FF"/>
                <w:w w:val="93"/>
              </w:rPr>
              <w:t>2,000</w:t>
            </w:r>
          </w:p>
        </w:tc>
        <w:tc>
          <w:tcPr>
            <w:tcW w:w="20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(7)</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04/25/2009</w:t>
            </w: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5"/>
                <w:szCs w:val="5"/>
                <w:color w:val="auto"/>
              </w:rPr>
            </w:pPr>
          </w:p>
        </w:tc>
        <w:tc>
          <w:tcPr>
            <w:tcW w:w="82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rPr>
              <w:t>2,000</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7,000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2009, ExlService Holdings, Inc. (the "Company") issued 850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vested on April 24,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2009, the Company issued 2,000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vested on April 25, 2009.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shares of restricted stock vested on April 24, 2009; an additional 20 percent of the shares of restricted stock will vest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 percent of the shares of restricted stock vested on April 25, 2009; an additional 30 percent of the shares of restricted stock will vest on April 25, 2010; and the remaining 40 percent of the shares of restricted stock will vest on April 25, 2011.</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04/28/2009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9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6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2019-12-16T15:00:31Z</dcterms:created>
  <dcterms:modified xsi:type="dcterms:W3CDTF">2019-12-16T15:00:31Z</dcterms:modified>
</cp:coreProperties>
</file>