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7820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782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909" w:orient="portrait"/>
          <w:cols w:equalWidth="0" w:num="2">
            <w:col w:w="2260" w:space="300"/>
            <w:col w:w="8520"/>
          </w:cols>
          <w:pgMar w:left="460" w:top="217" w:right="3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 PARK AVENUE, 29TH FLOOR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ExlService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EXLS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&amp; Vice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909" w:orient="portrait"/>
          <w:cols w:equalWidth="0" w:num="2">
            <w:col w:w="3760" w:space="80"/>
            <w:col w:w="724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26,120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1,527,960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3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0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31,455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1,559,415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3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0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885,670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665,925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(6)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201,095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gridSpan w:val="12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26,120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02/15/2033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78,360</w:t>
            </w:r>
          </w:p>
        </w:tc>
        <w:tc>
          <w:tcPr>
            <w:tcW w:w="580" w:type="dxa"/>
            <w:vAlign w:val="bottom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31,455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02/16/2032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62,910</w:t>
            </w:r>
          </w:p>
        </w:tc>
        <w:tc>
          <w:tcPr>
            <w:tcW w:w="580" w:type="dxa"/>
            <w:vAlign w:val="bottom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per share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of ExlService Holdings, Inc. (the "Company") convert into common stock, par value $0.001 per share (the "Common Stock")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Rohit Kapoor.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2016 Kapoor Family Trust Created Under the Rohit Kapoor 2005 GRAT.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Rohit Kapoor Spousal Lifetime Access Trust.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Shikha Kapoor 2005 Family Trust.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Rohit Kapoor 2016 Family Trust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2016 Kapoor Family Trust Created Under the Rohit Kapoor 2013 GRAT.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15, 2023, the reporting person was granted 20,896 (pre-split) restricted stock units, vesting in four equal annual installments beginning on the first anniversary of the grant date. Twenty-five percent of the restricted stock units became vested on February 15, 2024, an additional twenty-five percent of the restricted stock units will vest on February 15, 2025, an additional twenty-five percent of the restricted stock units will vest on February 15, 2026, and the remaining balance of twenty-five percent of the restricted stock units will vest on February 15, 2027.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16, 2022, the reporting person was granted 25,164 (pre-split) restricted stock units, vesting in four equal annual installments beginning on the first anniversary of the grant date. Twenty-five percent of the restricted stock units became vested on February 16, 2023, an additional twenty-five percent of the restricted stock units became vested on February 16, 2024, an additional twenty-five percent of the restricted stock units will vest on February 16, 2025, and the remaining balance of twenty-five percent of the restricted stock units will vest on February 16, 2026.</w:t>
      </w:r>
    </w:p>
    <w:p>
      <w:pPr>
        <w:sectPr>
          <w:pgSz w:w="11900" w:h="16909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6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6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2024-02-20T17:10:00Z</dcterms:created>
  <dcterms:modified xsi:type="dcterms:W3CDTF">2024-02-20T17:10:00Z</dcterms:modified>
</cp:coreProperties>
</file>