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Miglani Nalin Kumar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02/20/2019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83"/>
        <w:spacing w:after="0"/>
        <w:rPr>
          <w:sz w:val="20"/>
          <w:szCs w:val="20"/>
          <w:color w:val="auto"/>
        </w:rPr>
      </w:pPr>
      <w:r>
        <w:rPr>
          <w:rFonts w:ascii="Arial" w:cs="Arial" w:eastAsia="Arial" w:hAnsi="Arial"/>
          <w:sz w:val="18"/>
          <w:szCs w:val="18"/>
          <w:color w:val="0000FF"/>
        </w:rPr>
        <w:t>EVP and Chief HR Officer</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60" w:type="dxa"/>
            <w:vAlign w:val="bottom"/>
          </w:tcPr>
          <w:p>
            <w:pPr>
              <w:spacing w:after="0"/>
              <w:rPr>
                <w:sz w:val="12"/>
                <w:szCs w:val="12"/>
                <w:color w:val="auto"/>
              </w:rPr>
            </w:pP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6,175</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8"/>
              <w:spacing w:after="0" w:line="149" w:lineRule="exact"/>
              <w:rPr>
                <w:sz w:val="20"/>
                <w:szCs w:val="20"/>
                <w:color w:val="auto"/>
              </w:rPr>
            </w:pPr>
            <w:r>
              <w:rPr>
                <w:rFonts w:ascii="Arial" w:cs="Arial" w:eastAsia="Arial" w:hAnsi="Arial"/>
                <w:sz w:val="14"/>
                <w:szCs w:val="14"/>
                <w:color w:val="0000FF"/>
              </w:rPr>
              <w:t>02/20/2019</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tcPr>
          <w:p>
            <w:pPr>
              <w:ind w:left="100"/>
              <w:spacing w:after="0" w:line="149" w:lineRule="exact"/>
              <w:rPr>
                <w:sz w:val="20"/>
                <w:szCs w:val="20"/>
                <w:color w:val="auto"/>
              </w:rPr>
            </w:pPr>
            <w:r>
              <w:rPr>
                <w:rFonts w:ascii="Arial" w:cs="Arial" w:eastAsia="Arial" w:hAnsi="Arial"/>
                <w:sz w:val="14"/>
                <w:szCs w:val="14"/>
                <w:color w:val="0000FF"/>
              </w:rPr>
              <w:t>6,175</w:t>
            </w: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60" w:type="dxa"/>
            <w:vAlign w:val="bottom"/>
          </w:tcPr>
          <w:p>
            <w:pPr>
              <w:ind w:left="80"/>
              <w:spacing w:after="0" w:line="149" w:lineRule="exact"/>
              <w:rPr>
                <w:sz w:val="20"/>
                <w:szCs w:val="20"/>
                <w:color w:val="auto"/>
              </w:rPr>
            </w:pPr>
            <w:r>
              <w:rPr>
                <w:rFonts w:ascii="Arial" w:cs="Arial" w:eastAsia="Arial" w:hAnsi="Arial"/>
                <w:sz w:val="14"/>
                <w:szCs w:val="14"/>
                <w:color w:val="0000FF"/>
                <w:w w:val="94"/>
              </w:rPr>
              <w:t>02/20/2029</w:t>
            </w: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6,175</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the Company's common stock upon settlement.</w:t>
      </w:r>
    </w:p>
    <w:p>
      <w:pPr>
        <w:spacing w:after="0" w:line="41" w:lineRule="exact"/>
        <w:rPr>
          <w:rFonts w:ascii="Arial" w:cs="Arial" w:eastAsia="Arial" w:hAnsi="Arial"/>
          <w:sz w:val="14"/>
          <w:szCs w:val="14"/>
          <w:color w:val="008000"/>
        </w:rPr>
      </w:pPr>
    </w:p>
    <w:p>
      <w:pPr>
        <w:ind w:left="40" w:right="5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units will vest in four equal annual installments, beginning on February 20, 2020. Vesting will be accelerated upon certain termination of employment events and upon a "Change in Control" (as defined in the ExlService Holdings, Inc. 2018 Omnibus Incentive Plan).</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80"/>
        <w:spacing w:after="0" w:line="233" w:lineRule="auto"/>
        <w:rPr>
          <w:sz w:val="20"/>
          <w:szCs w:val="20"/>
          <w:color w:val="auto"/>
        </w:rPr>
      </w:pPr>
      <w:r>
        <w:rPr>
          <w:rFonts w:ascii="Arial" w:cs="Arial" w:eastAsia="Arial" w:hAnsi="Arial"/>
          <w:sz w:val="14"/>
          <w:szCs w:val="14"/>
          <w:color w:val="008000"/>
        </w:rPr>
        <w:t>Note: On February 20, 2019 the reporting person was also granted performance-based restricted stock units that are subject to material conditions beyond the reporting person's control, and, therefore, not considered derivative securities for purposes of Section 16 of the Securities Exchange Act of 1934, as amended, and excluded from this report. Mr. Ayyappan is the Company's Senior Vice President &amp; General Counsel/Corporate Secretary.</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Ajay Ayyappan, Attorney-</w:t>
            </w:r>
          </w:p>
        </w:tc>
        <w:tc>
          <w:tcPr>
            <w:tcW w:w="100" w:type="dxa"/>
            <w:vAlign w:val="bottom"/>
          </w:tcPr>
          <w:p>
            <w:pPr>
              <w:spacing w:after="0"/>
              <w:rPr>
                <w:sz w:val="18"/>
                <w:szCs w:val="18"/>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02/22/2019</w:t>
            </w:r>
          </w:p>
        </w:tc>
        <w:tc>
          <w:tcPr>
            <w:tcW w:w="0" w:type="dxa"/>
            <w:vAlign w:val="bottom"/>
          </w:tcPr>
          <w:p>
            <w:pPr>
              <w:spacing w:after="0"/>
              <w:rPr>
                <w:sz w:val="1"/>
                <w:szCs w:val="1"/>
                <w:color w:val="auto"/>
              </w:rPr>
            </w:pPr>
          </w:p>
        </w:tc>
      </w:tr>
      <w:tr>
        <w:trPr>
          <w:trHeight w:val="88"/>
        </w:trPr>
        <w:tc>
          <w:tcPr>
            <w:tcW w:w="218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27017"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2019-12-23T21:56:41Z</dcterms:created>
  <dcterms:modified xsi:type="dcterms:W3CDTF">2019-12-23T21:56:41Z</dcterms:modified>
</cp:coreProperties>
</file>