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BAGAI PAVAN</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02/03/2015</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23"/>
        <w:spacing w:after="0"/>
        <w:rPr>
          <w:sz w:val="20"/>
          <w:szCs w:val="20"/>
          <w:color w:val="auto"/>
        </w:rPr>
      </w:pPr>
      <w:r>
        <w:rPr>
          <w:rFonts w:ascii="Times New Roman" w:cs="Times New Roman" w:eastAsia="Times New Roman" w:hAnsi="Times New Roman"/>
          <w:sz w:val="18"/>
          <w:szCs w:val="18"/>
          <w:color w:val="0000FF"/>
        </w:rPr>
        <w:t>President &amp; COO</w:t>
      </w:r>
    </w:p>
    <w:p>
      <w:pPr>
        <w:spacing w:after="0" w:line="317"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w w:val="97"/>
              </w:rPr>
              <w:t>Common Stock, par value $0.001 per</w:t>
            </w:r>
          </w:p>
        </w:tc>
        <w:tc>
          <w:tcPr>
            <w:tcW w:w="1540" w:type="dxa"/>
            <w:vAlign w:val="bottom"/>
            <w:gridSpan w:val="2"/>
            <w:vMerge w:val="restart"/>
          </w:tcPr>
          <w:p>
            <w:pPr>
              <w:jc w:val="right"/>
              <w:ind w:right="118"/>
              <w:spacing w:after="0"/>
              <w:rPr>
                <w:sz w:val="20"/>
                <w:szCs w:val="20"/>
                <w:color w:val="auto"/>
              </w:rPr>
            </w:pPr>
            <w:r>
              <w:rPr>
                <w:rFonts w:ascii="Times New Roman" w:cs="Times New Roman" w:eastAsia="Times New Roman" w:hAnsi="Times New Roman"/>
                <w:sz w:val="18"/>
                <w:szCs w:val="18"/>
                <w:color w:val="0000FF"/>
              </w:rPr>
              <w:t>02/03/2015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5,000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vMerge w:val="restart"/>
          </w:tcPr>
          <w:p>
            <w:pPr>
              <w:jc w:val="right"/>
              <w:ind w:right="114"/>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30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8"/>
                <w:szCs w:val="18"/>
                <w:color w:val="0000FF"/>
              </w:rPr>
              <w:t>85,473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w w:val="97"/>
              </w:rPr>
              <w:t>Common Stock, par value $0.001 per</w:t>
            </w:r>
          </w:p>
        </w:tc>
        <w:tc>
          <w:tcPr>
            <w:tcW w:w="1540" w:type="dxa"/>
            <w:vAlign w:val="bottom"/>
            <w:gridSpan w:val="2"/>
            <w:vMerge w:val="restart"/>
          </w:tcPr>
          <w:p>
            <w:pPr>
              <w:jc w:val="right"/>
              <w:ind w:right="118"/>
              <w:spacing w:after="0"/>
              <w:rPr>
                <w:sz w:val="20"/>
                <w:szCs w:val="20"/>
                <w:color w:val="auto"/>
              </w:rPr>
            </w:pPr>
            <w:r>
              <w:rPr>
                <w:rFonts w:ascii="Times New Roman" w:cs="Times New Roman" w:eastAsia="Times New Roman" w:hAnsi="Times New Roman"/>
                <w:sz w:val="18"/>
                <w:szCs w:val="18"/>
                <w:color w:val="0000FF"/>
              </w:rPr>
              <w:t>02/03/2015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F</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1,700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0000FF"/>
              </w:rPr>
              <w:t>D</w:t>
            </w:r>
          </w:p>
        </w:tc>
        <w:tc>
          <w:tcPr>
            <w:tcW w:w="8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w:t>
            </w:r>
            <w:r>
              <w:rPr>
                <w:rFonts w:ascii="Times New Roman" w:cs="Times New Roman" w:eastAsia="Times New Roman" w:hAnsi="Times New Roman"/>
                <w:sz w:val="18"/>
                <w:szCs w:val="18"/>
                <w:color w:val="0000FF"/>
                <w:w w:val="93"/>
              </w:rPr>
              <w:t>29.5475</w:t>
            </w:r>
            <w:r>
              <w:rPr>
                <w:rFonts w:ascii="Times New Roman" w:cs="Times New Roman" w:eastAsia="Times New Roman" w:hAnsi="Times New Roman"/>
                <w:sz w:val="22"/>
                <w:szCs w:val="22"/>
                <w:color w:val="008000"/>
                <w:w w:val="93"/>
                <w:vertAlign w:val="superscript"/>
              </w:rPr>
              <w:t>(2)</w:t>
            </w:r>
          </w:p>
        </w:tc>
        <w:tc>
          <w:tcPr>
            <w:tcW w:w="130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8"/>
                <w:szCs w:val="18"/>
                <w:color w:val="0000FF"/>
              </w:rPr>
              <w:t>83,773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920" w:type="dxa"/>
            <w:vAlign w:val="bottom"/>
            <w:tcBorders>
              <w:bottom w:val="single" w:sz="8" w:color="2C2C2C"/>
            </w:tcBorders>
            <w:gridSpan w:val="11"/>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520" w:type="dxa"/>
            <w:vAlign w:val="bottom"/>
            <w:gridSpan w:val="8"/>
          </w:tcPr>
          <w:p>
            <w:pPr>
              <w:ind w:left="6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color w:val="0000FF"/>
                <w:w w:val="95"/>
              </w:rPr>
              <w:t>Common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5,000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12"/>
                <w:szCs w:val="12"/>
                <w:color w:val="auto"/>
              </w:rPr>
            </w:pPr>
          </w:p>
        </w:tc>
        <w:tc>
          <w:tcPr>
            <w:tcW w:w="11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0000FF"/>
              </w:rPr>
              <w:t>02/03/2015</w:t>
            </w:r>
          </w:p>
        </w:tc>
        <w:tc>
          <w:tcPr>
            <w:tcW w:w="1100" w:type="dxa"/>
            <w:vAlign w:val="bottom"/>
          </w:tcPr>
          <w:p>
            <w:pPr>
              <w:spacing w:after="0"/>
              <w:rPr>
                <w:sz w:val="12"/>
                <w:szCs w:val="12"/>
                <w:color w:val="auto"/>
              </w:rPr>
            </w:pPr>
          </w:p>
        </w:tc>
        <w:tc>
          <w:tcPr>
            <w:tcW w:w="440" w:type="dxa"/>
            <w:vAlign w:val="bottom"/>
          </w:tcPr>
          <w:p>
            <w:pPr>
              <w:jc w:val="right"/>
              <w:ind w:right="98"/>
              <w:spacing w:after="0" w:line="149" w:lineRule="exact"/>
              <w:rPr>
                <w:sz w:val="20"/>
                <w:szCs w:val="20"/>
                <w:color w:val="auto"/>
              </w:rPr>
            </w:pPr>
            <w:r>
              <w:rPr>
                <w:rFonts w:ascii="Times New Roman" w:cs="Times New Roman" w:eastAsia="Times New Roman" w:hAnsi="Times New Roman"/>
                <w:sz w:val="14"/>
                <w:szCs w:val="14"/>
                <w:color w:val="0000FF"/>
              </w:rPr>
              <w:t>M</w:t>
            </w: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0000FF"/>
              </w:rPr>
              <w:t>5,000</w:t>
            </w: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0000FF"/>
                <w:w w:val="96"/>
              </w:rPr>
              <w:t>par value</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139"/>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7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0000FF"/>
              </w:rPr>
              <w:t>0</w:t>
            </w:r>
          </w:p>
        </w:tc>
        <w:tc>
          <w:tcPr>
            <w:tcW w:w="92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0000FF"/>
              </w:rPr>
              <w:t>$0.001</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color w:val="0000FF"/>
                <w:w w:val="98"/>
              </w:rPr>
              <w:t>per share</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Restricted stock units of ExlService Holdings, Inc. (the "Company") convert into common stock, par value $0.001 per share (the "Common Stock") on a one-for-one basis.</w:t>
      </w:r>
    </w:p>
    <w:p>
      <w:pPr>
        <w:spacing w:after="0" w:line="41" w:lineRule="exact"/>
        <w:rPr>
          <w:rFonts w:ascii="Times New Roman" w:cs="Times New Roman" w:eastAsia="Times New Roman" w:hAnsi="Times New Roman"/>
          <w:sz w:val="14"/>
          <w:szCs w:val="14"/>
          <w:color w:val="008000"/>
        </w:rPr>
      </w:pPr>
    </w:p>
    <w:p>
      <w:pPr>
        <w:ind w:left="40" w:right="480" w:firstLine="9"/>
        <w:spacing w:after="0" w:line="305"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person's restricted stock units reported in this report vested on February 3, 2015.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4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February 3, 2011, the reporting person was granted 12,500 restricted stock units, vesting in 10%, 20%, 30% and 40% beginning on the first anniversary of the grant date. The remaining balance i/n/o 5,000 shares of restricted stock units became vested on February 3, 2015.</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02/05/2015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2019-12-08T11:20:07Z</dcterms:created>
  <dcterms:modified xsi:type="dcterms:W3CDTF">2019-12-08T11:20:07Z</dcterms:modified>
</cp:coreProperties>
</file>