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Mahon Anita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320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Vice President &amp; Chief Growth and Strategy Officer. Mr. Oseni is the Company's Head of Administration and Accounts. Exhibit List - Exhibit 24.1: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Lazbart Oseni, Attorney-in-  </w:t>
      </w:r>
      <w:r>
        <w:rPr>
          <w:rFonts w:ascii="Arial" w:cs="Arial" w:eastAsia="Arial" w:hAnsi="Arial"/>
          <w:sz w:val="35"/>
          <w:szCs w:val="35"/>
          <w:color w:val="0000FF"/>
          <w:vertAlign w:val="subscript"/>
        </w:rPr>
        <w:t>03/04/2020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Rohit Kapoor, Maurizio Nicolelli, Ajay Ayyappan, Lazbart Oseni and Steven Barlow, signing singly, as the undersigned’s true and lawful attorney-in-fact to:</w:t>
      </w:r>
    </w:p>
    <w:p>
      <w:pPr>
        <w:spacing w:after="0" w:line="170" w:lineRule="exact"/>
        <w:rPr>
          <w:sz w:val="20"/>
          <w:szCs w:val="20"/>
          <w:color w:val="auto"/>
        </w:rPr>
      </w:pPr>
    </w:p>
    <w:p>
      <w:pPr>
        <w:ind w:right="60" w:firstLine="1305"/>
        <w:spacing w:after="0" w:line="264" w:lineRule="auto"/>
        <w:tabs>
          <w:tab w:leader="none" w:pos="1821"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ExlService Holdings, Inc. (the “Company”), Forms 3, 4, and 5 in accordance with Section 16(a) of the Securities Exchange Act of 1934, as amended, and the rules and regulations thereunder (the “Exchange Act”);</w:t>
      </w:r>
    </w:p>
    <w:p>
      <w:pPr>
        <w:spacing w:after="0" w:line="181" w:lineRule="exact"/>
        <w:rPr>
          <w:rFonts w:ascii="Arial" w:cs="Arial" w:eastAsia="Arial" w:hAnsi="Arial"/>
          <w:sz w:val="18"/>
          <w:szCs w:val="18"/>
          <w:color w:val="auto"/>
        </w:rPr>
      </w:pPr>
    </w:p>
    <w:p>
      <w:pPr>
        <w:jc w:val="both"/>
        <w:ind w:right="180" w:firstLine="1305"/>
        <w:spacing w:after="0" w:line="264" w:lineRule="auto"/>
        <w:tabs>
          <w:tab w:leader="none" w:pos="1821"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the NASDAQ Global Select Market or similar authority; and</w:t>
      </w:r>
    </w:p>
    <w:p>
      <w:pPr>
        <w:spacing w:after="0" w:line="181" w:lineRule="exact"/>
        <w:rPr>
          <w:rFonts w:ascii="Arial" w:cs="Arial" w:eastAsia="Arial" w:hAnsi="Arial"/>
          <w:sz w:val="18"/>
          <w:szCs w:val="18"/>
          <w:color w:val="auto"/>
        </w:rPr>
      </w:pPr>
    </w:p>
    <w:p>
      <w:pPr>
        <w:jc w:val="both"/>
        <w:ind w:right="20" w:firstLine="1305"/>
        <w:spacing w:after="0" w:line="259" w:lineRule="auto"/>
        <w:tabs>
          <w:tab w:leader="none" w:pos="1821"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140" w:firstLine="1297"/>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jc w:val="both"/>
        <w:ind w:right="80" w:firstLine="1297"/>
        <w:spacing w:after="0" w:line="279" w:lineRule="auto"/>
        <w:rPr>
          <w:sz w:val="20"/>
          <w:szCs w:val="20"/>
          <w:color w:val="auto"/>
        </w:rPr>
      </w:pPr>
      <w:r>
        <w:rPr>
          <w:rFonts w:ascii="Arial" w:cs="Arial" w:eastAsia="Arial" w:hAnsi="Arial"/>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also serves to revoke, as of the date hereof, any Power of Attorney previously filed for the purpose of executing filings relating to the Company pursuant to Section 16 of the Exchange Act on behalf of the undersigned.</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2, 2020.</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Anita Mahon</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4"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Anita Mahon</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805281"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2020-03-04T16:03:39Z</dcterms:created>
  <dcterms:modified xsi:type="dcterms:W3CDTF">2020-03-04T16:03:39Z</dcterms:modified>
</cp:coreProperties>
</file>